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Engquist John McDowell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H&amp;E EQUIPMENT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7500 PECUE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BATON ROUGE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70809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H&amp;E Equipment Services, Inc.</w:t>
              </w:r>
            </w:hyperlink>
            <w:r>
              <w:rPr/>
              <w:t xml:space="preserve"> [ </w:t>
            </w:r>
            <w:r>
              <w:rPr>
                <w:rFonts w:ascii="Times;serif" w:hAnsi="Times;serif"/>
                <w:color w:val="0000FF"/>
                <w:sz w:val="24"/>
                <w:shd w:fill="FFFFFF" w:val="clear"/>
              </w:rPr>
              <w:t>HEES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7"/>
        <w:gridCol w:w="919"/>
        <w:gridCol w:w="789"/>
        <w:gridCol w:w="610"/>
        <w:gridCol w:w="342"/>
        <w:gridCol w:w="1011"/>
        <w:gridCol w:w="427"/>
        <w:gridCol w:w="750"/>
        <w:gridCol w:w="1125"/>
        <w:gridCol w:w="973"/>
        <w:gridCol w:w="120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17,698</w:t>
            </w:r>
            <w:r>
              <w:rPr>
                <w:rFonts w:ascii="Times;serif" w:hAnsi="Times;serif"/>
                <w:color w:val="008000"/>
                <w:position w:val="7"/>
                <w:sz w:val="16"/>
                <w:sz w:val="20"/>
                <w:shd w:fill="FFFFFF" w:val="clear"/>
              </w:rPr>
              <w:t>(1)</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86,561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14,487</w:t>
            </w:r>
            <w:r>
              <w:rPr>
                <w:rFonts w:ascii="Times;serif" w:hAnsi="Times;serif"/>
                <w:color w:val="008000"/>
                <w:position w:val="7"/>
                <w:sz w:val="16"/>
                <w:sz w:val="20"/>
                <w:shd w:fill="FFFFFF" w:val="clear"/>
              </w:rPr>
              <w:t>(2)</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95.46</w:t>
            </w:r>
            <w:r>
              <w:rPr/>
              <w:t xml:space="preserve"> </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72,074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72,074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389,261</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John McDowell Engquist Investment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Issuance of shares in connection with the accelerated vesting of the Reporting Person's 2023 Performance Award and 2024 Performance Award (the "PSUs") previously granted under the Company's Amended and Restated 2016 Stock-Based Incentive Compensation Plan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Disposition of securities to the Issuer in satisfaction of the Reporting Person's tax liability in connection with the accelerated vesting of the PSUs and the accelerated vesting of restricted stock awards previously granted to the Reporting Person under the 2016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Leslie S. Magee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1594" TargetMode="External"/><Relationship Id="rId5" Type="http://schemas.openxmlformats.org/officeDocument/2006/relationships/hyperlink" Target="http://www.sec.gov/cgi-bin/browse-edgar?action=getcompany&amp;CIK=00013396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4318</Characters>
  <CharactersWithSpaces>5037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