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ees-20240930.htm"/>
      <w:bookmarkStart w:id="1" w:name="kshees202409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 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Commission file number: 000-51759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H&amp;E Equipment Services,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81-0553291</w:t>
            </w:r>
          </w:p>
        </w:tc>
      </w:tr>
      <w:tr>
        <w:trPr/>
        <w:tc>
          <w:tcPr>
            <w:tcW w:w="30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7500 Pecue Lane,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70809</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Baton Rouge, Louisiana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 (225) 298-5200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9333" w:type="dxa"/>
        <w:jc w:val="left"/>
        <w:tblInd w:w="0" w:type="dxa"/>
        <w:tblLayout w:type="fixed"/>
        <w:tblCellMar>
          <w:top w:w="28" w:type="dxa"/>
          <w:left w:w="28" w:type="dxa"/>
          <w:bottom w:w="28" w:type="dxa"/>
          <w:right w:w="28" w:type="dxa"/>
        </w:tblCellMar>
      </w:tblPr>
      <w:tblGrid>
        <w:gridCol w:w="3606"/>
        <w:gridCol w:w="1731"/>
        <w:gridCol w:w="3996"/>
      </w:tblGrid>
      <w:tr>
        <w:trPr/>
        <w:tc>
          <w:tcPr>
            <w:tcW w:w="3606"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3996" w:type="dxa"/>
            <w:tcBorders/>
            <w:vAlign w:val="center"/>
          </w:tcPr>
          <w:p>
            <w:pPr>
              <w:pStyle w:val="TableContents"/>
              <w:bidi w:val="0"/>
              <w:spacing w:before="0" w:after="283"/>
              <w:jc w:val="left"/>
              <w:rPr>
                <w:sz w:val="4"/>
                <w:szCs w:val="4"/>
              </w:rPr>
            </w:pPr>
            <w:r>
              <w:rPr>
                <w:sz w:val="4"/>
                <w:szCs w:val="4"/>
              </w:rPr>
            </w:r>
          </w:p>
        </w:tc>
      </w:tr>
      <w:tr>
        <w:trPr/>
        <w:tc>
          <w:tcPr>
            <w:tcW w:w="360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44"/>
              <w:ind w:left="0" w:right="110" w:hanging="0"/>
              <w:jc w:val="center"/>
              <w:rPr>
                <w:rFonts w:ascii="Times New Roman" w:hAnsi="Times New Roman"/>
                <w:color w:val="000000"/>
                <w:sz w:val="20"/>
              </w:rPr>
            </w:pPr>
            <w:r>
              <w:rPr>
                <w:rFonts w:ascii="Times New Roman" w:hAnsi="Times New Roman"/>
                <w:color w:val="000000"/>
                <w:sz w:val="20"/>
              </w:rPr>
              <w:t>Title of Each Class</w:t>
            </w:r>
          </w:p>
        </w:tc>
        <w:tc>
          <w:tcPr>
            <w:tcW w:w="173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44"/>
              <w:ind w:left="0" w:right="110" w:hanging="0"/>
              <w:jc w:val="center"/>
              <w:rPr>
                <w:rFonts w:ascii="Times New Roman" w:hAnsi="Times New Roman"/>
                <w:color w:val="000000"/>
                <w:sz w:val="20"/>
              </w:rPr>
            </w:pPr>
            <w:r>
              <w:rPr>
                <w:rFonts w:ascii="Times New Roman" w:hAnsi="Times New Roman"/>
                <w:color w:val="000000"/>
                <w:sz w:val="20"/>
              </w:rPr>
              <w:t>Trading Symbol(s)</w:t>
            </w:r>
          </w:p>
        </w:tc>
        <w:tc>
          <w:tcPr>
            <w:tcW w:w="399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44"/>
              <w:ind w:left="0" w:right="110" w:hanging="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44"/>
              <w:ind w:left="0" w:right="110" w:hanging="0"/>
              <w:jc w:val="center"/>
              <w:rPr>
                <w:rFonts w:ascii="Times New Roman" w:hAnsi="Times New Roman"/>
                <w:color w:val="000000"/>
                <w:sz w:val="20"/>
              </w:rPr>
            </w:pPr>
            <w:r>
              <w:rPr>
                <w:rFonts w:ascii="Times New Roman" w:hAnsi="Times New Roman"/>
                <w:color w:val="000000"/>
                <w:sz w:val="20"/>
              </w:rPr>
              <w:t>Common Stock, par value $0.01 per share</w:t>
            </w:r>
          </w:p>
        </w:tc>
        <w:tc>
          <w:tcPr>
            <w:tcW w:w="1731" w:type="dxa"/>
            <w:tcBorders>
              <w:bottom w:val="single" w:sz="6" w:space="0" w:color="000000"/>
              <w:right w:val="single" w:sz="6" w:space="0" w:color="000000"/>
            </w:tcBorders>
            <w:tcMar>
              <w:top w:w="0" w:type="dxa"/>
              <w:left w:w="0" w:type="dxa"/>
            </w:tcMar>
            <w:vAlign w:val="center"/>
          </w:tcPr>
          <w:p>
            <w:pPr>
              <w:pStyle w:val="TableContents"/>
              <w:bidi w:val="0"/>
              <w:spacing w:before="0" w:after="44"/>
              <w:ind w:left="0" w:right="110" w:hanging="0"/>
              <w:jc w:val="center"/>
              <w:rPr>
                <w:rFonts w:ascii="Times New Roman" w:hAnsi="Times New Roman"/>
                <w:color w:val="000000"/>
                <w:sz w:val="20"/>
              </w:rPr>
            </w:pPr>
            <w:r>
              <w:rPr>
                <w:rFonts w:ascii="Times New Roman" w:hAnsi="Times New Roman"/>
                <w:color w:val="000000"/>
                <w:sz w:val="20"/>
              </w:rPr>
              <w:t>HEES</w:t>
            </w:r>
          </w:p>
        </w:tc>
        <w:tc>
          <w:tcPr>
            <w:tcW w:w="3996" w:type="dxa"/>
            <w:tcBorders>
              <w:bottom w:val="single" w:sz="6" w:space="0" w:color="000000"/>
              <w:right w:val="single" w:sz="6" w:space="0" w:color="000000"/>
            </w:tcBorders>
            <w:tcMar>
              <w:top w:w="0" w:type="dxa"/>
              <w:left w:w="0" w:type="dxa"/>
            </w:tcMar>
            <w:vAlign w:val="center"/>
          </w:tcPr>
          <w:p>
            <w:pPr>
              <w:pStyle w:val="TableContents"/>
              <w:bidi w:val="0"/>
              <w:spacing w:before="0" w:after="44"/>
              <w:ind w:left="0" w:right="110" w:hanging="0"/>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w:t>
        <w:noBreakHyphen/>
        <w:t xml:space="preserve">accelerated filer, a smaller reporting company or an emerging growth company. See the definitions of “large accelerated filer,” “accelerated filer,” “smaller reporting company” and “emerging growth company” in Rule 12b-2 of the Exchange Act. </w:t>
      </w:r>
    </w:p>
    <w:tbl>
      <w:tblPr>
        <w:tblW w:w="9306" w:type="dxa"/>
        <w:jc w:val="left"/>
        <w:tblInd w:w="0" w:type="dxa"/>
        <w:tblLayout w:type="fixed"/>
        <w:tblCellMar>
          <w:top w:w="28" w:type="dxa"/>
          <w:left w:w="28" w:type="dxa"/>
          <w:bottom w:w="28" w:type="dxa"/>
          <w:right w:w="28" w:type="dxa"/>
        </w:tblCellMar>
      </w:tblPr>
      <w:tblGrid>
        <w:gridCol w:w="2491"/>
        <w:gridCol w:w="316"/>
        <w:gridCol w:w="3931"/>
        <w:gridCol w:w="316"/>
        <w:gridCol w:w="1891"/>
        <w:gridCol w:w="361"/>
      </w:tblGrid>
      <w:tr>
        <w:trPr/>
        <w:tc>
          <w:tcPr>
            <w:tcW w:w="24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Accelerated Filer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Smaller Reporting Company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Emerging Growth Company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October 22, 2024, there were 36,610,928 shares of H&amp;E Equipment Services, Inc. common stock, $0.01 par value, outstanding.</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H&amp;E EQUIPMENT SERVICES,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September 30, 2024</w:t>
      </w:r>
    </w:p>
    <w:tbl>
      <w:tblPr>
        <w:tblW w:w="10205" w:type="dxa"/>
        <w:jc w:val="left"/>
        <w:tblInd w:w="0" w:type="dxa"/>
        <w:tblLayout w:type="fixed"/>
        <w:tblCellMar>
          <w:top w:w="28" w:type="dxa"/>
          <w:left w:w="28" w:type="dxa"/>
          <w:bottom w:w="28" w:type="dxa"/>
          <w:right w:w="28" w:type="dxa"/>
        </w:tblCellMar>
      </w:tblPr>
      <w:tblGrid>
        <w:gridCol w:w="9529"/>
        <w:gridCol w:w="146"/>
        <w:gridCol w:w="530"/>
      </w:tblGrid>
      <w:tr>
        <w:trPr/>
        <w:tc>
          <w:tcPr>
            <w:tcW w:w="9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color w:val="0000FF"/>
                  <w:sz w:val="20"/>
                  <w:u w:val="single"/>
                </w:rPr>
                <w:t>PART I. FINANCIAL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balance_sheets">
              <w:r>
                <w:rPr>
                  <w:rStyle w:val="InternetLink"/>
                  <w:rFonts w:ascii="Times New Roman" w:hAnsi="Times New Roman"/>
                  <w:color w:val="0000FF"/>
                  <w:sz w:val="20"/>
                  <w:u w:val="single"/>
                </w:rPr>
                <w:t>Condensed Consolidated Balance Sheets as of September 30, 2024 (Unaudited) and December 31,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statements_income">
              <w:r>
                <w:rPr>
                  <w:rStyle w:val="InternetLink"/>
                  <w:rFonts w:ascii="Times New Roman" w:hAnsi="Times New Roman"/>
                  <w:color w:val="0000FF"/>
                  <w:sz w:val="20"/>
                  <w:u w:val="single"/>
                </w:rPr>
                <w:t>Condensed Consolidated Statements of Income (Unaudited) for the Three and Nine Months Ended September 30, 2024 and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statements_cash_f">
              <w:r>
                <w:rPr>
                  <w:rStyle w:val="InternetLink"/>
                  <w:rFonts w:ascii="Times New Roman" w:hAnsi="Times New Roman"/>
                  <w:color w:val="0000FF"/>
                  <w:sz w:val="20"/>
                  <w:u w:val="single"/>
                </w:rPr>
                <w:t>Condensed Consolidated Statements of Cash Flows (Unaudited) for the Nine Months Ended September 30, 2024 and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7</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52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federal securities laws. Statements that are not historical facts, including statements about our beliefs and expectations, are forward-looking statements. Forward-looking statements include statements preceded by, followed by or that include the words “may,” “could,” “would,” “should,” “believe,” “expect,” “anticipate,” “plan,” “estimate,” “target,” “project,” “intend,” “foresee” and similar expressions. These statements include, among others, statements regarding our expected business outlook, anticipated financial and operating results, our business strategy and means to implement the strategy, our objectives, the amount and timing of capital expenditures, the likelihood of our success in expanding our business, financing plans, budgets, working capital needs and sources of liquidity. By their nature, forward-looking statements involve risks and uncertainties because they relate to events and depend on circumstances that may or may not occur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Forward-looking statements are only predictions and are not guarantees of performance. These statements are based on our management’s beliefs and assumptions, which in turn are based on currently available information. Important assumptions relating to the forward-looking statements include, among others, assumptions regarding demand for our products, the expansion of product offerings geographically or through new marketing applications, the timing and cost of planned capital expenditures, competitive conditions and general economic conditions. These assumptions could prove inaccurate. Forward-looking statements also involve known and unknown risks and uncertainties, which could cause actual results to differ materially from those contained in any forward-looking statement. In addition, even if our actual results are consistent with the forward-looking statements contained in this Quarterly Report on Form 10-Q, those results may not be indicative of results or developments in subsequent periods. Many of these factors are beyond our ability to control or predict. Such factors include, but are not limited to, the following:</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general economic and geopolitical conditions in North America and elsewhere throughout the globe and construction and industrial activity in the markets where we operate in North America;</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forecast trends in our business accurately, and the impact of economic downturns and economic uncertainty on the markets we serve (including as a result of current uncertainty due to inflation and increasing interest rates);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conditions in the global credit and commodity markets and their effect on construction spending and the economy in general;</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trends in oil and natural gas which could adversely affect the demand for our products and services;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inability to obtain equipment and other supplies for our business from our key suppliers on acceptable terms or at all, as a result of supply chain disruptions, insolvency, financial difficulties, supplier relationships or other factors;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increased maintenance and repair costs as our fleet ages and decreases in our equipment’s residual value;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risks related to a global pandemic and similar health concerns, such as the scope and duration of the outbreak, government actions and restrictive measures implemented in response to the pandemic, material delays and cancellations of construction or infrastructure projects, labor shortages, supply chain disruptions and other impacts to the business;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indebtedness;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risks associated with the expansion of our business and any potential acquisitions we may make, including any related capital expenditures, or our ability to consummate such acquisitions;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integrate any businesses or assets we acquire;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competitive pressures;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security breaches, cybersecurity attacks, increased adoption of artificial intelligence technologies, failure to protect personal information, compliance with data protection laws and other disruptions in our information technology systems;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adverse weather events or natural disasters;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risks related to climate change and climate change regulation;</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compliance with laws and regulations, including those relating to environmental matters, corporate governance matters and tax matters, as well as any future changes to such laws and regulations; and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other factors discussed under “Risk Factors” in our Annual Report on Form 10-K for the year ended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Except as required by applicable law, including the securities laws of the United States and the rules and regulations of the Securities and Exchange Commission (“SEC”), we are under no obligation to publicly update or revise any forward-looking statements after we file this Quarterly Report on Form 10-Q, whether as a result of any new information, future events or otherwise. Investors, potential investors and other readers are urged to consider the above mentioned factors carefully in evaluating the forward</w:t>
        <w:noBreakHyphen/>
        <w:t>looking statements and are cautioned not to place undue reliance on such forward</w:t>
        <w:noBreakHyphen/>
        <w:t>looking statements. Although we believe that the expectations reflected in the forward-looking statements are reasonable, we cannot guarantee future results or performance.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a more detailed discussion of some of the foregoing risks and uncertainties, see Item 1A — “Risk Factors” in our Annual Report on Form 10-K for the year ended December 31, 2023, as well as other reports and registration statements filed by us with the SEC. These factors should not be construed as exhaustive and should be read with other cautionary statements in this Quarterly Report on Form 10-Q and our other public filings. All of our annual, quarterly and current reports, and any amendments thereto, filed with or furnished to the SEC are available on our Internet website under the Investor Relations link. For more information about us and the announcements we make from time to time, visit our Internet website at </w:t>
      </w:r>
      <w:r>
        <w:rPr>
          <w:rFonts w:ascii="Times New Roman" w:hAnsi="Times New Roman"/>
          <w:i/>
          <w:color w:val="000000"/>
          <w:sz w:val="20"/>
        </w:rPr>
        <w:t>www.herentals.com</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H&amp;E EQUIPMENT SERVICES, INC. AND SUBSIDIARIES</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Balances at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b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vAlign w:val="center"/>
          </w:tcPr>
          <w:p>
            <w:pPr>
              <w:pStyle w:val="TableContents"/>
              <w:bidi w:val="0"/>
              <w:spacing w:before="0" w:after="283"/>
              <w:jc w:val="center"/>
              <w:rPr/>
            </w:pPr>
            <w:r>
              <w:rPr/>
              <w:t> </w:t>
            </w:r>
          </w:p>
        </w:tc>
      </w:tr>
      <w:tr>
        <w:trPr/>
        <w:tc>
          <w:tcPr>
            <w:tcW w:w="68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872"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Receivables, net of allowance for doubtful accounts of $8,424 and $7,126,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247,430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 net of reserves for obsolescence of $164 and $207,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Rental equipment, net of accumulated depreciation of $1,062,984 and $990,971,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1,756,578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 of accumulated depreciation and amortization of $209,154 and $193,723,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183,773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 net of accumulated amortization of $88,471 and $71,021,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176,703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right-of-use assets, net of accumulated amortization of $663 and $345,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financing costs, net of accumulated amortization of $18,453 and $17,606,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 of accumulated amortization of $33,492 and $25,824,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2,639,886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Senior secured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181,642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85,486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Manufacturer flooring plans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payable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Dividends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Senior unsecured notes, net of unaccreted discount of $4,928 and $5,807 and deferred financing costs of $1,138 and $1,341,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1,243,934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1,242,852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183,775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2,105,597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$0.01 par value, 25,000,000 shares authorized; no shares issued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$0.01 par value, 175,000,000 shares authorized; 41,093,266 and 40,823,375 shares issued at September 30, 2024 and December 31, 2023, respectively, and 36,611,772 and 36,449,188 shares outstanding at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261,927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4,481,494 and 4,374,187 shares of common stock held at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534,289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2,639,886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H&amp;E EQUIPMENT SERVICES, INC. AND SUBSIDIARIES</w:t>
      </w:r>
    </w:p>
    <w:p>
      <w:pPr>
        <w:pStyle w:val="TextBody"/>
        <w:bidi w:val="0"/>
        <w:jc w:val="center"/>
        <w:rPr>
          <w:rFonts w:ascii="Times New Roman" w:hAnsi="Times New Roman"/>
          <w:b/>
          <w:color w:val="000000"/>
          <w:sz w:val="20"/>
        </w:rPr>
      </w:pPr>
      <w:bookmarkStart w:id="5" w:name="condensed_consolidated_statements_income"/>
      <w:bookmarkEnd w:id="5"/>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amounts)</w:t>
      </w:r>
    </w:p>
    <w:tbl>
      <w:tblPr>
        <w:tblW w:w="10205" w:type="dxa"/>
        <w:jc w:val="left"/>
        <w:tblInd w:w="0" w:type="dxa"/>
        <w:tblLayout w:type="fixed"/>
        <w:tblCellMar>
          <w:top w:w="28" w:type="dxa"/>
          <w:left w:w="28" w:type="dxa"/>
          <w:bottom w:w="28" w:type="dxa"/>
          <w:right w:w="28" w:type="dxa"/>
        </w:tblCellMar>
      </w:tblPr>
      <w:tblGrid>
        <w:gridCol w:w="4264"/>
        <w:gridCol w:w="146"/>
        <w:gridCol w:w="211"/>
        <w:gridCol w:w="781"/>
        <w:gridCol w:w="166"/>
        <w:gridCol w:w="146"/>
        <w:gridCol w:w="211"/>
        <w:gridCol w:w="781"/>
        <w:gridCol w:w="166"/>
        <w:gridCol w:w="146"/>
        <w:gridCol w:w="211"/>
        <w:gridCol w:w="931"/>
        <w:gridCol w:w="166"/>
        <w:gridCol w:w="146"/>
        <w:gridCol w:w="211"/>
        <w:gridCol w:w="931"/>
        <w:gridCol w:w="591"/>
      </w:tblGrid>
      <w:tr>
        <w:trPr/>
        <w:tc>
          <w:tcPr>
            <w:tcW w:w="4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42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2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rentals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869,278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rental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new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Parts, service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2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Rental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258,146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Rental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Rental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468,696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rental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new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Parts, service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498,122</w:t>
            </w:r>
          </w:p>
        </w:tc>
        <w:tc>
          <w:tcPr>
            <w:tcW w:w="591" w:type="dxa"/>
            <w:tcBorders/>
            <w:shd w:fill="FFFFFF" w:val="clear"/>
            <w:vAlign w:val="center"/>
          </w:tcPr>
          <w:p>
            <w:pPr>
              <w:pStyle w:val="TableContents"/>
              <w:bidi w:val="0"/>
              <w:spacing w:before="0" w:after="283"/>
              <w:jc w:val="left"/>
              <w:rPr/>
            </w:pPr>
            <w:r>
              <w:rPr/>
              <w:t> </w:t>
            </w:r>
          </w:p>
        </w:tc>
      </w:tr>
      <w:tr>
        <w:trPr/>
        <w:tc>
          <w:tcPr>
            <w:tcW w:w="4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298,812</w:t>
            </w:r>
          </w:p>
        </w:tc>
        <w:tc>
          <w:tcPr>
            <w:tcW w:w="591" w:type="dxa"/>
            <w:tcBorders/>
            <w:shd w:fill="CFF0FC"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sales of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2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(44,542</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before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156,771</w:t>
            </w:r>
          </w:p>
        </w:tc>
        <w:tc>
          <w:tcPr>
            <w:tcW w:w="591" w:type="dxa"/>
            <w:tcBorders/>
            <w:shd w:fill="CFF0FC"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26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26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591" w:type="dxa"/>
            <w:tcBorders/>
            <w:shd w:fill="CFF0FC"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26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36,078</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26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36,326</w:t>
            </w:r>
          </w:p>
        </w:tc>
        <w:tc>
          <w:tcPr>
            <w:tcW w:w="5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H&amp;E EQUIPMENT SERVICES, INC. AND SUBSIDIARIES</w:t>
      </w:r>
    </w:p>
    <w:p>
      <w:pPr>
        <w:pStyle w:val="TextBody"/>
        <w:bidi w:val="0"/>
        <w:jc w:val="center"/>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6552"/>
        <w:gridCol w:w="146"/>
        <w:gridCol w:w="211"/>
        <w:gridCol w:w="991"/>
        <w:gridCol w:w="166"/>
        <w:gridCol w:w="146"/>
        <w:gridCol w:w="211"/>
        <w:gridCol w:w="991"/>
        <w:gridCol w:w="791"/>
      </w:tblGrid>
      <w:tr>
        <w:trPr/>
        <w:tc>
          <w:tcPr>
            <w:tcW w:w="6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5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791" w:type="dxa"/>
            <w:tcBorders/>
            <w:shd w:fill="FFFFFF" w:val="clear"/>
            <w:vAlign w:val="center"/>
          </w:tcPr>
          <w:p>
            <w:pPr>
              <w:pStyle w:val="TableContents"/>
              <w:bidi w:val="0"/>
              <w:spacing w:before="0" w:after="283"/>
              <w:jc w:val="center"/>
              <w:rPr/>
            </w:pPr>
            <w:r>
              <w:rPr/>
              <w:t> </w:t>
            </w:r>
          </w:p>
        </w:tc>
      </w:tr>
      <w:tr>
        <w:trPr/>
        <w:tc>
          <w:tcPr>
            <w:tcW w:w="65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115,769</w:t>
            </w:r>
          </w:p>
        </w:tc>
        <w:tc>
          <w:tcPr>
            <w:tcW w:w="791" w:type="dxa"/>
            <w:tcBorders/>
            <w:shd w:fill="FFFFFF" w:val="clear"/>
            <w:vAlign w:val="center"/>
          </w:tcPr>
          <w:p>
            <w:pPr>
              <w:pStyle w:val="TableContents"/>
              <w:bidi w:val="0"/>
              <w:spacing w:before="0" w:after="283"/>
              <w:jc w:val="lef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of rental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258,146</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finance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note discount, net of premium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14,212</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losses on 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inventory obsolescence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deferred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35,386</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from sales of 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7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from sales of rental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(72,856</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65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(32,201</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(101,771</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8,107</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65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Manufacturer flooring plans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65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payable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276,502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businesses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(55,412</w:t>
            </w:r>
          </w:p>
        </w:tc>
        <w:tc>
          <w:tcPr>
            <w:tcW w:w="7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rental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(522,596</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sales of rental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FFFFFF" w:val="cle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(452,036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Borrowings on senior secured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1,332,449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senior secured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(1,335,180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(1,190,215</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(30,017</w:t>
            </w:r>
          </w:p>
        </w:tc>
        <w:tc>
          <w:tcPr>
            <w:tcW w:w="7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treasury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deferred financing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7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finance lease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(74,411</w:t>
            </w:r>
          </w:p>
        </w:tc>
        <w:tc>
          <w:tcPr>
            <w:tcW w:w="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H&amp;E EQUIPMENT SERVICES,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tbl>
      <w:tblPr>
        <w:tblW w:w="8754" w:type="dxa"/>
        <w:jc w:val="left"/>
        <w:tblInd w:w="0" w:type="dxa"/>
        <w:tblLayout w:type="fixed"/>
        <w:tblCellMar>
          <w:top w:w="28" w:type="dxa"/>
          <w:left w:w="28" w:type="dxa"/>
          <w:bottom w:w="28" w:type="dxa"/>
          <w:right w:w="28" w:type="dxa"/>
        </w:tblCellMar>
      </w:tblPr>
      <w:tblGrid>
        <w:gridCol w:w="5951"/>
        <w:gridCol w:w="146"/>
        <w:gridCol w:w="211"/>
        <w:gridCol w:w="676"/>
        <w:gridCol w:w="146"/>
        <w:gridCol w:w="146"/>
        <w:gridCol w:w="211"/>
        <w:gridCol w:w="676"/>
        <w:gridCol w:w="591"/>
      </w:tblGrid>
      <w:tr>
        <w:trPr/>
        <w:tc>
          <w:tcPr>
            <w:tcW w:w="5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5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schedule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9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asset purchases: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59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Rental fleet in accounts payable and accrued expenses</w:t>
              <w:br/>
              <w:t>   payable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Assets transferred from inventory to rental fleet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property and equipment included in accrued expenses</w:t>
              <w:br/>
              <w:t>   payable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assets obtained in exchange for new</w:t>
              <w:br/>
              <w:t>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9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59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taxes paid (net of refunds received)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H&amp;E EQUIPMENT SERVICES, INC. AND SUBSIDIARIES</w:t>
      </w:r>
    </w:p>
    <w:p>
      <w:pPr>
        <w:pStyle w:val="TextBody"/>
        <w:bidi w:val="0"/>
        <w:jc w:val="center"/>
        <w:rPr>
          <w:rFonts w:ascii="Times New Roman" w:hAnsi="Times New Roman"/>
          <w:b/>
          <w:color w:val="000000"/>
          <w:sz w:val="20"/>
        </w:rPr>
      </w:pPr>
      <w:bookmarkStart w:id="7" w:name="notes_to_condensed_consolidated_financia"/>
      <w:bookmarkEnd w:id="7"/>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Nature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include the financial position and results of operations of H&amp;E Equipment Services, Inc. and its wholly-owned subsidiaries H&amp;E Finance Corp., GNE Investments, Inc., Great Northern Equipment, Inc., H&amp;E California Holding, Inc., H&amp;E Equipment Services (California), LLC, H&amp;E Equipment Services (Midwest), Inc. and H&amp;E Equipment Services (Mid-Atlantic), Inc., collectively referred to herein as “we”, “us”, “our” or the “Company” and doing business as “H&amp;E Rentals”.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have been prepared in accordance with accounting principles generally accepted in the United States of America for interim financial information and with the instructions to Form 10-Q and Rule 10-01 of Regulation S-X. Accordingly, certain information and footnote disclosures normally included in financial statements prepared in accordance with accounting principles generally accepted in the United States of America have been condensed or omitted pursuant to such regulations. In the opinion of management, all adjustments (consisting of all normal and recurring adjustments) considered necessary for a fair presentation have been included. Operating results for the three and nine months ended September 30, 2024 are not necessarily indicative of the results that may be expected for the year ending December 31, 2024, and therefore, the results and trends in these interim condensed consolidated financial statements may not be the same for the entire year. These interim condensed consolidated financial statements should be read in conjunction with the annual audited consolidated financial statements and related notes in our Annual Report on Form 10-K for the year ended December 31, 2023, from which the consolidated balance sheet amounts as of December 31, 2023 were derived. All significant intercompany accounts and transactions have been eliminated in these condensed consolidated financial statements.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nature of our business is such that short-term obligations are typically met by cash flows generated from long-term assets. Consequently, the accompanying condensed consolidated balance sheets are presented on an unclassified basis.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Nature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1961, H&amp;E Equipment Services, Inc. is one of the largest rental equipment companies in the nation, serving customers at our 157 branch locations across 32 states. The Company’s fleet is comprised of aerial work platforms, earthmoving, material handling, and other general and specialty lines. H&amp;E serves a diverse set of end markets in many high-growth geographies including branches throughout the Pacific Northwest, West Coast, Intermountain, Southwest, Gulf Coast, Southeast, Midwest and Mid-Atlantic regions.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describe our significant accounting policies in Note 2 of the notes to Consolidated Financial Statements in our Annual Report on Form 10-K for the year ended December 31, 2023. During the three and nine months ended September 30, 2024, there were no significant changes to those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prepare our consolidated financial statements in accordance with accounting principles generally accepted in the United States of America, which requires management to use its judgment to make estimates and assumptions that affect the reported amounts of assets and liabilities and related disclosures at the date of the consolidated financial statements and the reported amounts of revenues and expenses during the reported period. These assumptions and estimates could have a material effect on our condensed consolidated financial statements. Actual results may differ materially from those estimates. We review our estimates on an ongoing basis based on information currently available, and changes in facts and circumstances may cause us to revise these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reclassifications have been made to prior period amounts in the condensed consolidated statements of income to conform to the current period presentation. These reclassifications did not have a material impact on previously reported amounts.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in accordance with two different Financial Accounting Standards Board (“FASB”) Accounting Standards Codification (“ASC”) standards: 1) Topic 606 and 2) Topic 842.</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Topic 606, Revenue from Contracts with Customers, revenue is recognized when control of the promised goods or services are transferred to our customers, in an amount that reflects the consideration we expect to be entitled to in exchange for those goods or services. Revenue is measured based on the consideration specified in the contract with the customer, and excludes any sales incentives and amounts collected on behalf of third parties. A performance obligation is a promise in a contract to transfer a distinct good or service to a customer. Our contracts with customers generally do not include multiple performance obligations. We recognize revenue when we satisfy a performance obligation by transferring control over a product or service to a customer. The amount of revenue recognized reflects the consideration we expect to be entitled to in exchange for such products or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Topic 842, Leases, we account for equipment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Because the rental contracts can extend across multiple reporting periods, we record unbilled rental revenues and deferred rental revenues at the end of reporting periods so rental revenues earned is appropriately stated for the periods presented.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table below, revenues as presented in our condensed consolidated statements of income for the three and nine months ended September 30, 2024 and 2023 are summarized by type and by the applicable accounting standard.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1"/>
        <w:gridCol w:w="146"/>
        <w:gridCol w:w="211"/>
        <w:gridCol w:w="781"/>
        <w:gridCol w:w="146"/>
        <w:gridCol w:w="146"/>
        <w:gridCol w:w="211"/>
        <w:gridCol w:w="676"/>
        <w:gridCol w:w="146"/>
        <w:gridCol w:w="146"/>
        <w:gridCol w:w="211"/>
        <w:gridCol w:w="781"/>
        <w:gridCol w:w="146"/>
        <w:gridCol w:w="146"/>
        <w:gridCol w:w="211"/>
        <w:gridCol w:w="781"/>
        <w:gridCol w:w="146"/>
        <w:gridCol w:w="146"/>
        <w:gridCol w:w="211"/>
        <w:gridCol w:w="781"/>
        <w:gridCol w:w="146"/>
        <w:gridCol w:w="146"/>
        <w:gridCol w:w="211"/>
        <w:gridCol w:w="781"/>
        <w:gridCol w:w="391"/>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0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Topic 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Topic 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Topic 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Topic 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3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Owned equipment rentals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271,151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Re-rent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w:t>
            </w:r>
          </w:p>
        </w:tc>
        <w:tc>
          <w:tcPr>
            <w:tcW w:w="391" w:type="dxa"/>
            <w:tcBorders/>
            <w:shd w:fill="CFF0FC" w:val="cle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Ancillary and other rental revenues: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3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Delivery and pick-up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ancillary rental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equipment rental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rental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52,708</w:t>
            </w:r>
          </w:p>
        </w:tc>
        <w:tc>
          <w:tcPr>
            <w:tcW w:w="391" w:type="dxa"/>
            <w:tcBorders/>
            <w:shd w:fill="CFF0FC" w:val="cle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new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w:t>
            </w:r>
          </w:p>
        </w:tc>
        <w:tc>
          <w:tcPr>
            <w:tcW w:w="391" w:type="dxa"/>
            <w:tcBorders/>
            <w:shd w:fill="FFFFFF" w:val="clear"/>
            <w:vAlign w:val="center"/>
          </w:tcPr>
          <w:p>
            <w:pPr>
              <w:pStyle w:val="TableContents"/>
              <w:bidi w:val="0"/>
              <w:spacing w:before="0" w:after="283"/>
              <w:jc w:val="left"/>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Parts, service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56"/>
        <w:gridCol w:w="146"/>
        <w:gridCol w:w="211"/>
        <w:gridCol w:w="781"/>
        <w:gridCol w:w="146"/>
        <w:gridCol w:w="146"/>
        <w:gridCol w:w="211"/>
        <w:gridCol w:w="781"/>
        <w:gridCol w:w="146"/>
        <w:gridCol w:w="146"/>
        <w:gridCol w:w="211"/>
        <w:gridCol w:w="931"/>
        <w:gridCol w:w="146"/>
        <w:gridCol w:w="146"/>
        <w:gridCol w:w="211"/>
        <w:gridCol w:w="781"/>
        <w:gridCol w:w="146"/>
        <w:gridCol w:w="146"/>
        <w:gridCol w:w="211"/>
        <w:gridCol w:w="781"/>
        <w:gridCol w:w="146"/>
        <w:gridCol w:w="146"/>
        <w:gridCol w:w="211"/>
        <w:gridCol w:w="931"/>
        <w:gridCol w:w="391"/>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Topic 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Topic 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Topic 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Topic 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1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Owned equipment rentals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745,699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Re-rent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25,357</w:t>
            </w:r>
          </w:p>
        </w:tc>
        <w:tc>
          <w:tcPr>
            <w:tcW w:w="391" w:type="dxa"/>
            <w:tcBorders/>
            <w:shd w:fill="CFF0FC"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Ancillary and other rental revenues: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1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Delivery and pick-up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ancillary rental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equipment rental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rental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124,476</w:t>
            </w:r>
          </w:p>
        </w:tc>
        <w:tc>
          <w:tcPr>
            <w:tcW w:w="391" w:type="dxa"/>
            <w:tcBorders/>
            <w:shd w:fill="CFF0FC"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new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29,308</w:t>
            </w:r>
          </w:p>
        </w:tc>
        <w:tc>
          <w:tcPr>
            <w:tcW w:w="391" w:type="dxa"/>
            <w:tcBorders/>
            <w:shd w:fill="FFFFFF" w:val="clear"/>
            <w:vAlign w:val="center"/>
          </w:tcPr>
          <w:p>
            <w:pPr>
              <w:pStyle w:val="TableContents"/>
              <w:bidi w:val="0"/>
              <w:spacing w:before="0" w:after="283"/>
              <w:jc w:val="left"/>
              <w:rPr/>
            </w:pPr>
            <w:r>
              <w:rPr/>
              <w:t> </w:t>
            </w:r>
          </w:p>
        </w:tc>
      </w:tr>
      <w:tr>
        <w:trPr/>
        <w:tc>
          <w:tcPr>
            <w:tcW w:w="1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Parts, service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Revenues by reporting segment are presented in Note 11 of our condensed consolidated financial statements. We believe that the disaggregation of our revenues from contracts to customers as reflected above, coupled with further discussion below and the reporting segments in Note 11, depict how the nature, amount, timing and uncertainty of our revenues and cash flows are affected by economic factors. For further information related to our accounting for revenues pursuant to Topic 606 and Topic 842, see Significant Accounting Policies in Note 2 to our Annual Report on Form 10-K for the year ended December 31, 2023.</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Receivables and contract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manage credit risk associated with our accounts receivables at the customer level. Because the same customers typically generate the revenues that are accounted for under both Topic 606 and Topic 842, the discussions below on credit risk and our allowance for doubtful accounts address our total revenues from Topic 606 and Topic 842.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concentration of credit risk with respect to our receivables is limited because our customer base is comprised of a large number of geographically diverse customers. No single customer accounted for more than 10% of our total revenues for any of the periods presented in this Quarterly Report on Form 10-Q. We manage credit risk through credit approvals, credit limits and other monitoring procedures.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Topic 842 and Topic 326 for rental and non-rental receivables, respectively, we maintain an allowance for doubtful accounts that reflects our estimate of our expected credit losses. Our allowance is estimated using a loss rate model based on delinquency. The estimated loss rate is based on our historical experience with specific customers, our understanding of our current economic circumstances, reasonable and supportable forecasts, and our own judgment as to the likelihood of ultimate payment based upon available data. Our largest exposure to doubtful accounts is our rental operations, which as discussed above is accounted for under Topic 842. For the nine months ended September 30, 2024, revenue under ASC 842 represents 77% of our total revenues and an approximate corresponding percentage of our receivables, net and associated allowance for doubtful accounts. We perform credit evaluations of customers and establish credit limits based on reviews of our customers’ current credit information and payment histories. We believe our credit risk is somewhat mitigated by our geographically diverse customer base and our credit evaluation procedures. The actual rate of future credit losses, however, may not be similar to past experience. Our estimate of doubtful accounts could change based on changing circumstances, including changes in the economy or in the particular circumstances of individual customers. Accordingly, we may be required to increase or decrease our allowance for doubtful accounts. Bad debt expense as a percentage of total revenues for the nine months ended September 30, 2024 and 2023 was approximately 0.4% and 0.3%,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do not have material contract assets, impairment losses associated therewith, or material contract liabilities associated with contracts with customers. Our contracts with customers do not generally result in material amounts billed to customers in excess of recognizable revenue. We did not recognize material revenues during the three and nine months ended September 30, 2024 and 2023 that were included in the contract liability balance as of the beginning of such periods.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is recorded as the excess of the consideration transferred plus the fair value of any non-controlling interest in the acquiree at the acquisition date over the fair values of the identifiable net assets acquired. The change to the carrying amount of goodwill for the year ended December 31, 2023 and the nine months ended September 30, 2024 is as follows (amounts in thousands): </w:t>
      </w:r>
    </w:p>
    <w:p>
      <w:pPr>
        <w:pStyle w:val="TextBody"/>
        <w:bidi w:val="0"/>
        <w:jc w:val="left"/>
        <w:rPr/>
      </w:pPr>
      <w:r>
        <w:rPr/>
        <w:t> </w:t>
      </w:r>
    </w:p>
    <w:tbl>
      <w:tblPr>
        <w:tblW w:w="9016" w:type="dxa"/>
        <w:jc w:val="left"/>
        <w:tblInd w:w="0" w:type="dxa"/>
        <w:tblLayout w:type="fixed"/>
        <w:tblCellMar>
          <w:top w:w="28" w:type="dxa"/>
          <w:left w:w="28" w:type="dxa"/>
          <w:bottom w:w="28" w:type="dxa"/>
          <w:right w:w="28" w:type="dxa"/>
        </w:tblCellMar>
      </w:tblPr>
      <w:tblGrid>
        <w:gridCol w:w="2911"/>
        <w:gridCol w:w="146"/>
        <w:gridCol w:w="312"/>
        <w:gridCol w:w="1158"/>
        <w:gridCol w:w="166"/>
        <w:gridCol w:w="146"/>
        <w:gridCol w:w="396"/>
        <w:gridCol w:w="1074"/>
        <w:gridCol w:w="146"/>
        <w:gridCol w:w="146"/>
        <w:gridCol w:w="225"/>
        <w:gridCol w:w="675"/>
        <w:gridCol w:w="166"/>
        <w:gridCol w:w="146"/>
        <w:gridCol w:w="211"/>
        <w:gridCol w:w="781"/>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Equipment Rentals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 of Rental Eq.</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Parts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 (1)</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102,690</w:t>
            </w:r>
          </w:p>
        </w:tc>
        <w:tc>
          <w:tcPr>
            <w:tcW w:w="2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(2)</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(3)</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(4)</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(5)</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 (1)</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108,155</w:t>
            </w:r>
          </w:p>
        </w:tc>
        <w:tc>
          <w:tcPr>
            <w:tcW w:w="2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(6)</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17,536</w:t>
            </w:r>
          </w:p>
        </w:tc>
        <w:tc>
          <w:tcPr>
            <w:tcW w:w="2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(7)</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(8)</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8,401</w:t>
            </w:r>
          </w:p>
        </w:tc>
        <w:tc>
          <w:tcPr>
            <w:tcW w:w="2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(9)</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2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(10)</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 (1)</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60" w:after="283"/>
        <w:jc w:val="left"/>
        <w:rPr/>
      </w:pPr>
      <w:r>
        <w:rPr>
          <w:rFonts w:ascii="Times New Roman" w:hAnsi="Times New Roman"/>
          <w:color w:val="000000"/>
          <w:sz w:val="20"/>
        </w:rPr>
        <w:t>The total carrying amount of goodwill as of December 31, 2022 in the table above is reflected net of $92.7</w:t>
      </w:r>
      <w:r>
        <w:rPr>
          <w:color w:val="000000"/>
        </w:rPr>
        <w:t xml:space="preserve"> </w:t>
      </w:r>
      <w:r>
        <w:rPr>
          <w:rFonts w:ascii="Times New Roman" w:hAnsi="Times New Roman"/>
          <w:color w:val="000000"/>
          <w:sz w:val="20"/>
        </w:rPr>
        <w:t>million of accumulated impairment charges. The total carrying amount of goodwill as of December 31, 2023 and September 30, 2024 in the table above is reflected net of $98.4</w:t>
      </w:r>
      <w:r>
        <w:rPr>
          <w:color w:val="000000"/>
        </w:rPr>
        <w:t xml:space="preserve"> </w:t>
      </w:r>
      <w:r>
        <w:rPr>
          <w:rFonts w:ascii="Times New Roman" w:hAnsi="Times New Roman"/>
          <w:color w:val="000000"/>
          <w:sz w:val="20"/>
        </w:rPr>
        <w:t>million of accumulated impairment charges.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Increase is related to the closing adjustments of the OSR Acquisition during the first quarter of 2023.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Decrease is related to the Parts Sales goodwill impairment calculated during the third quarter of 2023.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Decrease is related to the final closing adjustment of the OSR Acquisition during the third quarter of 2023.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Increase due to the Giffin Equipment (“Giffin”) Acquisition during the fourth quarter of 2023.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60" w:after="283"/>
        <w:jc w:val="left"/>
        <w:rPr/>
      </w:pPr>
      <w:r>
        <w:rPr>
          <w:rFonts w:ascii="Times New Roman" w:hAnsi="Times New Roman"/>
          <w:color w:val="000000"/>
          <w:sz w:val="20"/>
        </w:rPr>
        <w:t>Increase due to the Precision Rentals (“Precision”) Acquisition during the first quarter of 2024.</w:t>
      </w:r>
      <w:r>
        <w:rPr>
          <w:color w:val="000000"/>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Decrease is related to the purchase accounting adjustment of the Giffin Acquisition during the first quarter of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Increase due to Lewistown Rentals (“Lewistown”) Acquisition during the second quarter of 2024.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Increase is related to the final closing adjustment of the Precision Acquisition during the second quarter of 2024.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Increase is related to the final closing adjustment of the Lewistown Acquisition during the third quarter of 2024. </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Rental Equipment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The rental equipment we purchase is recorded in rental equipment on the condensed consolidated balance sheets and is stated at cost. Due to the Company’s shift to operate as a pure-play rental company, as of the quarter ended June 30, 2024 purchases of equipment are now disaggregated between inventory and rental equipment according to classification at the time of purchase as opposed to considering all generally available for sale. Purchases of equipment designated for fleet are now recorded as rental equipment while equipment designated for sale is recorded as inventory. Rental equipment is depreciated over the estimated useful life of the equipment upon placed in service using the straight-line method and is included in rental depreciation within our condensed consolidated statements of income. Estimated useful lives vary based upon type of equipment. Generally, we depreciate aerial work platforms over a ten year estimated useful life, earthmoving equipment over a five year estimated useful life with a 25% salvage value, and material handling equipment over a seven year estimated useful life. Attachments and other smaller type equipment are depreciated generally over a three year estimated useful life. We periodically evaluate the appropriateness of remaining depreciable lives and any salvage value assigned to rental equipment. Depreciation expense on rental equipment is reflected in rental depreciation in cost of revenues on the condensed consolidated statements of income. </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Ordinary repair and maintenance costs and property taxes are reflected in rental expenses in cost of revenues on the condensed consolidated statements of income. However, expenditures for additions or improvements that significantly extend the useful life of the asset are capitalized in the period incurred. When rental equipment is sold or disposed of, the related cost and accumulated depreciation are removed from the respective accounts and any gains or losses are included in gross profit in the condensed consolidated statements of income. We receive individual offers for fleet on a continual basis, at which time we perform an analysis on whether or not to accept the offer. The rental equipment is not transferred to inventory under the held for sale model as the equipment is used to generate revenues until the equipment is sold.</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i/>
          <w:color w:val="000000"/>
          <w:sz w:val="20"/>
        </w:rPr>
        <w:t>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Accounting Standards Update (“ASU”) No. 2023-07, Segment Reporting (Topic 280): Improvements to Reportable Segment Disclosures, which improves the disclosures about a public entity’s reportable segments and addresses requests for additional, more detailed information about a reportable segment’s expenses. The amendments in this ASU require disclosure of incremental segment information on an annual and interim basis for all public entities. The amendments are effective for our Annual Report on Form 10-K for fiscal years beginning after December 15, 2023, and for the interim periods within fiscal years beginning after December 15, 2024, with early adoption permitted. ASU 2023-07 became effective on January 1, 2024 and is not expected to have an impact on our financial statements, but will result in expanded reportable segment disclosures.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should improve the transparency of income tax disclosures by requiring consistent categories and greater disaggregation of information in the rate reconciliation and income taxes paid disaggregated by jurisdiction. The ASU requires that public entities on an annual basis disclose specific categories in the rate reconciliation, provide additional information for reconciling items that meet a quantitative threshold and the following information about income taxes paid: the amount of income taxes paid disaggregated by federal (national), state, and foreign taxes and the amount of income taxes paid disaggregated by individual jurisdictions. Lastly, the amendments in this ASU require that entities disclose income (or loss) from continuing operations before income tax expense (or benefit) disaggregated between domestic and foreign and income tax expense (or benefit) from continuing operations disaggregated by federal (national), state, and foreign. ASU 2023-09 becomes effective January 1, 2025 and is not expected to have an impact on our financial statements, but will result in expanded tax disclosures.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Acquisitions and Dispositions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 Acquisitions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Lewistown Rentals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May 1, 2024, we completed the acquisition of Lewistown Rentals (“Lewistown”), a Lewistown, Montana-based equipment rental business and three of its affiliated rental operations in Havre, Glasgow and Great Falls, Montana. The acquisition expands our presence in the Montana market.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aggregate cash consideration paid was approximately $33.8 million. The acquisition and related fees and expenses were funded from available cash and borrowings. The following table summarizes the fair value of the assets acquired and liabilities assumed as of the acquisition date. Customary closing adjustments were finalized during the third quarter of 2024.</w:t>
      </w:r>
    </w:p>
    <w:tbl>
      <w:tblPr>
        <w:tblW w:w="5718" w:type="dxa"/>
        <w:jc w:val="left"/>
        <w:tblInd w:w="0" w:type="dxa"/>
        <w:tblLayout w:type="fixed"/>
        <w:tblCellMar>
          <w:top w:w="28" w:type="dxa"/>
          <w:left w:w="28" w:type="dxa"/>
          <w:bottom w:w="28" w:type="dxa"/>
          <w:right w:w="28" w:type="dxa"/>
        </w:tblCellMar>
      </w:tblPr>
      <w:tblGrid>
        <w:gridCol w:w="3901"/>
        <w:gridCol w:w="146"/>
        <w:gridCol w:w="299"/>
        <w:gridCol w:w="961"/>
        <w:gridCol w:w="4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 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equipment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Customer relationships intangible asset </w:t>
            </w: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identifiable assets acquired</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24,978</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payable and other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identifiable assets acquired</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24,871</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reflects the fair values and useful lives of the acquired intangible assets:</w:t>
      </w:r>
    </w:p>
    <w:tbl>
      <w:tblPr>
        <w:tblW w:w="4530" w:type="dxa"/>
        <w:jc w:val="left"/>
        <w:tblInd w:w="0" w:type="dxa"/>
        <w:tblLayout w:type="fixed"/>
        <w:tblCellMar>
          <w:top w:w="28" w:type="dxa"/>
          <w:left w:w="28" w:type="dxa"/>
          <w:bottom w:w="28" w:type="dxa"/>
          <w:right w:w="28" w:type="dxa"/>
        </w:tblCellMar>
      </w:tblPr>
      <w:tblGrid>
        <w:gridCol w:w="1996"/>
        <w:gridCol w:w="146"/>
        <w:gridCol w:w="258"/>
        <w:gridCol w:w="702"/>
        <w:gridCol w:w="146"/>
        <w:gridCol w:w="146"/>
        <w:gridCol w:w="297"/>
        <w:gridCol w:w="648"/>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(amounts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(2)</w:t>
      </w:r>
    </w:p>
    <w:p>
      <w:pPr>
        <w:pStyle w:val="TextBody"/>
        <w:bidi w:val="0"/>
        <w:jc w:val="left"/>
        <w:rPr>
          <w:rFonts w:ascii="Times New Roman" w:hAnsi="Times New Roman"/>
          <w:color w:val="000000"/>
          <w:sz w:val="20"/>
        </w:rPr>
      </w:pPr>
      <w:r>
        <w:rPr>
          <w:rFonts w:ascii="Times New Roman" w:hAnsi="Times New Roman"/>
          <w:color w:val="000000"/>
          <w:sz w:val="20"/>
        </w:rPr>
        <w:t>The acquired goodwill has been allocated to the equipment rentals reporting unit.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level of goodwill that resulted from the Lewistown acquisition is primarily reflective of Lewistown’s going-concern value, the value of assembled workforce, new customer relationships expected to arise from the acquisition and expected synergies from combining operations. We currently expect the goodwill recognized to be 100% deductible for income tax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Acquisition costs for the nine months ended September 30, 2024 were $0.4 million included within selling, general and administrative (“SG&amp;A”) expenses on the condensed consolidated statement of income. Since our acquisition of Lewistown on May 1, 2024, significant amounts of equipment rental fleet have been moved between H&amp;E locations and the acquired locations, and it is impractical to reasonably estimate the amount of Lewistown revenues and earnings since the acquisition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assets and liabilities were recorded as of May 1, 2024 and the results of operations are included in the Company's consolidated results as of that 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Precision Rentals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January 1, 2024, we completed the acquisition of Precision Rentals (“Precision”), an equipment rental company with a branch located in each of Arizona and Colorado. The acquisition expands our presence in both geographic markets.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aggregate cumulative cash consideration paid was approximately $124.0 million, which includes $3.5 million of fair value allocated to a noncompete agreement which is accounted for as a separate transaction from the net assets acquired in the business combination. The acquisition and related fees and expenses were funded from available cash and borrowings. Customary closing adjustments were finalized during the second quarter of 2024. The following table summarizes the fair value of the assets acquired and liabilities assumed as of the acquisition date.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43" w:type="dxa"/>
        <w:jc w:val="left"/>
        <w:tblInd w:w="0" w:type="dxa"/>
        <w:tblLayout w:type="fixed"/>
        <w:tblCellMar>
          <w:top w:w="28" w:type="dxa"/>
          <w:left w:w="28" w:type="dxa"/>
          <w:bottom w:w="28" w:type="dxa"/>
          <w:right w:w="28" w:type="dxa"/>
        </w:tblCellMar>
      </w:tblPr>
      <w:tblGrid>
        <w:gridCol w:w="4126"/>
        <w:gridCol w:w="146"/>
        <w:gridCol w:w="268"/>
        <w:gridCol w:w="992"/>
        <w:gridCol w:w="4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 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w:t>
            </w:r>
          </w:p>
        </w:tc>
        <w:tc>
          <w:tcPr>
            <w:tcW w:w="4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equipment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63,215</w:t>
            </w:r>
          </w:p>
        </w:tc>
        <w:tc>
          <w:tcPr>
            <w:tcW w:w="4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4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Customer relationships intangible asset </w:t>
            </w: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identifiable assets acquired</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103,251</w:t>
            </w:r>
          </w:p>
        </w:tc>
        <w:tc>
          <w:tcPr>
            <w:tcW w:w="4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payable and other liabilities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identifiable assets acquired</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102,294</w:t>
            </w:r>
          </w:p>
        </w:tc>
        <w:tc>
          <w:tcPr>
            <w:tcW w:w="4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Noncompetition agreement intangible asset </w:t>
            </w:r>
            <w:r>
              <w:rPr>
                <w:rFonts w:ascii="Times New Roman" w:hAnsi="Times New Roman"/>
                <w:color w:val="000000"/>
                <w:sz w:val="16"/>
              </w:rPr>
              <w:t>(1)(3)</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cumulative consideration</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9"/>
        </w:rPr>
      </w:pPr>
      <w:r>
        <w:rPr>
          <w:rFonts w:ascii="Times New Roman" w:hAnsi="Times New Roman"/>
          <w:color w:val="000000"/>
          <w:sz w:val="19"/>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reflects the fair values and useful lives of the acquired intangible assets:</w:t>
      </w:r>
    </w:p>
    <w:tbl>
      <w:tblPr>
        <w:tblW w:w="4950" w:type="dxa"/>
        <w:jc w:val="left"/>
        <w:tblInd w:w="0" w:type="dxa"/>
        <w:tblLayout w:type="fixed"/>
        <w:tblCellMar>
          <w:top w:w="28" w:type="dxa"/>
          <w:left w:w="28" w:type="dxa"/>
          <w:bottom w:w="28" w:type="dxa"/>
          <w:right w:w="28" w:type="dxa"/>
        </w:tblCellMar>
      </w:tblPr>
      <w:tblGrid>
        <w:gridCol w:w="2416"/>
        <w:gridCol w:w="146"/>
        <w:gridCol w:w="228"/>
        <w:gridCol w:w="732"/>
        <w:gridCol w:w="146"/>
        <w:gridCol w:w="146"/>
        <w:gridCol w:w="297"/>
        <w:gridCol w:w="648"/>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(amounts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Noncompetition agreements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acquired goodwill has been allocated to the equipment rentals reporting unit.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noncompetition agreements is considered to be a separate transaction under ASC 805 and as such, has been excluded from the purchase price.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level of goodwill that resulted from the Precision acquisition is primarily reflective of Precision’s going-concern value, the value of assembled workforce, new customer relationships expected to arise from the acquisition and expected synergies from combining operations. We currently expect the goodwill recognized to be 100% deductible for income tax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Acquisition costs for the nine months ended September 30, 2024 were $0.4 million included within SG&amp;A expenses on the condensed consolidated statement of income. Since our acquisition of Precision on January 1, 2024, significant amounts of equipment rental fleet have been moved between H&amp;E locations and the acquired locations, and it is impractical to reasonably estimate the amount of Precision revenues and earnings since the acquisition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assets and liabilities were recorded as of January 1, 2024 and the results of operations are included in the Company's consolidated results as of that date.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2023 Acquisition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Giffin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November 1, 2023, we completed the acquisition of Mel Giffin, Inc. (d/b/a Giffin Equipment) (“Giffin”), an equipment rental company with three branches located in California. The acquisition expands our presence in the California market.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aggregate cash consideration paid was approximately $31.3 million. The acquisition and related fees and expenses were funded from available cash and borrowings. The following table summarizes the fair value of the assets acquired and liabilities assumed as of the acquisition date. Customary closing adjustments were finalized during the third quarter of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718" w:type="dxa"/>
        <w:jc w:val="left"/>
        <w:tblInd w:w="0" w:type="dxa"/>
        <w:tblLayout w:type="fixed"/>
        <w:tblCellMar>
          <w:top w:w="28" w:type="dxa"/>
          <w:left w:w="28" w:type="dxa"/>
          <w:bottom w:w="28" w:type="dxa"/>
          <w:right w:w="28" w:type="dxa"/>
        </w:tblCellMar>
      </w:tblPr>
      <w:tblGrid>
        <w:gridCol w:w="3901"/>
        <w:gridCol w:w="146"/>
        <w:gridCol w:w="299"/>
        <w:gridCol w:w="961"/>
        <w:gridCol w:w="4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 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equipment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Intangible assets </w:t>
            </w: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identifiable assets acquired</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20,223</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payable and other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identifiable assets acquired</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20,083</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reflects the fair values and useful lives of the acquired intangible assets:</w:t>
      </w:r>
    </w:p>
    <w:tbl>
      <w:tblPr>
        <w:tblW w:w="4950" w:type="dxa"/>
        <w:jc w:val="left"/>
        <w:tblInd w:w="0" w:type="dxa"/>
        <w:tblLayout w:type="fixed"/>
        <w:tblCellMar>
          <w:top w:w="28" w:type="dxa"/>
          <w:left w:w="28" w:type="dxa"/>
          <w:bottom w:w="28" w:type="dxa"/>
          <w:right w:w="28" w:type="dxa"/>
        </w:tblCellMar>
      </w:tblPr>
      <w:tblGrid>
        <w:gridCol w:w="2416"/>
        <w:gridCol w:w="146"/>
        <w:gridCol w:w="258"/>
        <w:gridCol w:w="702"/>
        <w:gridCol w:w="146"/>
        <w:gridCol w:w="146"/>
        <w:gridCol w:w="297"/>
        <w:gridCol w:w="648"/>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(amounts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Noncompetition agreements</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vAlign w:val="center"/>
          </w:tcPr>
          <w:p>
            <w:pPr>
              <w:pStyle w:val="TableContents"/>
              <w:bidi w:val="0"/>
              <w:spacing w:before="0" w:after="283"/>
              <w:jc w:val="left"/>
              <w:rPr/>
            </w:pPr>
            <w:r>
              <w:rPr/>
              <w:t> </w:t>
            </w:r>
          </w:p>
        </w:tc>
      </w:tr>
      <w:tr>
        <w:trPr/>
        <w:tc>
          <w:tcPr>
            <w:tcW w:w="24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The acquired goodwill has been allocated to the equipment rentals reporting unit.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level of goodwill that resulted from the Giffin acquisition is primarily reflective of Giffin’s going-concern value, the value of assembled workforce, new customer relationships expected to arise from the acquisition and expected synergies from combining operations. We currently expect the goodwill recognized to be 100% deductible for income tax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Acquisition costs for the nine months ended September 30, 2024 were $0.1 million included within SG&amp;A expenses on the condensed consolidated statement of income. Since our acquisition of Giffin on November 1, 2023, significant amounts of equipment rental fleet have been moved between H&amp;E locations and the acquired locations, and it is impractical to reasonably estimate the amount of Giffin revenues and earnings since the acquisition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assets and liabilities were recorded as of November 1, 2023 and the results of operations are included in the Company's consolidated results as of that date.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 forma financial information (unaudited)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completed the Giffin acquisition effective November 1, 2023, the Precision acquisition effective January 1, 2024 and the Lewistown acquisition effective May 1, 2024; therefore, our reported condensed consolidated statements of income for the three and nine months ended September 30, 2023 does not include Giffin, Precision or Lewistown and the nine months ended September 30, 2024 does not include Lewistown for the entire period.</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unaudited pro forma information in the table below (amounts in thousands) is for informational purposes only and gives effect to the Giffin, Precision and Lewistown acquisitions had all been completed on January 1, 2023 (the “pro forma acquisition date”). The unaudited pro forma information is not necessarily indicative of our results of operations had the acquisition been completed on the pro forma acquisition date, nor is it necessarily indicative of our future results. The unaudited pro forma information does not reflect any cost savings from operating efficiencies or synergies that could result from the acquisition, nor does it reflect additional revenue opportunities following the acquisition. The unaudited pro forma financial information includes adjustments primarily related to the incremental depreciation and amortization expense of the rental equipment and intangible assets acquired, the elimination of interest expense related to historical debt as well as other expenses that are not part of the combined entity and transaction expenses.</w:t>
      </w:r>
    </w:p>
    <w:tbl>
      <w:tblPr>
        <w:tblW w:w="6176" w:type="dxa"/>
        <w:jc w:val="left"/>
        <w:tblInd w:w="0" w:type="dxa"/>
        <w:tblLayout w:type="fixed"/>
        <w:tblCellMar>
          <w:top w:w="28" w:type="dxa"/>
          <w:left w:w="28" w:type="dxa"/>
          <w:bottom w:w="28" w:type="dxa"/>
          <w:right w:w="28" w:type="dxa"/>
        </w:tblCellMar>
      </w:tblPr>
      <w:tblGrid>
        <w:gridCol w:w="1321"/>
        <w:gridCol w:w="146"/>
        <w:gridCol w:w="351"/>
        <w:gridCol w:w="1299"/>
        <w:gridCol w:w="146"/>
        <w:gridCol w:w="146"/>
        <w:gridCol w:w="211"/>
        <w:gridCol w:w="931"/>
        <w:gridCol w:w="146"/>
        <w:gridCol w:w="146"/>
        <w:gridCol w:w="211"/>
        <w:gridCol w:w="931"/>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 Forma (unaudited)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1,123,032</w:t>
            </w:r>
          </w:p>
        </w:tc>
        <w:tc>
          <w:tcPr>
            <w:tcW w:w="1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114,099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amount that would be received for selling an asset or paid to transfer a liability in an orderly transaction between market participants at the measurement date. The FASB fair value measurement guidance established a fair value hierarchy that prioritizes the inputs used to measure fair value. The three broad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(unadjusted)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Quoted prices for similar assets and liabilities in active markets or inputs that are observable for the asset or liability,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for which little or no market data exists, therefore requiring a company to develop its own assumptions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carrying value of financial instruments reported in the accompanying condensed consolidated balance sheets for cash, accounts receivable, Senior Secured Credit Facility (the “Credit Facility”), accounts payable and accrued expenses payable and other liabilities approximate fair value due to the immediate or short-term nature, maturity or market interest rate of these financial instruments. The Company’s outstanding obligations on its Credit Facility are deemed to be at fair value as the interest rates are variable and consistent with prevailing rates, which are considered Level 2 inputs. The carrying amounts and fair values of our other financial instruments subject to fair value disclosures as of September 30, 2024 and December 31, 2023 are presented in the table below (amounts in thousands).</w:t>
      </w:r>
    </w:p>
    <w:tbl>
      <w:tblPr>
        <w:tblW w:w="9454" w:type="dxa"/>
        <w:jc w:val="left"/>
        <w:tblInd w:w="0" w:type="dxa"/>
        <w:tblLayout w:type="fixed"/>
        <w:tblCellMar>
          <w:top w:w="28" w:type="dxa"/>
          <w:left w:w="28" w:type="dxa"/>
          <w:bottom w:w="28" w:type="dxa"/>
          <w:right w:w="28" w:type="dxa"/>
        </w:tblCellMar>
      </w:tblPr>
      <w:tblGrid>
        <w:gridCol w:w="6541"/>
        <w:gridCol w:w="146"/>
        <w:gridCol w:w="211"/>
        <w:gridCol w:w="931"/>
        <w:gridCol w:w="146"/>
        <w:gridCol w:w="146"/>
        <w:gridCol w:w="211"/>
        <w:gridCol w:w="931"/>
        <w:gridCol w:w="191"/>
      </w:tblGrid>
      <w:tr>
        <w:trPr/>
        <w:tc>
          <w:tcPr>
            <w:tcW w:w="6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Manufacturer flooring plans payable with interest computed at 8.50% (Level 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9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Unsecured Notes due 2028 with interest computed at 3.875% (Level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1,243,934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1,174,263</w:t>
            </w:r>
          </w:p>
        </w:tc>
        <w:tc>
          <w:tcPr>
            <w:tcW w:w="191" w:type="dxa"/>
            <w:tcBorders/>
            <w:shd w:fill="FFFFFF" w:val="clear"/>
            <w:vAlign w:val="center"/>
          </w:tcPr>
          <w:p>
            <w:pPr>
              <w:pStyle w:val="TableContents"/>
              <w:bidi w:val="0"/>
              <w:spacing w:before="0" w:after="283"/>
              <w:jc w:val="left"/>
              <w:rPr/>
            </w:pPr>
            <w:r>
              <w:rPr/>
              <w:t> </w:t>
            </w:r>
          </w:p>
        </w:tc>
      </w:tr>
    </w:tbl>
    <w:tbl>
      <w:tblPr>
        <w:tblW w:w="9454" w:type="dxa"/>
        <w:jc w:val="left"/>
        <w:tblInd w:w="0" w:type="dxa"/>
        <w:tblLayout w:type="fixed"/>
        <w:tblCellMar>
          <w:top w:w="28" w:type="dxa"/>
          <w:left w:w="28" w:type="dxa"/>
          <w:bottom w:w="28" w:type="dxa"/>
          <w:right w:w="28" w:type="dxa"/>
        </w:tblCellMar>
      </w:tblPr>
      <w:tblGrid>
        <w:gridCol w:w="6541"/>
        <w:gridCol w:w="146"/>
        <w:gridCol w:w="211"/>
        <w:gridCol w:w="931"/>
        <w:gridCol w:w="146"/>
        <w:gridCol w:w="146"/>
        <w:gridCol w:w="211"/>
        <w:gridCol w:w="931"/>
        <w:gridCol w:w="191"/>
      </w:tblGrid>
      <w:tr>
        <w:trPr/>
        <w:tc>
          <w:tcPr>
            <w:tcW w:w="6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Manufacturer flooring plans payable with interest computed at 8.75% (Level 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9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Unsecured Notes due 2028 with interest computed at 3.875% (Level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1,137,170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At September 30, 2024 and December 31, 2023, the fair value of our senior unsecured notes due 2028 (the “Senior Unsecured Notes”) was based on quoted bond trading market prices for those notes. For our Level 3 unobservable inputs, we calculate a discount rate for our manufacturing floor plans payable based on the U.S. prime rate plus the applicable margin on our Credit Facility. The discount rate is disclosed in the above table. The assets collateralized against the manufacturer flooring plans payable approximate its carrying value.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three and nine months ended September 30, 2024 and 2023, there were no transfers of financial assets or liabilities in or out of Level 3 of the fair value hierarchy.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Stockholders’ Equity</w:t>
      </w:r>
    </w:p>
    <w:p>
      <w:pPr>
        <w:pStyle w:val="TextBody"/>
        <w:bidi w:val="0"/>
        <w:spacing w:before="120" w:after="40"/>
        <w:jc w:val="left"/>
        <w:rPr>
          <w:rFonts w:ascii="Times New Roman" w:hAnsi="Times New Roman"/>
          <w:color w:val="000000"/>
          <w:sz w:val="20"/>
        </w:rPr>
      </w:pPr>
      <w:r>
        <w:rPr>
          <w:rFonts w:ascii="Times New Roman" w:hAnsi="Times New Roman"/>
          <w:color w:val="000000"/>
          <w:sz w:val="20"/>
        </w:rPr>
        <w:t>The following table summarizes the activity in Stockholders’ Equity for the three and nine months ended September 30, 2024 and 2023, respectively (amounts in thousands, except share and per share data):</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87"/>
        <w:gridCol w:w="146"/>
        <w:gridCol w:w="146"/>
        <w:gridCol w:w="916"/>
        <w:gridCol w:w="166"/>
        <w:gridCol w:w="146"/>
        <w:gridCol w:w="236"/>
        <w:gridCol w:w="455"/>
        <w:gridCol w:w="146"/>
        <w:gridCol w:w="146"/>
        <w:gridCol w:w="196"/>
        <w:gridCol w:w="691"/>
        <w:gridCol w:w="146"/>
        <w:gridCol w:w="146"/>
        <w:gridCol w:w="196"/>
        <w:gridCol w:w="661"/>
        <w:gridCol w:w="166"/>
        <w:gridCol w:w="146"/>
        <w:gridCol w:w="249"/>
        <w:gridCol w:w="878"/>
        <w:gridCol w:w="166"/>
        <w:gridCol w:w="146"/>
        <w:gridCol w:w="236"/>
        <w:gridCol w:w="878"/>
        <w:gridCol w:w="214"/>
      </w:tblGrid>
      <w:tr>
        <w:trPr/>
        <w:tc>
          <w:tcPr>
            <w:tcW w:w="2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shd w:fill="FFFFFF" w:val="clear"/>
            <w:vAlign w:val="center"/>
          </w:tcPr>
          <w:p>
            <w:pPr>
              <w:pStyle w:val="TableContents"/>
              <w:bidi w:val="0"/>
              <w:spacing w:before="0" w:after="283"/>
              <w:jc w:val="center"/>
              <w:rPr/>
            </w:pPr>
            <w:r>
              <w:rPr/>
              <w:t> </w:t>
            </w:r>
          </w:p>
        </w:tc>
      </w:tr>
      <w:tr>
        <w:trPr/>
        <w:tc>
          <w:tcPr>
            <w:tcW w:w="25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w:t>
              <w:br/>
              <w:t>Issued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Treasury </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Stockholders’ </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40,823,375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(76,017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534,289</w:t>
            </w:r>
          </w:p>
        </w:tc>
        <w:tc>
          <w:tcPr>
            <w:tcW w:w="214" w:type="dxa"/>
            <w:tcBorders/>
            <w:shd w:fill="CFF0FC"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3,788</w:t>
            </w:r>
          </w:p>
        </w:tc>
        <w:tc>
          <w:tcPr>
            <w:tcW w:w="214" w:type="dxa"/>
            <w:tcBorders/>
            <w:shd w:fill="FFFFFF" w:val="cle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declared on common stock ($0.275</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(9,900</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net of forfeitures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4" w:type="dxa"/>
            <w:tcBorders/>
            <w:shd w:fill="FFFFFF" w:val="cle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Repurchase of 57,662</w:t>
            </w:r>
            <w:r>
              <w:rPr>
                <w:rFonts w:ascii="Times New Roman" w:hAnsi="Times New Roman"/>
                <w:color w:val="000000"/>
                <w:sz w:val="20"/>
              </w:rPr>
              <w:t> </w:t>
            </w:r>
            <w:r>
              <w:rPr>
                <w:rFonts w:ascii="Times New Roman" w:hAnsi="Times New Roman"/>
                <w:color w:val="000000"/>
                <w:sz w:val="18"/>
              </w:rPr>
              <w:t>shares of restricted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25,889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40,960,811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(79,407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363,960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550,678</w:t>
            </w:r>
          </w:p>
        </w:tc>
        <w:tc>
          <w:tcPr>
            <w:tcW w:w="214" w:type="dxa"/>
            <w:tcBorders/>
            <w:shd w:fill="CFF0FC"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w:t>
            </w:r>
          </w:p>
        </w:tc>
        <w:tc>
          <w:tcPr>
            <w:tcW w:w="214" w:type="dxa"/>
            <w:tcBorders/>
            <w:shd w:fill="FFFFFF" w:val="cle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declared on common stock ($0.275</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(10,092</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forfeitures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40,955,169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(79,407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576,049</w:t>
            </w:r>
          </w:p>
        </w:tc>
        <w:tc>
          <w:tcPr>
            <w:tcW w:w="214" w:type="dxa"/>
            <w:tcBorders/>
            <w:shd w:fill="FFFFFF" w:val="cle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w:t>
            </w:r>
          </w:p>
        </w:tc>
        <w:tc>
          <w:tcPr>
            <w:tcW w:w="214" w:type="dxa"/>
            <w:tcBorders/>
            <w:shd w:fill="CFF0FC"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declared on common stock ($0.275</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(10,131</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net of forfeitures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4" w:type="dxa"/>
            <w:tcBorders/>
            <w:shd w:fill="CFF0FC"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Repurchase of 49,645</w:t>
            </w:r>
            <w:r>
              <w:rPr>
                <w:rFonts w:ascii="Times New Roman" w:hAnsi="Times New Roman"/>
                <w:color w:val="000000"/>
                <w:sz w:val="20"/>
              </w:rPr>
              <w:t> </w:t>
            </w:r>
            <w:r>
              <w:rPr>
                <w:rFonts w:ascii="Times New Roman" w:hAnsi="Times New Roman"/>
                <w:color w:val="000000"/>
                <w:sz w:val="18"/>
              </w:rPr>
              <w:t>shares of restricted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31,068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41,093,266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597,212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40,567,876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(69,964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401,042</w:t>
            </w:r>
          </w:p>
        </w:tc>
        <w:tc>
          <w:tcPr>
            <w:tcW w:w="214" w:type="dxa"/>
            <w:tcBorders/>
            <w:shd w:fill="FFFFFF" w:val="cle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214" w:type="dxa"/>
            <w:tcBorders/>
            <w:shd w:fill="CFF0FC"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declared on common stock ($0.275</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(9,794</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net of forfeitures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4" w:type="dxa"/>
            <w:tcBorders/>
            <w:shd w:fill="CFF0FC"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Repurchase of 58,211</w:t>
            </w:r>
            <w:r>
              <w:rPr>
                <w:rFonts w:ascii="Times New Roman" w:hAnsi="Times New Roman"/>
                <w:color w:val="000000"/>
                <w:sz w:val="20"/>
              </w:rPr>
              <w:t> </w:t>
            </w:r>
            <w:r>
              <w:rPr>
                <w:rFonts w:ascii="Times New Roman" w:hAnsi="Times New Roman"/>
                <w:color w:val="000000"/>
                <w:sz w:val="18"/>
              </w:rPr>
              <w:t>shares of restricted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40,700,377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(73,190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416,687</w:t>
            </w:r>
          </w:p>
        </w:tc>
        <w:tc>
          <w:tcPr>
            <w:tcW w:w="214" w:type="dxa"/>
            <w:tcBorders/>
            <w:shd w:fill="FFFFFF" w:val="cle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214" w:type="dxa"/>
            <w:tcBorders/>
            <w:shd w:fill="CFF0FC"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declared on common stock ($0.275</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(10,046</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forfeitures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40,695,054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265,750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449,896</w:t>
            </w:r>
          </w:p>
        </w:tc>
        <w:tc>
          <w:tcPr>
            <w:tcW w:w="214" w:type="dxa"/>
            <w:tcBorders/>
            <w:shd w:fill="CFF0FC"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2,275</w:t>
            </w:r>
          </w:p>
        </w:tc>
        <w:tc>
          <w:tcPr>
            <w:tcW w:w="214" w:type="dxa"/>
            <w:tcBorders/>
            <w:shd w:fill="FFFFFF" w:val="cle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declared on common stock ($0.275</w:t>
            </w:r>
            <w:r>
              <w:rPr>
                <w:rFonts w:ascii="Times New Roman" w:hAnsi="Times New Roman"/>
                <w:color w:val="000000"/>
                <w:sz w:val="20"/>
              </w:rPr>
              <w:t> </w:t>
            </w:r>
            <w:r>
              <w:rPr>
                <w:rFonts w:ascii="Times New Roman" w:hAnsi="Times New Roman"/>
                <w:color w:val="000000"/>
                <w:sz w:val="18"/>
              </w:rPr>
              <w:t>per share)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(10,091</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net of forfeitures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4" w:type="dxa"/>
            <w:tcBorders/>
            <w:shd w:fill="FFFFFF" w:val="cle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Repurchase of 57,421</w:t>
            </w:r>
            <w:r>
              <w:rPr>
                <w:rFonts w:ascii="Times New Roman" w:hAnsi="Times New Roman"/>
                <w:color w:val="000000"/>
                <w:sz w:val="20"/>
              </w:rPr>
              <w:t> </w:t>
            </w:r>
            <w:r>
              <w:rPr>
                <w:rFonts w:ascii="Times New Roman" w:hAnsi="Times New Roman"/>
                <w:color w:val="000000"/>
                <w:sz w:val="18"/>
              </w:rPr>
              <w:t>shares of restricted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(2,827</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8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48,879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40,824,586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488,134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is measured at the grant date, based on the calculated fair value of the award, net of an estimated forfeiture rate, and is recognized as an expense over the requisite employee service period (generally the vesting period of the grant). The estimated forfeiture rate is based on historical experience and revised, if necessary, in subsequent periods for actual forfeitures.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2016 Stock-Based Incentive Compensation Plan (the “2016 Plan”) is administered by the Compensation Committee of our Board of Directors, which selects persons eligible to receive awards and determines the number of shares and/or options subject to each award, the terms, conditions, performance measures, if any, and other provisions of the award. Under the 2016 Plan, we may offer deferred shares or restricted shares of our common stock and grant options, including both incentive stock options and nonqualified stock options, to purchase shares of our common stock. Shares available for future stock-based payment awards under our 2016 Plan were 2,221,986 shares of common stock as of September 30,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Non-vested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non-vested stock activity for the nine months ended September 30, 2024: </w:t>
      </w:r>
    </w:p>
    <w:tbl>
      <w:tblPr>
        <w:tblW w:w="6302" w:type="dxa"/>
        <w:jc w:val="left"/>
        <w:tblInd w:w="0" w:type="dxa"/>
        <w:tblLayout w:type="fixed"/>
        <w:tblCellMar>
          <w:top w:w="28" w:type="dxa"/>
          <w:left w:w="28" w:type="dxa"/>
          <w:bottom w:w="28" w:type="dxa"/>
          <w:right w:w="28" w:type="dxa"/>
        </w:tblCellMar>
      </w:tblPr>
      <w:tblGrid>
        <w:gridCol w:w="3391"/>
        <w:gridCol w:w="146"/>
        <w:gridCol w:w="146"/>
        <w:gridCol w:w="841"/>
        <w:gridCol w:w="166"/>
        <w:gridCol w:w="146"/>
        <w:gridCol w:w="343"/>
        <w:gridCol w:w="932"/>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Weighted</w:t>
              <w:br/>
              <w:t>Average Grant</w:t>
              <w:br/>
              <w:t>Date Fair</w:t>
            </w:r>
            <w:r>
              <w:rPr>
                <w:rFonts w:ascii="Times New Roman" w:hAnsi="Times New Roman"/>
                <w:color w:val="000000"/>
                <w:sz w:val="16"/>
              </w:rPr>
              <w:t xml:space="preserve"> </w:t>
            </w: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stock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1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w:t>
            </w:r>
          </w:p>
        </w:tc>
        <w:tc>
          <w:tcPr>
            <w:tcW w:w="1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1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stock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As of September 30, 2024, we had unrecognized compensation expense of approximately $16.5 million related to non-vested stock that we expect to be recognized over a weighted-average period of approximately 2.0 years. The following table summarizes compensation expense related to non-vested stock, which is included in SG&amp;A expenses in the accompanying condensed consolidated statements of income for the three and nine months ended September 30, 2024 and 2023 (amounts in thousands): </w:t>
      </w:r>
    </w:p>
    <w:tbl>
      <w:tblPr>
        <w:tblW w:w="6352" w:type="dxa"/>
        <w:jc w:val="left"/>
        <w:tblInd w:w="0" w:type="dxa"/>
        <w:tblLayout w:type="fixed"/>
        <w:tblCellMar>
          <w:top w:w="28" w:type="dxa"/>
          <w:left w:w="28" w:type="dxa"/>
          <w:bottom w:w="28" w:type="dxa"/>
          <w:right w:w="28" w:type="dxa"/>
        </w:tblCellMar>
      </w:tblPr>
      <w:tblGrid>
        <w:gridCol w:w="2011"/>
        <w:gridCol w:w="146"/>
        <w:gridCol w:w="211"/>
        <w:gridCol w:w="571"/>
        <w:gridCol w:w="146"/>
        <w:gridCol w:w="146"/>
        <w:gridCol w:w="211"/>
        <w:gridCol w:w="571"/>
        <w:gridCol w:w="146"/>
        <w:gridCol w:w="146"/>
        <w:gridCol w:w="211"/>
        <w:gridCol w:w="571"/>
        <w:gridCol w:w="146"/>
        <w:gridCol w:w="146"/>
        <w:gridCol w:w="211"/>
        <w:gridCol w:w="57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per common share for the three and nine months ended September 30, 2024 and 2023 is based on the weighted average number of common shares outstanding during the period. The effects of potentially dilutive securities that are anti-dilutive are not included in the computation of dilutive income per share. We include all common shares granted under our incentive compensation plan which remain unvested (“restricted common shares”) and contain non-forfeitable rights to dividends or dividend equivalents, whether paid or unpaid (“participating securities”), in the number of shares outstanding in our basic and diluted EPS calculations using the two-class method. All of our restricted common shares are currently participating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two-class method, earnings per common share are computed by dividing the sum of distributed earnings allocated to common shareholders and undistributed earnings allocated to common shareholders by the weighted average number of common shares outstanding for the period. In applying the two-class method, distributed and undistributed earnings are allocated to both common shares and restricted common shares based on the total weighted average shares outstanding during the period. The number of restricted common shares outstanding was less than 1% of total outstanding shares for the three and nine months ended September 30, 2024 and 2023 and, consequently, was immaterial to the basic and diluted EPS calculations. Therefore, use of the two-class method had no impact on our basic and diluted EPS calculations for the periods presented. The following table sets forth the computation of basic and diluted net income per common share for the three and nine months ended September 30, 2024 and 2023 (amounts in thousands, except per share amounts):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39"/>
        <w:gridCol w:w="146"/>
        <w:gridCol w:w="211"/>
        <w:gridCol w:w="676"/>
        <w:gridCol w:w="146"/>
        <w:gridCol w:w="146"/>
        <w:gridCol w:w="211"/>
        <w:gridCol w:w="676"/>
        <w:gridCol w:w="146"/>
        <w:gridCol w:w="146"/>
        <w:gridCol w:w="211"/>
        <w:gridCol w:w="676"/>
        <w:gridCol w:w="146"/>
        <w:gridCol w:w="146"/>
        <w:gridCol w:w="211"/>
        <w:gridCol w:w="781"/>
        <w:gridCol w:w="391"/>
      </w:tblGrid>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51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9"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b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115,769</w:t>
            </w:r>
          </w:p>
        </w:tc>
        <w:tc>
          <w:tcPr>
            <w:tcW w:w="391" w:type="dxa"/>
            <w:tcBorders/>
            <w:shd w:fill="CFF0FC" w:val="clear"/>
            <w:vAlign w:val="center"/>
          </w:tcPr>
          <w:p>
            <w:pPr>
              <w:pStyle w:val="TableContents"/>
              <w:bidi w:val="0"/>
              <w:spacing w:before="0" w:after="283"/>
              <w:jc w:val="left"/>
              <w:rPr/>
            </w:pPr>
            <w:r>
              <w:rPr/>
              <w:t> </w:t>
            </w:r>
          </w:p>
        </w:tc>
      </w:tr>
      <w:tr>
        <w:trPr/>
        <w:tc>
          <w:tcPr>
            <w:tcW w:w="51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1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1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dilutive non-vested restricted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39"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1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per share: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1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net income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net income per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39"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1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excluded from the denominator as anti-dilutive: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1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39"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1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per common share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0.825</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Senior Secured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subsidiaries are parties to a $750.0 million Credit Facility with Wells Fargo Bank, National Association, as administrative agent, and the lenders named therein. For further information related to significant terms of the Credit Facility, see Note 10 to the Company’s Consolidated Financial Statements included as Item 8 in the Company’s Annual Report on Form 10-K for the year ended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September 30, 2024, we had $276.3 million outstanding under the Credit Facility and could borrow up to approximately $461.3 million, net of a $12.3 million outstanding letter of credit. As of September 30, 2024, the weighted average interest rate under the Credit Facility was approximately 7.2%. As of September 30, 2024, we were in compliance with our financial covenants under the Amended and Restated Credit Agreement.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aggregate amounts outstanding as of September 30, 2024 under both the Credit Facility and our Senior Unsecured Notes (Note 9) of $1,526.3 million mature during 2028.</w:t>
      </w:r>
    </w:p>
    <w:p>
      <w:pPr>
        <w:pStyle w:val="TextBody"/>
        <w:bidi w:val="0"/>
        <w:spacing w:before="360" w:after="283"/>
        <w:jc w:val="left"/>
        <w:rPr>
          <w:rFonts w:ascii="Times New Roman" w:hAnsi="Times New Roman"/>
          <w:sz w:val="20"/>
        </w:rPr>
      </w:pPr>
      <w:r>
        <w:rPr>
          <w:rFonts w:ascii="Times New Roman" w:hAnsi="Times New Roman"/>
          <w:b/>
          <w:color w:val="000000"/>
          <w:sz w:val="20"/>
        </w:rPr>
        <w:t>(9) Senior Unsecured Note</w:t>
      </w:r>
      <w:r>
        <w:rPr>
          <w:rFonts w:ascii="Times New Roman" w:hAnsi="Times New Roman"/>
          <w:color w:val="000000"/>
          <w:sz w:val="20"/>
        </w:rPr>
        <w:t xml:space="preser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14, 2020, we completed the offering of our $1.25 billion, 3.875% Senior Unsecured Notes due 2028. For further information related to significant terms of the Senior Unsecured Notes, see Note 9 to the Company’s Consolidated Financial Statements included as Item 8 in the Company’s Annual Report on Form 10-K for the year ended December 31, 2023. As of September 30, 2024, we were in compliance with the covenants governing our notes.</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reconciles our Senior Unsecured Notes to our condensed consolidated balance sheets (amounts in thousands):</w:t>
      </w:r>
    </w:p>
    <w:tbl>
      <w:tblPr>
        <w:tblW w:w="7225" w:type="dxa"/>
        <w:jc w:val="left"/>
        <w:tblInd w:w="0" w:type="dxa"/>
        <w:tblLayout w:type="fixed"/>
        <w:tblCellMar>
          <w:top w:w="28" w:type="dxa"/>
          <w:left w:w="28" w:type="dxa"/>
          <w:bottom w:w="28" w:type="dxa"/>
          <w:right w:w="28" w:type="dxa"/>
        </w:tblCellMar>
      </w:tblPr>
      <w:tblGrid>
        <w:gridCol w:w="5746"/>
        <w:gridCol w:w="146"/>
        <w:gridCol w:w="211"/>
        <w:gridCol w:w="931"/>
        <w:gridCol w:w="191"/>
      </w:tblGrid>
      <w:tr>
        <w:trP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1,241,409</w:t>
            </w:r>
          </w:p>
        </w:tc>
        <w:tc>
          <w:tcPr>
            <w:tcW w:w="191" w:type="dxa"/>
            <w:tcBorders/>
            <w:shd w:fill="CFF0FC" w:val="cle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through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91" w:type="dxa"/>
            <w:tcBorders/>
            <w:shd w:fill="FFFFFF" w:val="clear"/>
            <w:vAlign w:val="center"/>
          </w:tcPr>
          <w:p>
            <w:pPr>
              <w:pStyle w:val="TableContents"/>
              <w:bidi w:val="0"/>
              <w:spacing w:before="0" w:after="283"/>
              <w:jc w:val="left"/>
              <w:rPr/>
            </w:pPr>
            <w:r>
              <w:rPr/>
              <w:t> </w:t>
            </w:r>
          </w:p>
        </w:tc>
      </w:tr>
      <w:tr>
        <w:trPr/>
        <w:tc>
          <w:tcPr>
            <w:tcW w:w="5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 through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1,242,852</w:t>
            </w:r>
          </w:p>
        </w:tc>
        <w:tc>
          <w:tcPr>
            <w:tcW w:w="191" w:type="dxa"/>
            <w:tcBorders/>
            <w:shd w:fill="FFFFFF" w:val="clear"/>
            <w:vAlign w:val="center"/>
          </w:tcPr>
          <w:p>
            <w:pPr>
              <w:pStyle w:val="TableContents"/>
              <w:bidi w:val="0"/>
              <w:spacing w:before="0" w:after="283"/>
              <w:jc w:val="left"/>
              <w:rPr/>
            </w:pPr>
            <w:r>
              <w:rPr/>
              <w:t> </w:t>
            </w:r>
          </w:p>
        </w:tc>
      </w:tr>
      <w:tr>
        <w:trPr/>
        <w:tc>
          <w:tcPr>
            <w:tcW w:w="5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through September 30,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91" w:type="dxa"/>
            <w:tcBorders/>
            <w:shd w:fill="CFF0FC" w:val="cle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 through September 30, 2024</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1,243,934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September 30, 2024, the weighted average remaining lease term for operating leases was approximately 7.7 years and for finance leases was approximately 8.0 years. The weighted average discount rate for operating leases and finance leases was approximately 6.4% and 6.0%, respectively, at September 30,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future minimum lease payments of operating leases executed but not commenced as of September 30, 2024 are estimated to be $0.1 million, $2.4 million, $3.9 million, $4.0 million and $4.1 million for the years ended December 31, 2024, 2025, 2026, 2027 and 2028, respectively, and $28.8 million thereafter. It is expected that these leases will primarily commence during 2024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identified four reportable segments: equipment rentals, sales of rental equipment, sales of new equipment, and parts, service and other revenues. These segments are based upon revenue streams and how management of the Company allocates resources and assesses performance. There were no sales between segments for any of the periods presented. Selling, general, and administrative expenses as well as all other income and expense items below gross profit are not generally allocated to our reportable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revised our reportable segments by aggregating parts sales and service revenues into one segment during the quarter ended June 30, 2024 due to revised internal reporting provided to our Chief Operating Decision Maker. We previously reported five segments as noted in our Consolidated Financial Statements included as Item 8 in the Company’s Annual Report on Form 10-K for the year ended December 31, 2023. The presentation of prior period information disclosed below has been revised to reflect this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compile discrete financial information by segments other than the information presented below. The following table presents information about our reportable segments (amounts in thousands):</w:t>
      </w:r>
    </w:p>
    <w:tbl>
      <w:tblPr>
        <w:tblW w:w="8257" w:type="dxa"/>
        <w:jc w:val="left"/>
        <w:tblInd w:w="0" w:type="dxa"/>
        <w:tblLayout w:type="fixed"/>
        <w:tblCellMar>
          <w:top w:w="28" w:type="dxa"/>
          <w:left w:w="28" w:type="dxa"/>
          <w:bottom w:w="28" w:type="dxa"/>
          <w:right w:w="28" w:type="dxa"/>
        </w:tblCellMar>
      </w:tblPr>
      <w:tblGrid>
        <w:gridCol w:w="2376"/>
        <w:gridCol w:w="146"/>
        <w:gridCol w:w="211"/>
        <w:gridCol w:w="781"/>
        <w:gridCol w:w="146"/>
        <w:gridCol w:w="146"/>
        <w:gridCol w:w="211"/>
        <w:gridCol w:w="781"/>
        <w:gridCol w:w="146"/>
        <w:gridCol w:w="146"/>
        <w:gridCol w:w="211"/>
        <w:gridCol w:w="931"/>
        <w:gridCol w:w="146"/>
        <w:gridCol w:w="146"/>
        <w:gridCol w:w="211"/>
        <w:gridCol w:w="931"/>
        <w:gridCol w:w="591"/>
      </w:tblGrid>
      <w:tr>
        <w:trPr/>
        <w:tc>
          <w:tcPr>
            <w:tcW w:w="2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2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rentals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869,278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rental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new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Parts, service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Gross Profit: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rentals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400,582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rental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new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Parts, service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498,122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39" w:type="dxa"/>
        <w:jc w:val="left"/>
        <w:tblInd w:w="0" w:type="dxa"/>
        <w:tblLayout w:type="fixed"/>
        <w:tblCellMar>
          <w:top w:w="28" w:type="dxa"/>
          <w:left w:w="28" w:type="dxa"/>
          <w:bottom w:w="28" w:type="dxa"/>
          <w:right w:w="28" w:type="dxa"/>
        </w:tblCellMar>
      </w:tblPr>
      <w:tblGrid>
        <w:gridCol w:w="3026"/>
        <w:gridCol w:w="146"/>
        <w:gridCol w:w="211"/>
        <w:gridCol w:w="931"/>
        <w:gridCol w:w="146"/>
        <w:gridCol w:w="146"/>
        <w:gridCol w:w="211"/>
        <w:gridCol w:w="931"/>
        <w:gridCol w:w="791"/>
      </w:tblGrid>
      <w:tr>
        <w:trPr/>
        <w:tc>
          <w:tcPr>
            <w:tcW w:w="3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Balances at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91" w:type="dxa"/>
            <w:tcBorders/>
            <w:shd w:fill="FFFFFF" w:val="clear"/>
            <w:vAlign w:val="center"/>
          </w:tcPr>
          <w:p>
            <w:pPr>
              <w:pStyle w:val="TableContents"/>
              <w:bidi w:val="0"/>
              <w:spacing w:before="0" w:after="283"/>
              <w:jc w:val="center"/>
              <w:rPr/>
            </w:pPr>
            <w:r>
              <w:rPr/>
              <w:t> </w:t>
            </w:r>
          </w:p>
        </w:tc>
      </w:tr>
      <w:tr>
        <w:trPr/>
        <w:tc>
          <w:tcPr>
            <w:tcW w:w="3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identified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3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rentals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1,924,653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1,756,578</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98,045</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Parts, service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segment identified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1,866,509</w:t>
            </w:r>
          </w:p>
        </w:tc>
        <w:tc>
          <w:tcPr>
            <w:tcW w:w="791" w:type="dxa"/>
            <w:tcBorders/>
            <w:shd w:fill="FFFFFF" w:val="clear"/>
            <w:vAlign w:val="center"/>
          </w:tcPr>
          <w:p>
            <w:pPr>
              <w:pStyle w:val="TableContents"/>
              <w:bidi w:val="0"/>
              <w:spacing w:before="0" w:after="283"/>
              <w:jc w:val="left"/>
              <w:rPr/>
            </w:pPr>
            <w:r>
              <w:rPr/>
              <w:t> </w:t>
            </w:r>
          </w:p>
        </w:tc>
      </w:tr>
      <w:tr>
        <w:trPr/>
        <w:tc>
          <w:tcPr>
            <w:tcW w:w="3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identified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773,377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2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2,639,886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Company operates primarily in the United States. Our sales to international customers for both the three months ended September 30, 2024 and 2023 and for both the nine months ended September 30, 2024 and 2023 were 0.1% of total revenues. No one customer accounted for more than 10% of our total revenues for any of the periods presented.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8" w:name="item_2_managements_discussion_analysis_f"/>
      <w:bookmarkEnd w:id="8"/>
      <w:r>
        <w:rPr>
          <w:rFonts w:ascii="Times New Roman" w:hAnsi="Times New Roman"/>
          <w:b/>
          <w:color w:val="000000"/>
          <w:sz w:val="20"/>
        </w:rPr>
        <w:t>ITEM 2. — MANAGEMENT’S DISCUSSION AND ANALYSIS OF FINANCIAL CONDITION AND 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discussion summarizes the financial position of H&amp;E Equipment Services, Inc. and its subsidiaries as of September 30, 2024, and its results of operations for the three and nine months ended September 30, 2024, and should be read in conjunction with (i) the unaudited condensed consolidated financial statements and notes thereto included elsewhere in this Quarterly Report on Form 10-Q and (ii) the audited consolidated financial statements and accompanying notes to our Annual Report on Form 10-K for the year ended December 31, 2023. The following discussion contains, in addition to historical information, forward-looking statements that include risks and uncertainties (see discussion of “Forward-Looking Statements” included elsewhere in this Quarterly Report on Form 10-Q). Our actual results may differ materially from those anticipated in these forward-looking statements as a result of certain factors, including those factors set forth under Item 1A – “Risk Factors” of our Annual Report on Form 10-K for the year ended December 31,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Background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Founded in 1961 through our predecessor companies, we have been in the equipment services business for approximately 63 years and are one of the largest rental equipment companies in the nation. H&amp;E Equipment Services L.L.C. (“ H&amp;E L.L.C.”) was formed in June 2002 through the business combination of Head &amp; Engquist, a wholly-owned subsidiary of Gulf Wide Industries, L.L.C., and ICM Equipment Company L.L.C. In connection with our initial public offering in February 2006, we converted H&amp;E L.L.C. into H&amp;E Equipment Services, Inc., a Delaware corporation (d/b/a “H&amp;E Rentals”).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H&amp;E serves a diverse set of end markets in many high-growth geographies including branches throughout the Pacific Northwest, West Coast, Intermountain, Southwest, Gulf Coast, Southeast, Midwest and Mid-Atlantic regions. As of September 30, 2024, we operated 157 branch locations across 32 states throughout the United States.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focusing primarily on equipment rentals, we additionally engage in sales of rental equipment, sales of new equipment, parts sales and repair and maintenance services. The Company’s construction rental fleet is among the industry’s youngest with an equipment mix comprised of aerial work platforms, earthmoving, material handling, and other general and specialty lines. We are confident our operating experience and extensive infrastructure developed throughout our history as an integrated equipment services company qualified us to successfully transition to a pure-play rental company. This experience and infrastructure continues to provide us with a competitive advantage enabling us to broaden our industry expansion. Our workforce includes an outside and inside sales force for our rental operations and equipment sales, highly skilled service technicians, transportation drivers and regional and district managers. Our management, from the corporate level down to the branch store level, has extensive industry experience. We believe this allows us to provide specialized equipment knowledge, improve the effectiveness of our sales force and strengthen our customer relationships. In addition, we operate our day-to-day business on a branch basis, which allows us to more closely service our customers, fosters management accountability at local levels and strengthens our local and regional relationships.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Effective November 1, 2023, the Company completed the acquisition of Giffin Equipment (“Giffin”), a privately-held equipment rentals company with three branch locations in California.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Effective January 1, 2024, the Company completed the acquisition of Precision Rentals (“Precision”), a privately-held equipment rentals company with a branch location in each of Arizona and Colorado.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Effective May 1, 2024, the Company completed the acquisition of Lewistown Rentals (“Lewistown”), a privately-held equipment rentals company with four branch locations in Montana.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Item 7, included in Part II of our Annual Report on Form 10-K for the year ended December 31, 2023, presents the accounting estimates that we believe are the most critical to understanding our consolidated financial statements, financial condition, and results of operations and cash flows, and which require complex management judgment and assumptions, or involve uncertainties. There have been no significant changes to these critical accounting estimates during the three and nine months ended September 30, 2024. Our critical accounting estimates include, among others, useful lives of rental equipment and property and equipment, acquisition accounting, goodwill, and income taxes.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Information regarding our other significant accounting estimates is included in Note 2 to our Consolidated Financial Statements in Item 8 of Part II of our Annual Report on Form 10-K for the year ended December 31, 2023 and in Note 2 to the Condensed Consolidated Financial Statements in this Quarterly Report on Form 10-Q.</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four reportable segments because we derive our revenues from four business activities: (1) equipment rentals; (2) sales of rental equipment; (3) sales of new equipment; (4) parts, service and other revenues. Our primary segment is equipment rentals. These segments are based upon how we allocate resources and assess performance. We revised our reportable segments by aggregating parts sales and service revenues into one segment during the quarter ended June 30, 2024 due to revised internal reporting provided to our Chief Operating Decision Maker. For additional information about our business segments, see Note 11 to the Condensed Consolidated Financial Statements in this Quarterly Report on Form 10-Q.</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Equipment Rentals.</w:t>
      </w:r>
      <w:r>
        <w:rPr>
          <w:color w:val="000000"/>
        </w:rPr>
        <w:t xml:space="preserve"> </w:t>
      </w:r>
      <w:r>
        <w:rPr>
          <w:rFonts w:ascii="Times New Roman" w:hAnsi="Times New Roman"/>
          <w:color w:val="000000"/>
          <w:sz w:val="20"/>
        </w:rPr>
        <w:t xml:space="preserve">Our rental operation is our principal focus and we primarily rent our core types of construction and industrial equipment (aerial work platforms, earthmoving equipment, material handling equipment and other general and specialty lines). We have a well-maintained rental fleet and a dedicated sales team. We actively manage the size, quality, age and composition of our rental fleet based on our analysis of key measures such as time utilization (a reflection of equipment usage based on customer demand and calculated as our fleet’s original equipment cost on-rent divided by our fleet’s original equipment cost, averaged over the time period), rental rate trends and targets, rental equipment dollar utilization, and maintenance and repair costs, which we closely monitor. Given the use of these measures by management, we believe that investors’ understanding of our performance is enhanced by the disclosure of the measures as it allows investors to view performance from management’s perspective. Additionally, we maintain fleet quality through quality control inspections and our parts and services operations.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Sales of Rental Equipment.</w:t>
      </w:r>
      <w:r>
        <w:rPr>
          <w:color w:val="000000"/>
        </w:rPr>
        <w:t xml:space="preserve"> </w:t>
      </w:r>
      <w:r>
        <w:rPr>
          <w:rFonts w:ascii="Times New Roman" w:hAnsi="Times New Roman"/>
          <w:color w:val="000000"/>
          <w:sz w:val="20"/>
        </w:rPr>
        <w:t>Our rental equipment sales are generated primarily from sales from our rental fleet. Sales of our rental fleet equipment allow us to manage the size, quality, composition and age of our rental fleet, and provide us with a profitable distribution channel for the disposal of rental equipment.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Sales of New Equipment.</w:t>
      </w:r>
      <w:r>
        <w:rPr>
          <w:color w:val="000000"/>
        </w:rPr>
        <w:t xml:space="preserve"> </w:t>
      </w:r>
      <w:r>
        <w:rPr>
          <w:rFonts w:ascii="Times New Roman" w:hAnsi="Times New Roman"/>
          <w:color w:val="000000"/>
          <w:sz w:val="20"/>
        </w:rPr>
        <w:t xml:space="preserve">We sell equipment through a professional sales force. Sales of new equipment may be impacted by the availability of equipment from the manufacturer.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Parts, Service and Other Revenues.</w:t>
      </w:r>
      <w:r>
        <w:rPr>
          <w:color w:val="000000"/>
        </w:rPr>
        <w:t xml:space="preserve"> </w:t>
      </w:r>
      <w:r>
        <w:rPr>
          <w:rFonts w:ascii="Times New Roman" w:hAnsi="Times New Roman"/>
          <w:color w:val="000000"/>
          <w:sz w:val="20"/>
        </w:rPr>
        <w:t>Our parts business provides parts to our own rental fleet and sells parts for the equipment we sell. In order to provide timely parts and services support to our rental fleet as well as our customers, we maintain a parts inventory. Our services operation provides maintenance and repair services to our own rental fleet and for our customers’ equipment at our facilities as well as at our customers’ locations. Our other revenues relate to costs primarily related to ancillary charges associated with equipment maintenance and repair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our total revenues from our four business activities and our other equipment support activities. Equipment rentals accounts for the majority of our total revenues. For the nine months ended September 30, 2024, of our total revenues, approximately 82.0% were attributable to equipment rentals, 10.0% were attributable to sales of rental equipment, 3.0% were attributable to sales of new equipment, 5.0% were attributable to parts, service and other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equipment that we rent, sell and service is principally used in the construction industry, as well as by companies for commercial and industrial uses such as plant maintenance and turnarounds, and in the petrochemical and energy sectors. As a result, our total revenues are affected by several factors including, but not limited to, the demand for and availability of rental equipment, rental rates and other competitive factors, the demand for used and new equipment, the level of construction and industrial activities, spending levels by our customers, adverse weather conditions, supply chain disruptions, the price of oil and other commodities and general economic conditions.</w:t>
      </w:r>
    </w:p>
    <w:p>
      <w:pPr>
        <w:pStyle w:val="TextBody"/>
        <w:bidi w:val="0"/>
        <w:spacing w:before="120" w:after="283"/>
        <w:jc w:val="left"/>
        <w:rPr>
          <w:rFonts w:ascii="Times New Roman" w:hAnsi="Times New Roman"/>
          <w:sz w:val="20"/>
        </w:rPr>
      </w:pPr>
      <w:r>
        <w:rPr>
          <w:rFonts w:ascii="Times New Roman" w:hAnsi="Times New Roman"/>
          <w:i/>
          <w:color w:val="000000"/>
          <w:sz w:val="20"/>
        </w:rPr>
        <w:t>Equipment Rentals.</w:t>
      </w:r>
      <w:r>
        <w:rPr>
          <w:rFonts w:ascii="Times New Roman" w:hAnsi="Times New Roman"/>
          <w:color w:val="000000"/>
          <w:sz w:val="20"/>
        </w:rPr>
        <w:t xml:space="preserve"> Our rental operation primarily represents revenues from renting owned equipment of our core types of construction and industrial equipment (aerial work platforms, earthmoving equipment, material handling equipment and other general and specialty lines). We primarily account for these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We have a well-maintained rental fleet and we actively manage the size, quality, age and composition of our rental fleet. </w:t>
      </w:r>
    </w:p>
    <w:p>
      <w:pPr>
        <w:pStyle w:val="TextBody"/>
        <w:bidi w:val="0"/>
        <w:spacing w:before="120" w:after="283"/>
        <w:jc w:val="left"/>
        <w:rPr>
          <w:rFonts w:ascii="Times New Roman" w:hAnsi="Times New Roman"/>
          <w:sz w:val="20"/>
        </w:rPr>
      </w:pPr>
      <w:r>
        <w:rPr>
          <w:rFonts w:ascii="Times New Roman" w:hAnsi="Times New Roman"/>
          <w:i/>
          <w:color w:val="000000"/>
          <w:sz w:val="20"/>
        </w:rPr>
        <w:t>Sales of Rental Equipment.</w:t>
      </w:r>
      <w:r>
        <w:rPr>
          <w:rFonts w:ascii="Times New Roman" w:hAnsi="Times New Roman"/>
          <w:color w:val="000000"/>
          <w:sz w:val="20"/>
        </w:rPr>
        <w:t xml:space="preserve"> We generate the majority of our rental equipment sales revenues by selling equipment from our rental fleet.</w:t>
      </w:r>
    </w:p>
    <w:p>
      <w:pPr>
        <w:pStyle w:val="TextBody"/>
        <w:bidi w:val="0"/>
        <w:spacing w:before="120" w:after="283"/>
        <w:jc w:val="left"/>
        <w:rPr>
          <w:rFonts w:ascii="Times New Roman" w:hAnsi="Times New Roman"/>
          <w:sz w:val="20"/>
        </w:rPr>
      </w:pPr>
      <w:r>
        <w:rPr>
          <w:rFonts w:ascii="Times New Roman" w:hAnsi="Times New Roman"/>
          <w:i/>
          <w:color w:val="000000"/>
          <w:sz w:val="20"/>
        </w:rPr>
        <w:t>Sales of New Equipment</w:t>
      </w:r>
      <w:r>
        <w:rPr>
          <w:rFonts w:ascii="Times New Roman" w:hAnsi="Times New Roman"/>
          <w:color w:val="000000"/>
          <w:sz w:val="20"/>
        </w:rPr>
        <w:t xml:space="preserve">. Our sales of new equipment operation sells equipment across all of our core categories of equipment. </w:t>
      </w:r>
    </w:p>
    <w:p>
      <w:pPr>
        <w:pStyle w:val="TextBody"/>
        <w:bidi w:val="0"/>
        <w:spacing w:before="160" w:after="283"/>
        <w:jc w:val="left"/>
        <w:rPr>
          <w:rFonts w:ascii="Times New Roman" w:hAnsi="Times New Roman"/>
          <w:sz w:val="20"/>
        </w:rPr>
      </w:pPr>
      <w:r>
        <w:rPr>
          <w:rFonts w:ascii="Times New Roman" w:hAnsi="Times New Roman"/>
          <w:i/>
          <w:color w:val="000000"/>
          <w:sz w:val="20"/>
        </w:rPr>
        <w:t>Parts, Service and Other.</w:t>
      </w:r>
      <w:r>
        <w:rPr>
          <w:rFonts w:ascii="Times New Roman" w:hAnsi="Times New Roman"/>
          <w:color w:val="000000"/>
          <w:sz w:val="20"/>
        </w:rPr>
        <w:t xml:space="preserve"> We primarily generate revenues from the sale of parts for equipment that we rent or sell. We primarily derive our services revenues from maintenance and repair services for equipment that we rent or sell and from customers' owned equipment. Our other revenues relate primarily to ancillary charges associated with equipment maintenance and repair services.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Principal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largest expenses are rental expenses, rental depreciation, rental other expenses, the costs associated with the rental equipment we sell, the costs to purchase new equipment and costs associated with parts sales and services, all of which are included in cost of revenues. For the nine months ended September 30, 2024, our total cost of revenues was $624.9 million. Our operating expenses consist principally of selling, general and administrative expenses (“SG&amp;A”). For the nine months ended September 30, 2024, our SG&amp;A expenses were $338.6 million. In addition, we have interest expense primarily related to our debt instruments. Operating expenses and all other income and expense items below the gross profit line of our Condensed Consolidated Statements of Income are not generally allocated to our reportable segments.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also subject to federal and state income taxes. Future income tax examinations by state and federal agencies could result in additional income tax expense based on potential outcomes of such matters.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Revenues</w:t>
      </w:r>
    </w:p>
    <w:p>
      <w:pPr>
        <w:pStyle w:val="TextBody"/>
        <w:bidi w:val="0"/>
        <w:spacing w:before="120" w:after="283"/>
        <w:jc w:val="left"/>
        <w:rPr>
          <w:rFonts w:ascii="Times New Roman" w:hAnsi="Times New Roman"/>
          <w:sz w:val="20"/>
        </w:rPr>
      </w:pPr>
      <w:r>
        <w:rPr>
          <w:rFonts w:ascii="Times New Roman" w:hAnsi="Times New Roman"/>
          <w:i/>
          <w:color w:val="000000"/>
          <w:sz w:val="20"/>
        </w:rPr>
        <w:t>Rental Depreciation.</w:t>
      </w:r>
      <w:r>
        <w:rPr>
          <w:rFonts w:ascii="Times New Roman" w:hAnsi="Times New Roman"/>
          <w:color w:val="000000"/>
          <w:sz w:val="20"/>
        </w:rPr>
        <w:t xml:space="preserve"> Depreciation of rental equipment represents the depreciation costs attributable to rental equipment. Estimated useful lives vary based upon type of equipment. Generally, we depreciate aerial work platforms over a ten year estimated useful life, earthmoving equipment over a five year estimated useful life with a 25% salvage value, and material handling equipment over a seven year estimated useful life. Attachments and other smaller type equipment are depreciated over a three year estimated useful life. We periodically evaluate the appropriateness of remaining depreciable lives assigned to rental equipment.</w:t>
      </w:r>
    </w:p>
    <w:p>
      <w:pPr>
        <w:pStyle w:val="TextBody"/>
        <w:bidi w:val="0"/>
        <w:spacing w:before="160" w:after="283"/>
        <w:jc w:val="left"/>
        <w:rPr>
          <w:rFonts w:ascii="Times New Roman" w:hAnsi="Times New Roman"/>
          <w:sz w:val="20"/>
        </w:rPr>
      </w:pPr>
      <w:r>
        <w:rPr>
          <w:rFonts w:ascii="Times New Roman" w:hAnsi="Times New Roman"/>
          <w:i/>
          <w:color w:val="000000"/>
          <w:sz w:val="20"/>
        </w:rPr>
        <w:t>Rental Expense.</w:t>
      </w:r>
      <w:r>
        <w:rPr>
          <w:rFonts w:ascii="Times New Roman" w:hAnsi="Times New Roman"/>
          <w:color w:val="000000"/>
          <w:sz w:val="20"/>
        </w:rPr>
        <w:t xml:space="preserve"> Rental expense represents the costs associated with rental equipment, including, among other things, the cost of repairing and maintaining our rental equipment, property taxes on our fleet and other miscellaneous costs of owning rental equipment.</w:t>
      </w:r>
    </w:p>
    <w:p>
      <w:pPr>
        <w:pStyle w:val="TextBody"/>
        <w:bidi w:val="0"/>
        <w:spacing w:before="160" w:after="283"/>
        <w:jc w:val="left"/>
        <w:rPr>
          <w:rFonts w:ascii="Times New Roman" w:hAnsi="Times New Roman"/>
          <w:sz w:val="20"/>
        </w:rPr>
      </w:pPr>
      <w:r>
        <w:rPr>
          <w:rFonts w:ascii="Times New Roman" w:hAnsi="Times New Roman"/>
          <w:i/>
          <w:color w:val="000000"/>
          <w:sz w:val="20"/>
        </w:rPr>
        <w:t xml:space="preserve">Rental Other. </w:t>
      </w:r>
      <w:r>
        <w:rPr>
          <w:rFonts w:ascii="Times New Roman" w:hAnsi="Times New Roman"/>
          <w:color w:val="000000"/>
          <w:sz w:val="20"/>
        </w:rPr>
        <w:t>Rental other expenses consist primarily of equipment support activities that we provide our customers in connection with renting equipment, such as hauling services, damage waiver policies, environmental fees and other recovery fees.</w:t>
      </w:r>
    </w:p>
    <w:p>
      <w:pPr>
        <w:pStyle w:val="TextBody"/>
        <w:bidi w:val="0"/>
        <w:spacing w:before="160" w:after="283"/>
        <w:jc w:val="left"/>
        <w:rPr>
          <w:rFonts w:ascii="Times New Roman" w:hAnsi="Times New Roman"/>
          <w:sz w:val="20"/>
        </w:rPr>
      </w:pPr>
      <w:r>
        <w:rPr>
          <w:rFonts w:ascii="Times New Roman" w:hAnsi="Times New Roman"/>
          <w:i/>
          <w:color w:val="000000"/>
          <w:sz w:val="20"/>
        </w:rPr>
        <w:t>Sales of Rental Equipment.</w:t>
      </w:r>
      <w:r>
        <w:rPr>
          <w:rFonts w:ascii="Times New Roman" w:hAnsi="Times New Roman"/>
          <w:color w:val="000000"/>
          <w:sz w:val="20"/>
        </w:rPr>
        <w:t xml:space="preserve"> Cost of rental equipment sold primarily consists of the net book value of rental equipment sold from our rental fleet.</w:t>
      </w:r>
    </w:p>
    <w:p>
      <w:pPr>
        <w:pStyle w:val="TextBody"/>
        <w:bidi w:val="0"/>
        <w:spacing w:before="160" w:after="283"/>
        <w:jc w:val="left"/>
        <w:rPr>
          <w:rFonts w:ascii="Times New Roman" w:hAnsi="Times New Roman"/>
          <w:sz w:val="20"/>
        </w:rPr>
      </w:pPr>
      <w:r>
        <w:rPr>
          <w:rFonts w:ascii="Times New Roman" w:hAnsi="Times New Roman"/>
          <w:i/>
          <w:color w:val="000000"/>
          <w:sz w:val="20"/>
        </w:rPr>
        <w:t>Sales of New Equipment.</w:t>
      </w:r>
      <w:r>
        <w:rPr>
          <w:rFonts w:ascii="Times New Roman" w:hAnsi="Times New Roman"/>
          <w:color w:val="000000"/>
          <w:sz w:val="20"/>
        </w:rPr>
        <w:t xml:space="preserve"> Cost of new equipment sold primarily consists of the equipment cost of the new equipment that is sold.</w:t>
      </w:r>
    </w:p>
    <w:p>
      <w:pPr>
        <w:pStyle w:val="TextBody"/>
        <w:bidi w:val="0"/>
        <w:spacing w:before="160" w:after="283"/>
        <w:jc w:val="left"/>
        <w:rPr>
          <w:rFonts w:ascii="Times New Roman" w:hAnsi="Times New Roman"/>
          <w:sz w:val="20"/>
        </w:rPr>
      </w:pPr>
      <w:r>
        <w:rPr>
          <w:rFonts w:ascii="Times New Roman" w:hAnsi="Times New Roman"/>
          <w:i/>
          <w:color w:val="000000"/>
          <w:sz w:val="20"/>
        </w:rPr>
        <w:t>Parts, Service and Other.</w:t>
      </w:r>
      <w:r>
        <w:rPr>
          <w:rFonts w:ascii="Times New Roman" w:hAnsi="Times New Roman"/>
          <w:color w:val="000000"/>
          <w:sz w:val="20"/>
        </w:rPr>
        <w:t xml:space="preserve"> Cost of parts sales represents costs attributable to the sale of parts used in the maintenance and repair of equipment on-rent by customers and directly to customers for their owned equipment. Cost of services revenues represents costs attributable to service provided for the maintenance and repair of equipment on-rent by customers and of customer-owned equipment. Our other expenses include costs associated with ancillary charges associated with equipment maintenance and repair services</w:t>
      </w:r>
      <w:r>
        <w:rPr>
          <w:rFonts w:ascii="Times New Roman" w:hAnsi="Times New Roman"/>
          <w:i/>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include sales and marketing expenses, payroll and related benefit costs, including stock compensation expense, insurance expenses, professional fees, rent and other occupancy costs, property and other taxes, administrative overhead, acquisition costs, depreciation associated with property and equipment (other than rental equipment) and amortization expense associated with intangible assets. These expenses are not generally allocated to our reportable segments.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periods presented represents the interest on our outstanding debt instruments, including aggregate amounts outstanding under our revolving $750.0 million senior secured credit facility (the “Credit Facility”), our $1.25 billion, 3.875% senior unsecured notes due 2028 (the “Senior Unsecured Notes”) and finance lease obligations. Non-cash interest expense related to the amortization cost of deferred financing costs and the accretion/amortization of note discount/premium are also included in interest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Principal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cash primarily from our operating activities and, historically, we have used cash flows from operating activities and available borrowings under the Credit Facility as the primary sources of funds to purchase new equipment and to fund working capital and capital expenditures, growth and expansion opportunities (see also “Liquidity and Capital Resources” below). The management of our working capital is closely tied to operating cash flows, as working capital can be impacted by, among other things, our accounts receivable activities, the level of equipment inventory, which may increase or decrease in response to current and expected demand, and the size and timing of our trade accounts payable payment cycles.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Rental Fleet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substantial portion of our total assets is our rental fleet equipment. The net book value of our rental equipment at September 30, 2024 was $1.9 billion, or approximately 66.5% of our total assets. Our rental fleet as of September 30, 2024 consisted of 63,727 units having an original acquisition cost (which we define as the cost originally paid to manufacturers) of $2.9 billion. As of September 30, 2024, our rental fleet composition was as follows (dollars in millions):</w:t>
      </w:r>
    </w:p>
    <w:p>
      <w:pPr>
        <w:pStyle w:val="TextBody"/>
        <w:bidi w:val="0"/>
        <w:jc w:val="left"/>
        <w:rPr/>
      </w:pPr>
      <w:r>
        <w:rPr/>
        <w:t> </w:t>
      </w:r>
    </w:p>
    <w:tbl>
      <w:tblPr>
        <w:tblW w:w="8629" w:type="dxa"/>
        <w:jc w:val="left"/>
        <w:tblInd w:w="0" w:type="dxa"/>
        <w:tblLayout w:type="fixed"/>
        <w:tblCellMar>
          <w:top w:w="28" w:type="dxa"/>
          <w:left w:w="28" w:type="dxa"/>
          <w:bottom w:w="28" w:type="dxa"/>
          <w:right w:w="28" w:type="dxa"/>
        </w:tblCellMar>
      </w:tblPr>
      <w:tblGrid>
        <w:gridCol w:w="2566"/>
        <w:gridCol w:w="146"/>
        <w:gridCol w:w="146"/>
        <w:gridCol w:w="676"/>
        <w:gridCol w:w="146"/>
        <w:gridCol w:w="146"/>
        <w:gridCol w:w="146"/>
        <w:gridCol w:w="571"/>
        <w:gridCol w:w="271"/>
        <w:gridCol w:w="146"/>
        <w:gridCol w:w="211"/>
        <w:gridCol w:w="721"/>
        <w:gridCol w:w="146"/>
        <w:gridCol w:w="146"/>
        <w:gridCol w:w="186"/>
        <w:gridCol w:w="730"/>
        <w:gridCol w:w="271"/>
        <w:gridCol w:w="146"/>
        <w:gridCol w:w="172"/>
        <w:gridCol w:w="549"/>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br/>
              <w:br/>
              <w:br/>
            </w:r>
            <w:r>
              <w:rPr>
                <w:rFonts w:ascii="Times New Roman" w:hAnsi="Times New Roman"/>
                <w:color w:val="000000"/>
                <w:sz w:val="16"/>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Units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w:t>
              <w:br/>
              <w:t>Acquisition</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Original</w:t>
              <w:br/>
              <w:t>Acquisition</w:t>
              <w:br/>
              <w:t>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Age in</w:t>
              <w:br/>
              <w:t>Months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Aerial Work Platforms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Earthmoving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Handling Equipment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Determining the optimal age and mix for our rental fleet equipment is subjective and requires considerable estimates and judgments by management. We constantly evaluate the mix, age and quality of the equipment in our rental fleet in response to current economic and market conditions, competition and customer demand as part of our fleet management strategy. The mix and age of our rental fleet, as well as our cash flows, are impacted by sales of rental equipment, which are influenced by used equipment pricing at the retail and secondary auction market levels, the demand for our rental fleet, the availability of new equipment and the capital expenditures to acquire fleet. In making equipment acquisition decisions, we evaluate current economic and market conditions, competition, manufacturers’ availability, pricing and return on investment over the estimated useful life of the specific equipment, among other things. As a result of our in-house service capabilities and extensive maintenance program, our rental fleet is well-maintained.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original acquisition cost of our gross rental fleet increased by approximately $156.0 million, or 5.6%, for the nine months ended September 30, 2024 when compared to December 31, 2023. The average age of our rental fleet equipment increased by approximately 1.1 months for the nine months ended September 30, 2024 when compared to December 31, 2023. Our average rental rates for the nine months ended September 30, 2024 were approximately 1.5% higher than the same period last year (see further discussion on rental rates in “Results of Operations” below).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rental equipment mix among our core product lines for the nine months ended September 30, 2024 was largely consistent with that of the prior year comparable period as a percentage of total units available for rent and as a percentage of original acquisition cost.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Principal External Factors that Affect our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 number of external factors that may adversely affect our businesses. These factors, and other factors, are discussed below and under the heading “Forward-Looking Statements,” and in Item 1A—Risk Factors in our Annual Report on Form 10-K for the year ended December 31,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Economic downturns.</w:t>
      </w:r>
      <w:r>
        <w:rPr>
          <w:color w:val="000000"/>
        </w:rPr>
        <w:t xml:space="preserve"> </w:t>
      </w:r>
      <w:r>
        <w:rPr>
          <w:rFonts w:ascii="Times New Roman" w:hAnsi="Times New Roman"/>
          <w:color w:val="000000"/>
          <w:sz w:val="20"/>
        </w:rPr>
        <w:t>The demand for our products is dependent on the general economy, which is in turn affected by geopolitical conditions, the stability of the global credit markets, inflationary pressures, increasing interest rates, the conditions of the industries in which our customers operate or serve, and other factors. Downturns in the general economy or in the construction and industrial markets, as well as adverse credit market conditions, can cause demand for our products to materially decrease. Our operations are also impacted by global economic conditions, including inflation, increased interest rates and supply chain constraints. We have experienced and may continue to experience inflationary pressures, including but not limited to cost increases related to equipment, fuel and hauling expenses that we attempt to mitigate through pricing and productivity initiatives.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Spending levels by customers.</w:t>
      </w:r>
      <w:r>
        <w:rPr>
          <w:color w:val="000000"/>
        </w:rPr>
        <w:t xml:space="preserve"> </w:t>
      </w:r>
      <w:r>
        <w:rPr>
          <w:rFonts w:ascii="Times New Roman" w:hAnsi="Times New Roman"/>
          <w:color w:val="000000"/>
          <w:sz w:val="20"/>
        </w:rPr>
        <w:t xml:space="preserve">Rentals and sales of equipment to the construction industry and to industrial companies constitute a significant portion of our total revenues. As a result, we depend upon customers in these businesses and their ability and willingness to rent or buy equipment. Accordingly, our business is impacted by fluctuations in customers’ spending levels and seasonality, as discussed in Item 1—Business in our Annual Report on Form 10-K for the year ended December 31, 2023.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Adverse weather.</w:t>
      </w:r>
      <w:r>
        <w:rPr>
          <w:color w:val="000000"/>
        </w:rPr>
        <w:t xml:space="preserve"> </w:t>
      </w:r>
      <w:r>
        <w:rPr>
          <w:rFonts w:ascii="Times New Roman" w:hAnsi="Times New Roman"/>
          <w:color w:val="000000"/>
          <w:sz w:val="20"/>
        </w:rPr>
        <w:t>Adverse weather in a geographic region in which we operate may depress demand for equipment in that region. Our equipment is primarily used outdoors and, as a result, prolonged adverse weather conditions may prohibit our customers from continuing their work projects. Adverse weather also has a seasonal impact in parts of our Intermountain region, particularly in the winter months.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Regional and Industry-Specific Activity and Trends.</w:t>
      </w:r>
      <w:r>
        <w:rPr>
          <w:color w:val="000000"/>
        </w:rPr>
        <w:t xml:space="preserve"> </w:t>
      </w:r>
      <w:r>
        <w:rPr>
          <w:rFonts w:ascii="Times New Roman" w:hAnsi="Times New Roman"/>
          <w:color w:val="000000"/>
          <w:sz w:val="20"/>
        </w:rPr>
        <w:t>Expenditures by our customers may be impacted by the overall level of construction activity in the markets and regions in which they operate, the price of oil and other commodities, the price of materials, supply chain disruptions, labor shortages, interest rates and other general economic trends impacting the industries in which our customers and end users operate. As our customers adjust their activity and spending levels in response to these external factors, our rentals and sales of equipment to those customers will be impacted.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Climate Change and ESG Regulations.</w:t>
      </w:r>
      <w:r>
        <w:rPr>
          <w:color w:val="000000"/>
        </w:rPr>
        <w:t xml:space="preserve"> </w:t>
      </w:r>
      <w:r>
        <w:rPr>
          <w:rFonts w:ascii="Times New Roman" w:hAnsi="Times New Roman"/>
          <w:color w:val="000000"/>
          <w:sz w:val="20"/>
        </w:rPr>
        <w:t xml:space="preserve">Our facilities and operations are subject to comprehensive and frequently changing federal, state and local environmental and occupational health and safety laws. We have made, and will continue to make, capital and other expenditures to comply with environmental requirements. While we do not currently anticipate any material adverse effect on our business, financial condition or competitive position as a result of our efforts to comply with such requirements, new or more stringent laws or regulations regarding in environmental and worker health and safety laws could affect our operations and increase our operational and compliance expenditures. It is also possible that liabilities from newly-discovered non-compliance or contamination could have a material adverse effect on our business, financial condition and results of operations. For a more detailed discussion of such factors, see Item 1—Business and Item 1A—Risk Factors in our Annual Report on Form 10-K for the year ended December 31, 2023.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tables included in the period-to-period comparisons below provide summaries of our revenues and gross profits for the three and nine months ended September 30, 2024 and 2023. The period-to-period comparisons of our financial results are not necessarily indicative of future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Three Months Ended September 30, 2024 Compared to the Three Months Ended September 30, 2023</w:t>
      </w:r>
    </w:p>
    <w:p>
      <w:pPr>
        <w:pStyle w:val="TextBody"/>
        <w:bidi w:val="0"/>
        <w:spacing w:before="120" w:after="40"/>
        <w:jc w:val="left"/>
        <w:rPr>
          <w:rFonts w:ascii="Times New Roman" w:hAnsi="Times New Roman"/>
          <w:b/>
          <w:i/>
          <w:color w:val="000000"/>
          <w:sz w:val="20"/>
        </w:rPr>
      </w:pPr>
      <w:r>
        <w:rPr>
          <w:rFonts w:ascii="Times New Roman" w:hAnsi="Times New Roman"/>
          <w:b/>
          <w:i/>
          <w:color w:val="000000"/>
          <w:sz w:val="20"/>
        </w:rPr>
        <w:t>Revenues.</w:t>
      </w:r>
    </w:p>
    <w:tbl>
      <w:tblPr>
        <w:tblW w:w="8261" w:type="dxa"/>
        <w:jc w:val="left"/>
        <w:tblInd w:w="0" w:type="dxa"/>
        <w:tblLayout w:type="fixed"/>
        <w:tblCellMar>
          <w:top w:w="28" w:type="dxa"/>
          <w:left w:w="28" w:type="dxa"/>
          <w:bottom w:w="28" w:type="dxa"/>
          <w:right w:w="28" w:type="dxa"/>
        </w:tblCellMar>
      </w:tblPr>
      <w:tblGrid>
        <w:gridCol w:w="2556"/>
        <w:gridCol w:w="146"/>
        <w:gridCol w:w="211"/>
        <w:gridCol w:w="781"/>
        <w:gridCol w:w="146"/>
        <w:gridCol w:w="146"/>
        <w:gridCol w:w="211"/>
        <w:gridCol w:w="781"/>
        <w:gridCol w:w="146"/>
        <w:gridCol w:w="146"/>
        <w:gridCol w:w="211"/>
        <w:gridCol w:w="736"/>
        <w:gridCol w:w="166"/>
        <w:gridCol w:w="146"/>
        <w:gridCol w:w="199"/>
        <w:gridCol w:w="717"/>
        <w:gridCol w:w="816"/>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816" w:type="dxa"/>
            <w:tcBorders/>
            <w:shd w:fill="FFFFFF" w:val="cle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816" w:type="dxa"/>
            <w:tcBorders/>
            <w:shd w:fill="FFFFFF" w:val="cle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43"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816" w:type="dxa"/>
            <w:tcBorders/>
            <w:shd w:fill="FFFFFF" w:val="clear"/>
            <w:vAlign w:val="center"/>
          </w:tcPr>
          <w:p>
            <w:pPr>
              <w:pStyle w:val="TableContents"/>
              <w:bidi w:val="0"/>
              <w:spacing w:before="0" w:after="283"/>
              <w:jc w:val="center"/>
              <w:rPr/>
            </w:pPr>
            <w:r>
              <w:rPr/>
              <w:t> </w:t>
            </w:r>
          </w:p>
        </w:tc>
      </w:tr>
      <w:tr>
        <w:trPr/>
        <w:tc>
          <w:tcPr>
            <w:tcW w:w="2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816" w:type="dxa"/>
            <w:tcBorders/>
            <w:shd w:fill="CFF0FC" w:val="clear"/>
            <w:vAlign w:val="center"/>
          </w:tcPr>
          <w:p>
            <w:pPr>
              <w:pStyle w:val="TableContents"/>
              <w:bidi w:val="0"/>
              <w:spacing w:before="0" w:after="283"/>
              <w:ind w:left="0" w:right="0" w:firstLine="200"/>
              <w:jc w:val="right"/>
              <w:rPr/>
            </w:pPr>
            <w:r>
              <w:rPr/>
              <w:t> </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rentals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ind w:left="0" w:right="0" w:firstLine="400"/>
              <w:jc w:val="left"/>
              <w:rPr/>
            </w:pPr>
            <w:r>
              <w:rPr/>
              <w:t> </w:t>
            </w:r>
          </w:p>
        </w:tc>
      </w:tr>
      <w:tr>
        <w:trPr/>
        <w:tc>
          <w:tcPr>
            <w:tcW w:w="25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Rentals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8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Rentals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equipment rentals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8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rental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8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new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8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Parts, service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Total Revenues</w:t>
      </w:r>
      <w:r>
        <w:rPr>
          <w:rFonts w:ascii="Times New Roman" w:hAnsi="Times New Roman"/>
          <w:color w:val="000000"/>
          <w:sz w:val="20"/>
        </w:rPr>
        <w:t>. Our total revenues were $384.9 million for the three months ended September 30, 2024 compared to $400.7 million for the three months ended September 30, 2023, a decrease of $15.8 million, or 4.0%. Revenues of our business activities are further discussed below.</w:t>
      </w:r>
    </w:p>
    <w:p>
      <w:pPr>
        <w:pStyle w:val="TextBody"/>
        <w:bidi w:val="0"/>
        <w:spacing w:before="200" w:after="283"/>
        <w:jc w:val="left"/>
        <w:rPr>
          <w:rFonts w:ascii="Times New Roman" w:hAnsi="Times New Roman"/>
          <w:sz w:val="20"/>
        </w:rPr>
      </w:pPr>
      <w:r>
        <w:rPr>
          <w:rFonts w:ascii="Times New Roman" w:hAnsi="Times New Roman"/>
          <w:i/>
          <w:color w:val="000000"/>
          <w:sz w:val="20"/>
        </w:rPr>
        <w:t>Equipment Rental Revenues</w:t>
      </w:r>
      <w:r>
        <w:rPr>
          <w:rFonts w:ascii="Times New Roman" w:hAnsi="Times New Roman"/>
          <w:color w:val="000000"/>
          <w:sz w:val="20"/>
        </w:rPr>
        <w:t>. Our total revenues from equipment rentals for the three months ended September 30, 2024 increased $10.4 million, or 3.3%, to $326.2 million from $315.8 million in the three months ended September 30, 2023. The increased equipment rental revenues was primarily due to our larger fleet as compared to the prior year. See Rentals and Rentals Other below for additional information.</w:t>
      </w:r>
    </w:p>
    <w:p>
      <w:pPr>
        <w:pStyle w:val="TextBody"/>
        <w:bidi w:val="0"/>
        <w:spacing w:before="200" w:after="283"/>
        <w:jc w:val="left"/>
        <w:rPr>
          <w:rFonts w:ascii="Times New Roman" w:hAnsi="Times New Roman"/>
          <w:sz w:val="20"/>
        </w:rPr>
      </w:pPr>
      <w:r>
        <w:rPr>
          <w:rFonts w:ascii="Times New Roman" w:hAnsi="Times New Roman"/>
          <w:i/>
          <w:color w:val="000000"/>
          <w:sz w:val="20"/>
        </w:rPr>
        <w:t>Rentals</w:t>
      </w:r>
      <w:r>
        <w:rPr>
          <w:rFonts w:ascii="Times New Roman" w:hAnsi="Times New Roman"/>
          <w:color w:val="000000"/>
          <w:sz w:val="20"/>
        </w:rPr>
        <w:t xml:space="preserve">: Rental revenues increased $7.8 million, or 2.8%, to $288.1 million for the three months ended September 30, 2024 compared to $280.3 million for the three months ended September 30, 2023. Rental revenues from other rentals increased $8.4 million and aerial work platform equipment increased $4.0 million. Partially offsetting these increases, rental revenues from our earthmoving equipment decreased $2.8 million and material handling equipment decreased $1.8 million. Our average rental rates for the three months ended September 30, 2024 decreased 0.1% compared to the same three months last year and decreased 0.6% from the three months ended June 30, 2024. Our average rental rates do not include the impact of acquisitions completed within the last twelve months. Rental equipment dollar utilization (annual rental revenues divided by the average original rental fleet equipment costs) for the three months ended September 30, 2024 was 39.4% compared to 41.5% in the three months ended September 30, 2023, a decrease of 2.1%. The decrease in comparative rental equipment dollar utilization was the result of a decrease in rental equipment time utilization and a decrease in equipment rental rates. Rental equipment time utilization as a percentage of original equipment cost was 67.6% for the three months ended September 30, 2024 compared to 70.0% in the three months ended September 30, 2023, a decrease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of 2.4%. The decrease in rental equipment time utilization as a percentage of original equipment cost was largely reflective of the increase in fleet size.</w:t>
      </w:r>
    </w:p>
    <w:p>
      <w:pPr>
        <w:pStyle w:val="TextBody"/>
        <w:bidi w:val="0"/>
        <w:spacing w:before="200" w:after="283"/>
        <w:jc w:val="left"/>
        <w:rPr>
          <w:rFonts w:ascii="Times New Roman" w:hAnsi="Times New Roman"/>
          <w:sz w:val="20"/>
        </w:rPr>
      </w:pPr>
      <w:r>
        <w:rPr>
          <w:rFonts w:ascii="Times New Roman" w:hAnsi="Times New Roman"/>
          <w:i/>
          <w:color w:val="000000"/>
          <w:sz w:val="20"/>
        </w:rPr>
        <w:t>Rentals Other:</w:t>
      </w:r>
      <w:r>
        <w:rPr>
          <w:rFonts w:ascii="Times New Roman" w:hAnsi="Times New Roman"/>
          <w:color w:val="000000"/>
          <w:sz w:val="20"/>
        </w:rPr>
        <w:t xml:space="preserve"> Our rentals other revenues consist primarily of equipment support activities that we provide to customers in connection with renting equipment, such as hauling charges, damage waiver policies, environmental and other recovery fees. Rental other revenues for the three months ended September 30, 2024 were $38.1 million compared to $35.6 million for the three months ended September 30, 2023, an increase of approximately $2.6 million, or 7.2%. This increase was primarily related to increased rental revenues discussed above. </w:t>
      </w:r>
    </w:p>
    <w:p>
      <w:pPr>
        <w:pStyle w:val="TextBody"/>
        <w:bidi w:val="0"/>
        <w:spacing w:before="200" w:after="283"/>
        <w:jc w:val="left"/>
        <w:rPr>
          <w:rFonts w:ascii="Times New Roman" w:hAnsi="Times New Roman"/>
          <w:sz w:val="20"/>
        </w:rPr>
      </w:pPr>
      <w:r>
        <w:rPr>
          <w:rFonts w:ascii="Times New Roman" w:hAnsi="Times New Roman"/>
          <w:i/>
          <w:color w:val="000000"/>
          <w:sz w:val="20"/>
        </w:rPr>
        <w:t>Sales of Rental Equipment Revenues</w:t>
      </w:r>
      <w:r>
        <w:rPr>
          <w:rFonts w:ascii="Times New Roman" w:hAnsi="Times New Roman"/>
          <w:color w:val="000000"/>
          <w:sz w:val="20"/>
        </w:rPr>
        <w:t xml:space="preserve">. Our sales of rental equipment decreased $24.9 million, or 47.3%, to $27.8 million for the three months ended September 30, 2024, from $52.7 million for the same three months in 2023. This decrease is reflective of our ongoing fleet management strategy. Sales of earthmoving rental equipment decreased $16.7 million and material handling rental equipment decreased $7.2 million. Offsetting this decrease, sales of aerial work platform rental equipment increased $1.1 million. </w:t>
      </w:r>
    </w:p>
    <w:p>
      <w:pPr>
        <w:pStyle w:val="TextBody"/>
        <w:bidi w:val="0"/>
        <w:spacing w:before="200" w:after="283"/>
        <w:jc w:val="left"/>
        <w:rPr>
          <w:rFonts w:ascii="Times New Roman" w:hAnsi="Times New Roman"/>
          <w:sz w:val="20"/>
        </w:rPr>
      </w:pPr>
      <w:r>
        <w:rPr>
          <w:rFonts w:ascii="Times New Roman" w:hAnsi="Times New Roman"/>
          <w:i/>
          <w:color w:val="000000"/>
          <w:sz w:val="20"/>
        </w:rPr>
        <w:t>Sales of New Equipment Revenues</w:t>
      </w:r>
      <w:r>
        <w:rPr>
          <w:rFonts w:ascii="Times New Roman" w:hAnsi="Times New Roman"/>
          <w:color w:val="000000"/>
          <w:sz w:val="20"/>
        </w:rPr>
        <w:t>. Our sales of new equipment for the three months ended September 30, 2024 increased $1.4 million, or 11.2%, to $14.1 million from $12.6 million for the three months ended September 30, 2023. Sales of new material handling equipment increased $5.5 million as we capitalized on improved product line availability. Sales of aerial work platform equipment increased $1.2 million while sales of other equipment decreased $4.9 million.</w:t>
      </w:r>
    </w:p>
    <w:p>
      <w:pPr>
        <w:pStyle w:val="TextBody"/>
        <w:bidi w:val="0"/>
        <w:spacing w:before="200" w:after="283"/>
        <w:jc w:val="left"/>
        <w:rPr>
          <w:rFonts w:ascii="Times New Roman" w:hAnsi="Times New Roman"/>
          <w:sz w:val="20"/>
        </w:rPr>
      </w:pPr>
      <w:r>
        <w:rPr>
          <w:rFonts w:ascii="Times New Roman" w:hAnsi="Times New Roman"/>
          <w:i/>
          <w:color w:val="000000"/>
          <w:sz w:val="20"/>
        </w:rPr>
        <w:t>Parts, Service and Other Revenues</w:t>
      </w:r>
      <w:r>
        <w:rPr>
          <w:rFonts w:ascii="Times New Roman" w:hAnsi="Times New Roman"/>
          <w:color w:val="000000"/>
          <w:sz w:val="20"/>
        </w:rPr>
        <w:t>. Our parts, service and other revenues for the three months ended September 30, 2024 decreased $2.7 million, or 14.0%, to $16.8 million from $19.5 million for the same three months last year.</w:t>
      </w:r>
    </w:p>
    <w:p>
      <w:pPr>
        <w:pStyle w:val="TextBody"/>
        <w:bidi w:val="0"/>
        <w:spacing w:before="360" w:after="40"/>
        <w:jc w:val="left"/>
        <w:rPr>
          <w:rFonts w:ascii="Times New Roman" w:hAnsi="Times New Roman"/>
          <w:b/>
          <w:i/>
          <w:color w:val="000000"/>
          <w:sz w:val="20"/>
        </w:rPr>
      </w:pPr>
      <w:r>
        <w:rPr>
          <w:rFonts w:ascii="Times New Roman" w:hAnsi="Times New Roman"/>
          <w:b/>
          <w:i/>
          <w:color w:val="000000"/>
          <w:sz w:val="20"/>
        </w:rPr>
        <w:t>Gross Profit.</w:t>
      </w:r>
    </w:p>
    <w:tbl>
      <w:tblPr>
        <w:tblW w:w="8321" w:type="dxa"/>
        <w:jc w:val="left"/>
        <w:tblInd w:w="0" w:type="dxa"/>
        <w:tblLayout w:type="fixed"/>
        <w:tblCellMar>
          <w:top w:w="28" w:type="dxa"/>
          <w:left w:w="28" w:type="dxa"/>
          <w:bottom w:w="28" w:type="dxa"/>
          <w:right w:w="28" w:type="dxa"/>
        </w:tblCellMar>
      </w:tblPr>
      <w:tblGrid>
        <w:gridCol w:w="2556"/>
        <w:gridCol w:w="146"/>
        <w:gridCol w:w="211"/>
        <w:gridCol w:w="781"/>
        <w:gridCol w:w="146"/>
        <w:gridCol w:w="146"/>
        <w:gridCol w:w="211"/>
        <w:gridCol w:w="781"/>
        <w:gridCol w:w="146"/>
        <w:gridCol w:w="146"/>
        <w:gridCol w:w="211"/>
        <w:gridCol w:w="736"/>
        <w:gridCol w:w="166"/>
        <w:gridCol w:w="146"/>
        <w:gridCol w:w="199"/>
        <w:gridCol w:w="717"/>
        <w:gridCol w:w="876"/>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876" w:type="dxa"/>
            <w:tcBorders/>
            <w:shd w:fill="FFFFFF" w:val="cle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876" w:type="dxa"/>
            <w:tcBorders/>
            <w:shd w:fill="FFFFFF" w:val="cle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3"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876" w:type="dxa"/>
            <w:tcBorders/>
            <w:shd w:fill="FFFFFF" w:val="clear"/>
            <w:vAlign w:val="center"/>
          </w:tcPr>
          <w:p>
            <w:pPr>
              <w:pStyle w:val="TableContents"/>
              <w:bidi w:val="0"/>
              <w:spacing w:before="0" w:after="283"/>
              <w:jc w:val="center"/>
              <w:rPr/>
            </w:pPr>
            <w:r>
              <w:rPr/>
              <w:t> </w:t>
            </w:r>
          </w:p>
        </w:tc>
      </w:tr>
      <w:tr>
        <w:trPr/>
        <w:tc>
          <w:tcPr>
            <w:tcW w:w="2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876" w:type="dxa"/>
            <w:tcBorders/>
            <w:shd w:fill="CFF0FC" w:val="clear"/>
            <w:vAlign w:val="center"/>
          </w:tcPr>
          <w:p>
            <w:pPr>
              <w:pStyle w:val="TableContents"/>
              <w:bidi w:val="0"/>
              <w:spacing w:before="0" w:after="283"/>
              <w:ind w:left="0" w:right="0" w:firstLine="200"/>
              <w:jc w:val="right"/>
              <w:rPr/>
            </w:pPr>
            <w:r>
              <w:rPr/>
              <w:t> </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rentals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876" w:type="dxa"/>
            <w:tcBorders/>
            <w:shd w:fill="FFFFFF" w:val="clear"/>
            <w:vAlign w:val="center"/>
          </w:tcPr>
          <w:p>
            <w:pPr>
              <w:pStyle w:val="TableContents"/>
              <w:bidi w:val="0"/>
              <w:spacing w:before="0" w:after="283"/>
              <w:ind w:left="0" w:right="0" w:firstLine="400"/>
              <w:jc w:val="right"/>
              <w:rPr/>
            </w:pPr>
            <w:r>
              <w:rPr/>
              <w:t> </w:t>
            </w:r>
          </w:p>
        </w:tc>
      </w:tr>
      <w:tr>
        <w:trPr/>
        <w:tc>
          <w:tcPr>
            <w:tcW w:w="25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Rentals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7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Rentals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equipment rentals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rental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8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new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8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Parts, service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Total Gross Profit</w:t>
      </w:r>
      <w:r>
        <w:rPr>
          <w:rFonts w:ascii="Times New Roman" w:hAnsi="Times New Roman"/>
          <w:color w:val="000000"/>
          <w:sz w:val="20"/>
        </w:rPr>
        <w:t>. Our total gross profit was $171.5 million for the three months ended September 30, 2024 compared to $188.4 million for the same three months in 2023, a decrease of $16.9 million, or 9.0%. Total gross profit margin for the three months ended September 30, 2024 was approximately 44.5%, a decrease of 2.5% from the 47.0% gross profit margin for the same three months in 2023. Gross profits and gross margins of our business activities are further described below.</w:t>
      </w:r>
    </w:p>
    <w:p>
      <w:pPr>
        <w:pStyle w:val="TextBody"/>
        <w:bidi w:val="0"/>
        <w:spacing w:before="200" w:after="283"/>
        <w:jc w:val="left"/>
        <w:rPr>
          <w:rFonts w:ascii="Times New Roman" w:hAnsi="Times New Roman"/>
          <w:sz w:val="20"/>
        </w:rPr>
      </w:pPr>
      <w:r>
        <w:rPr>
          <w:rFonts w:ascii="Times New Roman" w:hAnsi="Times New Roman"/>
          <w:i/>
          <w:color w:val="000000"/>
          <w:sz w:val="20"/>
        </w:rPr>
        <w:t>Equipment Rentals Gross Profit</w:t>
      </w:r>
      <w:r>
        <w:rPr>
          <w:rFonts w:ascii="Times New Roman" w:hAnsi="Times New Roman"/>
          <w:color w:val="000000"/>
          <w:sz w:val="20"/>
        </w:rPr>
        <w:t>. Our total gross profit from equipment rentals for the three months ended September 30, 2024 decreased $2.0 million, or 1.3%, to $147.8 million from $149.8 million in the same three months in 2023. Total gross profit margin from equipment rentals for the three months ended September 30, 2024 was 45.3% compared to 47.4% for the same period in 2023, a decrease of approximately 2.1%. See Rentals and Rentals Other below for additional information.</w:t>
      </w:r>
    </w:p>
    <w:p>
      <w:pPr>
        <w:pStyle w:val="TextBody"/>
        <w:bidi w:val="0"/>
        <w:spacing w:before="200" w:after="283"/>
        <w:jc w:val="left"/>
        <w:rPr>
          <w:rFonts w:ascii="Times New Roman" w:hAnsi="Times New Roman"/>
          <w:sz w:val="20"/>
        </w:rPr>
      </w:pPr>
      <w:r>
        <w:rPr>
          <w:rFonts w:ascii="Times New Roman" w:hAnsi="Times New Roman"/>
          <w:i/>
          <w:color w:val="000000"/>
          <w:sz w:val="20"/>
        </w:rPr>
        <w:t>Rentals:</w:t>
      </w:r>
      <w:r>
        <w:rPr>
          <w:rFonts w:ascii="Times New Roman" w:hAnsi="Times New Roman"/>
          <w:color w:val="000000"/>
          <w:sz w:val="20"/>
        </w:rPr>
        <w:t xml:space="preserve"> Rental revenues gross profit decreased $1.9 million, or 1.3%, to $147.4 million for the three months ended September 30, 2024 compared to $149.4 million for the same three months in 2023. The decreased gross profit was due to a $4.8 million increase in rental equipment depreciation expense and a $4.9 million increase in rental expenses, partially offset by increased rental revenues of $7.8 million for the three months ended September 30, 2024 compared to the same period last year. The increase in depreciation expense is primarily due to a larger fleet size in the current year as compared to the prior period. Our fleet size, based on original equipment cost, at September 30, 2024 was $220.1 million, or 8.1%, larger than our fleet at September 30, 2023. Gross profit margin on rentals for the three months ended September 30, 2024 was 51.2% compared to 53.3% for the same period in 2023, a decrease of 2.1%. Depreciation expense was 33.0% of rental revenues for the three months ended September 30, 2024 compared to 32.2% for the same period in 2023, an increase of approximately 0.8%. As a percentage of rental revenues, rental expenses were 15.8% for the three months ended September 30, 2024 compared to 14.5% for the same period last year, an increase of 1.3%.</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Rentals Other:</w:t>
      </w:r>
      <w:r>
        <w:rPr>
          <w:rFonts w:ascii="Times New Roman" w:hAnsi="Times New Roman"/>
          <w:color w:val="000000"/>
          <w:sz w:val="20"/>
        </w:rPr>
        <w:t xml:space="preserve"> Our rentals other revenues consists primarily of equipment support activities that we provide to customers in connection with renting equipment, such as hauling charges, damage waiver policies, environmental and other recovery fees. Rental other revenues gross profit for the three months ended September 30, 2024 was $0.4 million, a decrease of $0.1 million as compared to the same period in 2023. The gross margin was 1.1% for the three months ended September 30, 2024 compared to a gross margin of 1.4% for the same period last year.</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Sales of Rental Equipment Gross Profit. </w:t>
      </w:r>
      <w:r>
        <w:rPr>
          <w:rFonts w:ascii="Times New Roman" w:hAnsi="Times New Roman"/>
          <w:color w:val="000000"/>
          <w:sz w:val="20"/>
        </w:rPr>
        <w:t>Our sales of rental equipment gross profit for the three months ended September 30, 2024 decreased $14.1 million, or 45.7%, to $16.7 million from $30.8 million in the same period in 2023, as sales of rental equipment decreased $24.9 million. Gross profit margin on sales of rental equipment for the three months ended September 30, 2024 was approximately 60.2%, up 1.7% from 58.5% for the same three months in 2023, primarily as a result of higher gross margins in aerial work platform sales. Our sales from rental fleet were approximately 251.5% and 242.3% of net book value for the three months ended September 30, 2024 and 2023, respectively.</w:t>
      </w:r>
    </w:p>
    <w:p>
      <w:pPr>
        <w:pStyle w:val="TextBody"/>
        <w:bidi w:val="0"/>
        <w:spacing w:before="200" w:after="283"/>
        <w:jc w:val="left"/>
        <w:rPr>
          <w:rFonts w:ascii="Times New Roman" w:hAnsi="Times New Roman"/>
          <w:sz w:val="20"/>
        </w:rPr>
      </w:pPr>
      <w:r>
        <w:rPr>
          <w:rFonts w:ascii="Times New Roman" w:hAnsi="Times New Roman"/>
          <w:i/>
          <w:color w:val="000000"/>
          <w:sz w:val="20"/>
        </w:rPr>
        <w:t>Sales of New Equipment Gross Profit.</w:t>
      </w:r>
      <w:r>
        <w:rPr>
          <w:rFonts w:ascii="Times New Roman" w:hAnsi="Times New Roman"/>
          <w:color w:val="000000"/>
          <w:sz w:val="20"/>
        </w:rPr>
        <w:t xml:space="preserve"> Our sales of new equipment gross profit for the three months ended September 30, 2024 increased $1.1 million, or 66.8%, to $2.8 million compared to $1.7 million for the same three months in 2023 on sales of new equipment which increased $1.4 million. Gross profit margin on sales of new equipment was 19.8% for the three months ended September 30, 2024, compared to 13.2% for the same period last year, an increase of 6.6%, primarily as a result of higher gross margins on material handling equipment sales.</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Parts, Service and Other Gross Profit. </w:t>
      </w:r>
      <w:r>
        <w:rPr>
          <w:rFonts w:ascii="Times New Roman" w:hAnsi="Times New Roman"/>
          <w:color w:val="000000"/>
          <w:sz w:val="20"/>
        </w:rPr>
        <w:t>Our parts, service and other revenues gross profit for the three months ended September 30, 2024 was $4.1 million, a decrease of 32.4%, from gross profit of $6.0 million for the same period last year on parts, service and other revenues that decreased $2.7 million. Gross profit margin for the three months ended September 30, 2024 and 2023 was 24.3% and 30.9%, respectively.</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Selling, General and Administrative Expenses. </w:t>
      </w:r>
      <w:r>
        <w:rPr>
          <w:rFonts w:ascii="Times New Roman" w:hAnsi="Times New Roman"/>
          <w:color w:val="000000"/>
          <w:sz w:val="20"/>
        </w:rPr>
        <w:t xml:space="preserve">SG&amp;A expenses increased $8.2 million, or 7.9%, to $112.4 million for the three months ended September 30, 2024 compared to $104.2 million for the three months ended September 30, 2023. Employee salaries, wages, payroll taxes and other employee related expenses increased $1.3 million due to increased wages, headcount and health insurance. Facility expenses increased $3.1 million, depreciation and amortization expenses increased $2.5 million and liability insurance costs increased $1.1 million. Approximately $11.0 million of comparative incremental SG&amp;A expenses in the three months ended September 30, 2024 was attributable to expansion efforts since January 1, 2023 with less than three months of comparable operations in either or both of the three months ended September 30, 2024 and 2023. SG&amp;A expenses as a percentage of total revenues for the three months ended September 30, 2024 and 2023 were 29.2% and 26.0%, respectively, an increase of 3.2%.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Gain on Sales of Property &amp; Equipment (Net). </w:t>
      </w:r>
      <w:r>
        <w:rPr>
          <w:rFonts w:ascii="Times New Roman" w:hAnsi="Times New Roman"/>
          <w:color w:val="000000"/>
          <w:sz w:val="20"/>
        </w:rPr>
        <w:t>We had net gains on sales of property and equipment of $1.7 million for the three months ended September 30, 2024 compared to $0.8 million for the same period last year, an increase of $0.9 million. This increase is due to fluctuations in the normal course of business.</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Other Income (Expense). </w:t>
      </w:r>
      <w:r>
        <w:rPr>
          <w:rFonts w:ascii="Times New Roman" w:hAnsi="Times New Roman"/>
          <w:color w:val="000000"/>
          <w:sz w:val="20"/>
        </w:rPr>
        <w:t>For the three months ended September 30, 2024, our net other expenses increased approximately $4.2 million to $17.3 million compared to $13.1 million for the same three months in 2023. Interest expense was $18.8 million for the three months ended September 30, 2024 and $16.1 million for the three months ended September 30, 2023. The increase in interest expense is largely due to higher borrowings on our Credit Facility.</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Income Taxes. </w:t>
      </w:r>
      <w:r>
        <w:rPr>
          <w:rFonts w:ascii="Times New Roman" w:hAnsi="Times New Roman"/>
          <w:color w:val="000000"/>
          <w:sz w:val="20"/>
        </w:rPr>
        <w:t>We recorded income tax expense of $12.3 million for the three months ended September 30, 2024 compared to an income tax expense of $17.3 million for the three months ended September 30, 2023. Our effective income tax rate for the three months ended September 30, 2024 was 28.3% compared to 26.1% for the same period in 2023. Based on available evidence, both positive and negative, we believe it is more likely than not that our federal deferred tax assets at September 30, 2024 are fully realizable through future reversals of existing taxable temporary differences and future taxable income. As of September 30, 2024, we have a valuation allowance of $3.0 million for certain state tax credits that may not be realized.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Nine Months Ended September 30, 2024 Compared to the Nine Months Ended September 30, 2023</w:t>
      </w:r>
    </w:p>
    <w:p>
      <w:pPr>
        <w:pStyle w:val="TextBody"/>
        <w:bidi w:val="0"/>
        <w:spacing w:before="240" w:after="40"/>
        <w:jc w:val="left"/>
        <w:rPr>
          <w:rFonts w:ascii="Times New Roman" w:hAnsi="Times New Roman"/>
          <w:b/>
          <w:i/>
          <w:color w:val="000000"/>
          <w:sz w:val="20"/>
        </w:rPr>
      </w:pPr>
      <w:r>
        <w:rPr>
          <w:rFonts w:ascii="Times New Roman" w:hAnsi="Times New Roman"/>
          <w:b/>
          <w:i/>
          <w:color w:val="000000"/>
          <w:sz w:val="20"/>
        </w:rPr>
        <w:t>Revenues.</w:t>
      </w:r>
    </w:p>
    <w:tbl>
      <w:tblPr>
        <w:tblW w:w="9361" w:type="dxa"/>
        <w:jc w:val="left"/>
        <w:tblInd w:w="0" w:type="dxa"/>
        <w:tblLayout w:type="fixed"/>
        <w:tblCellMar>
          <w:top w:w="28" w:type="dxa"/>
          <w:left w:w="28" w:type="dxa"/>
          <w:bottom w:w="28" w:type="dxa"/>
          <w:right w:w="28" w:type="dxa"/>
        </w:tblCellMar>
      </w:tblPr>
      <w:tblGrid>
        <w:gridCol w:w="2556"/>
        <w:gridCol w:w="346"/>
        <w:gridCol w:w="211"/>
        <w:gridCol w:w="931"/>
        <w:gridCol w:w="146"/>
        <w:gridCol w:w="346"/>
        <w:gridCol w:w="211"/>
        <w:gridCol w:w="931"/>
        <w:gridCol w:w="146"/>
        <w:gridCol w:w="346"/>
        <w:gridCol w:w="211"/>
        <w:gridCol w:w="736"/>
        <w:gridCol w:w="166"/>
        <w:gridCol w:w="346"/>
        <w:gridCol w:w="199"/>
        <w:gridCol w:w="717"/>
        <w:gridCol w:w="816"/>
      </w:tblGrid>
      <w:tr>
        <w:trPr/>
        <w:tc>
          <w:tcPr>
            <w:tcW w:w="25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7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816" w:type="dxa"/>
            <w:tcBorders/>
            <w:shd w:fill="FFFFFF" w:val="cle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816" w:type="dxa"/>
            <w:tcBorders/>
            <w:shd w:fill="FFFFFF" w:val="cle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5643"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816" w:type="dxa"/>
            <w:tcBorders/>
            <w:shd w:fill="FFFFFF" w:val="clear"/>
            <w:vAlign w:val="center"/>
          </w:tcPr>
          <w:p>
            <w:pPr>
              <w:pStyle w:val="TableContents"/>
              <w:bidi w:val="0"/>
              <w:spacing w:before="0" w:after="283"/>
              <w:jc w:val="center"/>
              <w:rPr/>
            </w:pPr>
            <w:r>
              <w:rPr/>
              <w:t> </w:t>
            </w:r>
          </w:p>
        </w:tc>
      </w:tr>
      <w:tr>
        <w:trPr/>
        <w:tc>
          <w:tcPr>
            <w:tcW w:w="2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816" w:type="dxa"/>
            <w:tcBorders/>
            <w:shd w:fill="CFF0FC" w:val="clear"/>
            <w:vAlign w:val="center"/>
          </w:tcPr>
          <w:p>
            <w:pPr>
              <w:pStyle w:val="TableContents"/>
              <w:bidi w:val="0"/>
              <w:spacing w:before="0" w:after="283"/>
              <w:ind w:left="0" w:right="0" w:firstLine="200"/>
              <w:jc w:val="right"/>
              <w:rPr/>
            </w:pPr>
            <w:r>
              <w:rPr/>
              <w:t> </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rentals</w:t>
            </w:r>
          </w:p>
        </w:tc>
        <w:tc>
          <w:tcPr>
            <w:tcW w:w="346" w:type="dxa"/>
            <w:tcBorders/>
            <w:shd w:fill="FFFFFF" w:val="clear"/>
            <w:vAlign w:val="center"/>
          </w:tcPr>
          <w:p>
            <w:pPr>
              <w:pStyle w:val="TableContents"/>
              <w:bidi w:val="0"/>
              <w:spacing w:before="0" w:after="283"/>
              <w:ind w:left="0" w:right="0" w:firstLine="200"/>
              <w:jc w:val="left"/>
              <w:rPr/>
            </w:pPr>
            <w:r>
              <w:rPr/>
              <w:t> </w:t>
            </w:r>
          </w:p>
        </w:tc>
        <w:tc>
          <w:tcPr>
            <w:tcW w:w="1142" w:type="dxa"/>
            <w:gridSpan w:val="2"/>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ind w:left="0" w:right="0" w:firstLine="200"/>
              <w:jc w:val="left"/>
              <w:rPr/>
            </w:pPr>
            <w:r>
              <w:rPr/>
              <w:t> </w:t>
            </w:r>
          </w:p>
        </w:tc>
        <w:tc>
          <w:tcPr>
            <w:tcW w:w="1142" w:type="dxa"/>
            <w:gridSpan w:val="2"/>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ind w:left="0" w:right="0" w:firstLine="200"/>
              <w:jc w:val="left"/>
              <w:rPr/>
            </w:pPr>
            <w:r>
              <w:rPr/>
              <w:t> </w:t>
            </w:r>
          </w:p>
        </w:tc>
        <w:tc>
          <w:tcPr>
            <w:tcW w:w="947" w:type="dxa"/>
            <w:gridSpan w:val="2"/>
            <w:tcBorders/>
            <w:shd w:fill="FFFFFF" w:val="clear"/>
            <w:vAlign w:val="center"/>
          </w:tcPr>
          <w:p>
            <w:pPr>
              <w:pStyle w:val="TableContents"/>
              <w:bidi w:val="0"/>
              <w:spacing w:before="0" w:after="283"/>
              <w:ind w:left="200" w:right="0" w:firstLine="200"/>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ind w:left="0" w:right="0" w:firstLine="200"/>
              <w:jc w:val="left"/>
              <w:rPr/>
            </w:pPr>
            <w:r>
              <w:rPr/>
              <w:t> </w:t>
            </w:r>
          </w:p>
        </w:tc>
        <w:tc>
          <w:tcPr>
            <w:tcW w:w="916" w:type="dxa"/>
            <w:gridSpan w:val="2"/>
            <w:tcBorders/>
            <w:shd w:fill="FFFFFF" w:val="clear"/>
            <w:vAlign w:val="center"/>
          </w:tcPr>
          <w:p>
            <w:pPr>
              <w:pStyle w:val="TableContents"/>
              <w:bidi w:val="0"/>
              <w:spacing w:before="0" w:after="283"/>
              <w:ind w:left="200" w:right="0" w:firstLine="200"/>
              <w:jc w:val="left"/>
              <w:rPr/>
            </w:pPr>
            <w:r>
              <w:rPr/>
              <w:t> </w:t>
            </w:r>
          </w:p>
        </w:tc>
        <w:tc>
          <w:tcPr>
            <w:tcW w:w="816" w:type="dxa"/>
            <w:tcBorders/>
            <w:shd w:fill="FFFFFF" w:val="clear"/>
            <w:vAlign w:val="center"/>
          </w:tcPr>
          <w:p>
            <w:pPr>
              <w:pStyle w:val="TableContents"/>
              <w:bidi w:val="0"/>
              <w:spacing w:before="0" w:after="283"/>
              <w:ind w:left="0" w:right="0" w:firstLine="400"/>
              <w:jc w:val="left"/>
              <w:rPr/>
            </w:pPr>
            <w:r>
              <w:rPr/>
              <w:t> </w:t>
            </w:r>
          </w:p>
        </w:tc>
      </w:tr>
      <w:tr>
        <w:trPr/>
        <w:tc>
          <w:tcPr>
            <w:tcW w:w="25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Rentals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825,308</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771,056</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54,252</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8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Rentals other</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equipment rentals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933,900</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869,278</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64,622</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8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rental equipment</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110,842</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124,476</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8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new equipment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35,136</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29,308</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8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Parts, service and other</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Total Revenues</w:t>
      </w:r>
      <w:r>
        <w:rPr>
          <w:rFonts w:ascii="Times New Roman" w:hAnsi="Times New Roman"/>
          <w:color w:val="000000"/>
          <w:sz w:val="20"/>
        </w:rPr>
        <w:t>. Our total revenues were $1.1 billion for the nine months ended September 30, 2024 compared to $1.1 billion for the nine months ended September 30, 2023, an increase of $49.1 million, or 4.5%. Revenues of our business activities are further discussed below.</w:t>
      </w:r>
    </w:p>
    <w:p>
      <w:pPr>
        <w:pStyle w:val="TextBody"/>
        <w:bidi w:val="0"/>
        <w:spacing w:before="200" w:after="283"/>
        <w:jc w:val="left"/>
        <w:rPr>
          <w:rFonts w:ascii="Times New Roman" w:hAnsi="Times New Roman"/>
          <w:sz w:val="20"/>
        </w:rPr>
      </w:pPr>
      <w:r>
        <w:rPr>
          <w:rFonts w:ascii="Times New Roman" w:hAnsi="Times New Roman"/>
          <w:i/>
          <w:color w:val="000000"/>
          <w:sz w:val="20"/>
        </w:rPr>
        <w:t>Equipment Rental Revenues</w:t>
      </w:r>
      <w:r>
        <w:rPr>
          <w:rFonts w:ascii="Times New Roman" w:hAnsi="Times New Roman"/>
          <w:color w:val="000000"/>
          <w:sz w:val="20"/>
        </w:rPr>
        <w:t xml:space="preserve">. Our total revenues from equipment rentals for the nine months ended September 30, 2024 increased $64.6 million, or 7.4%, to $933.9 million from $869.3 million in the nine months ended September 30, 2023. The increase in equipment rental revenues was primarily due to our larger fleet as compared to the prior year. </w:t>
      </w:r>
    </w:p>
    <w:p>
      <w:pPr>
        <w:pStyle w:val="TextBody"/>
        <w:bidi w:val="0"/>
        <w:spacing w:before="200" w:after="283"/>
        <w:jc w:val="left"/>
        <w:rPr>
          <w:rFonts w:ascii="Times New Roman" w:hAnsi="Times New Roman"/>
          <w:sz w:val="20"/>
        </w:rPr>
      </w:pPr>
      <w:r>
        <w:rPr>
          <w:rFonts w:ascii="Times New Roman" w:hAnsi="Times New Roman"/>
          <w:i/>
          <w:color w:val="000000"/>
          <w:sz w:val="20"/>
        </w:rPr>
        <w:t>Rentals.</w:t>
      </w:r>
      <w:r>
        <w:rPr>
          <w:rFonts w:ascii="Times New Roman" w:hAnsi="Times New Roman"/>
          <w:color w:val="000000"/>
          <w:sz w:val="20"/>
        </w:rPr>
        <w:t xml:space="preserve"> Rental revenues increased $54.3 million, or 7.0%, to $825.3 million for the nine months ended September 30, 2024 compared to $771.1 million for the nine months ended September 30, 2023. Rental revenues from other equipment increased $29.3 million, aerial work platform equipment increased $18.5 million and material handling equipment increased $8.4 million. Partially offsetting these increases, rental revenues from earthmoving equipment decreased $2.0 million. Our average rental rates for the nine months ended September 30, 2024 increased 1.5% compared to the same period last year. Our average rental rates do not include the impact of acquisitions completed within the last twelve months. Rental equipment dollar utilization (annual rental revenues divided by the average original rental fleet equipment costs) for the nine months ended September 30, 2024 was 38.3% compared to 40.3% in the nine months ended September 30, 2023, a decrease of 2.0%. The decrease in comparative rental equipment dollar utilization was the net result of a decrease in rental equipment time utilization and an increase in equipment rental rates. Rental equipment time utilization as a percentage of original equipment cost was 65.9% for the nine months ended September 30, 2024 compared to 68.9% in the nine months ended September 30, 2023, a decrease of 3.0%. The decrease in rental equipment time utilization as a percentage of original equipment cost was largely reflective of the increase in fleet size. </w:t>
      </w:r>
    </w:p>
    <w:p>
      <w:pPr>
        <w:pStyle w:val="TextBody"/>
        <w:bidi w:val="0"/>
        <w:spacing w:before="200" w:after="283"/>
        <w:jc w:val="left"/>
        <w:rPr>
          <w:rFonts w:ascii="Times New Roman" w:hAnsi="Times New Roman"/>
          <w:sz w:val="20"/>
        </w:rPr>
      </w:pPr>
      <w:r>
        <w:rPr>
          <w:rFonts w:ascii="Times New Roman" w:hAnsi="Times New Roman"/>
          <w:i/>
          <w:color w:val="000000"/>
          <w:sz w:val="20"/>
        </w:rPr>
        <w:t>Rentals Other.</w:t>
      </w:r>
      <w:r>
        <w:rPr>
          <w:rFonts w:ascii="Times New Roman" w:hAnsi="Times New Roman"/>
          <w:color w:val="000000"/>
          <w:sz w:val="20"/>
        </w:rPr>
        <w:t xml:space="preserve"> Our rentals other revenue consist primarily of equipment support activities that we provide to customers in connection with renting equipment, such as hauling charges, damage waiver policies, environmental and other recovery fees. Rental other revenues for the nine months ended September 30, 2024 were $108.6 million compared to $98.2 million for the nine months ended September 30, 2023, an increase of $10.4 million, or 10.6%. The increase was primarily related to increased rental revenues discussed above.</w:t>
      </w:r>
    </w:p>
    <w:p>
      <w:pPr>
        <w:pStyle w:val="TextBody"/>
        <w:bidi w:val="0"/>
        <w:spacing w:before="200" w:after="283"/>
        <w:jc w:val="left"/>
        <w:rPr>
          <w:rFonts w:ascii="Times New Roman" w:hAnsi="Times New Roman"/>
          <w:sz w:val="20"/>
        </w:rPr>
      </w:pPr>
      <w:r>
        <w:rPr>
          <w:rFonts w:ascii="Times New Roman" w:hAnsi="Times New Roman"/>
          <w:i/>
          <w:color w:val="000000"/>
          <w:sz w:val="20"/>
        </w:rPr>
        <w:t>Sales of Rental Equipment Revenues</w:t>
      </w:r>
      <w:r>
        <w:rPr>
          <w:rFonts w:ascii="Times New Roman" w:hAnsi="Times New Roman"/>
          <w:color w:val="000000"/>
          <w:sz w:val="20"/>
        </w:rPr>
        <w:t>. Our sales of rental equipment decreased $13.6 million, or 11.0%, to $110.8 million for the nine months ended September 30, 2024 from $124.5 million for the nine months ended September 30, 2023. This decrease is reflective of our fleet management strategy. Sales of earthmoving rental equipment decreased $25.4 million and sales of material handling rental equipment decreased $1.5 million. Offsetting these decreases, sales of aerial work platform rental equipment increased $10.5 million and sales of other equipment increased $2.7 million.</w:t>
      </w:r>
    </w:p>
    <w:p>
      <w:pPr>
        <w:pStyle w:val="TextBody"/>
        <w:bidi w:val="0"/>
        <w:spacing w:before="200" w:after="283"/>
        <w:jc w:val="left"/>
        <w:rPr>
          <w:rFonts w:ascii="Times New Roman" w:hAnsi="Times New Roman"/>
          <w:sz w:val="20"/>
        </w:rPr>
      </w:pPr>
      <w:r>
        <w:rPr>
          <w:rFonts w:ascii="Times New Roman" w:hAnsi="Times New Roman"/>
          <w:i/>
          <w:color w:val="000000"/>
          <w:sz w:val="20"/>
        </w:rPr>
        <w:t>Sales of New Equipment Revenues</w:t>
      </w:r>
      <w:r>
        <w:rPr>
          <w:rFonts w:ascii="Times New Roman" w:hAnsi="Times New Roman"/>
          <w:color w:val="000000"/>
          <w:sz w:val="20"/>
        </w:rPr>
        <w:t>. Our sales of new equipment for the nine months ended September 30, 2024 increased $5.8 million, or 19.9%, to $35.1 million from $29.3 million for the nine months ended September 30, 2023. Sales of new material handling equipment increased $9.4 million as we capitalized on improved product line availability. Sales of aerial work platform equipment increased $4.5 million while sales of other equipment decreased $7.2 million.</w:t>
      </w:r>
    </w:p>
    <w:p>
      <w:pPr>
        <w:pStyle w:val="TextBody"/>
        <w:bidi w:val="0"/>
        <w:spacing w:before="200" w:after="283"/>
        <w:jc w:val="left"/>
        <w:rPr>
          <w:rFonts w:ascii="Times New Roman" w:hAnsi="Times New Roman"/>
          <w:sz w:val="20"/>
        </w:rPr>
      </w:pPr>
      <w:r>
        <w:rPr>
          <w:rFonts w:ascii="Times New Roman" w:hAnsi="Times New Roman"/>
          <w:i/>
          <w:color w:val="000000"/>
          <w:sz w:val="20"/>
        </w:rPr>
        <w:t>Parts, Service and Other Revenues.</w:t>
      </w:r>
      <w:r>
        <w:rPr>
          <w:rFonts w:ascii="Times New Roman" w:hAnsi="Times New Roman"/>
          <w:color w:val="000000"/>
          <w:sz w:val="20"/>
        </w:rPr>
        <w:t xml:space="preserve"> Our parts, service and other revenues for the nine months ended September 30, 2024 decreased $7.7 million, or 12.8%, to $52.6 million from $60.3 million for the nine months ended September 30, 2023.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40"/>
        <w:jc w:val="left"/>
        <w:rPr>
          <w:rFonts w:ascii="Times New Roman" w:hAnsi="Times New Roman"/>
          <w:b/>
          <w:i/>
          <w:color w:val="000000"/>
          <w:sz w:val="20"/>
        </w:rPr>
      </w:pPr>
      <w:r>
        <w:rPr>
          <w:rFonts w:ascii="Times New Roman" w:hAnsi="Times New Roman"/>
          <w:b/>
          <w:i/>
          <w:color w:val="000000"/>
          <w:sz w:val="20"/>
        </w:rPr>
        <w:t>Gross Profit.</w:t>
      </w:r>
    </w:p>
    <w:tbl>
      <w:tblPr>
        <w:tblW w:w="8261" w:type="dxa"/>
        <w:jc w:val="left"/>
        <w:tblInd w:w="0" w:type="dxa"/>
        <w:tblLayout w:type="fixed"/>
        <w:tblCellMar>
          <w:top w:w="28" w:type="dxa"/>
          <w:left w:w="28" w:type="dxa"/>
          <w:bottom w:w="28" w:type="dxa"/>
          <w:right w:w="28" w:type="dxa"/>
        </w:tblCellMar>
      </w:tblPr>
      <w:tblGrid>
        <w:gridCol w:w="2556"/>
        <w:gridCol w:w="146"/>
        <w:gridCol w:w="211"/>
        <w:gridCol w:w="781"/>
        <w:gridCol w:w="146"/>
        <w:gridCol w:w="146"/>
        <w:gridCol w:w="211"/>
        <w:gridCol w:w="781"/>
        <w:gridCol w:w="146"/>
        <w:gridCol w:w="146"/>
        <w:gridCol w:w="211"/>
        <w:gridCol w:w="676"/>
        <w:gridCol w:w="166"/>
        <w:gridCol w:w="146"/>
        <w:gridCol w:w="199"/>
        <w:gridCol w:w="717"/>
        <w:gridCol w:w="876"/>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876" w:type="dxa"/>
            <w:tcBorders/>
            <w:shd w:fill="FFFFFF" w:val="cle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876" w:type="dxa"/>
            <w:tcBorders/>
            <w:shd w:fill="FFFFFF" w:val="cle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83"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876" w:type="dxa"/>
            <w:tcBorders/>
            <w:shd w:fill="FFFFFF" w:val="cle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876" w:type="dxa"/>
            <w:tcBorders/>
            <w:shd w:fill="FFFFFF" w:val="clear"/>
            <w:vAlign w:val="center"/>
          </w:tcPr>
          <w:p>
            <w:pPr>
              <w:pStyle w:val="TableContents"/>
              <w:bidi w:val="0"/>
              <w:spacing w:before="0" w:after="283"/>
              <w:ind w:left="0" w:right="0" w:firstLine="200"/>
              <w:jc w:val="right"/>
              <w:rPr/>
            </w:pPr>
            <w:r>
              <w:rPr/>
              <w:t> </w:t>
            </w:r>
          </w:p>
        </w:tc>
      </w:tr>
      <w:tr>
        <w:trPr/>
        <w:tc>
          <w:tcPr>
            <w:tcW w:w="25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rentals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876" w:type="dxa"/>
            <w:tcBorders/>
            <w:shd w:fill="CFF0FC" w:val="clear"/>
            <w:vAlign w:val="center"/>
          </w:tcPr>
          <w:p>
            <w:pPr>
              <w:pStyle w:val="TableContents"/>
              <w:bidi w:val="0"/>
              <w:spacing w:before="0" w:after="283"/>
              <w:ind w:left="0" w:right="0" w:firstLine="400"/>
              <w:jc w:val="right"/>
              <w:rPr/>
            </w:pPr>
            <w:r>
              <w:rPr/>
              <w:t> </w:t>
            </w:r>
          </w:p>
        </w:tc>
      </w:tr>
      <w:tr>
        <w:trPr/>
        <w:tc>
          <w:tcPr>
            <w:tcW w:w="25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Rentals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8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Rentals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equipment rentals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8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rental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8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of new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8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Parts, service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Total Gross Profit</w:t>
      </w:r>
      <w:r>
        <w:rPr>
          <w:rFonts w:ascii="Times New Roman" w:hAnsi="Times New Roman"/>
          <w:color w:val="000000"/>
          <w:sz w:val="20"/>
        </w:rPr>
        <w:t>. Our total gross profit was $507.6 million for the nine months ended September 30, 2024 compared to $498.1 million for the nine months ended September 30, 2023, an increase of $9.5 million, or 1.9%. Total gross profit margin for the nine months ended September 30, 2024 was 44.8%, a decrease of 1.2% from the 46.0% gross profit margin for the nine months ended September 30, 2023. Gross profits and gross margins of our business activities are further described below.</w:t>
      </w:r>
    </w:p>
    <w:p>
      <w:pPr>
        <w:pStyle w:val="TextBody"/>
        <w:bidi w:val="0"/>
        <w:spacing w:before="200" w:after="283"/>
        <w:jc w:val="left"/>
        <w:rPr>
          <w:rFonts w:ascii="Times New Roman" w:hAnsi="Times New Roman"/>
          <w:sz w:val="20"/>
        </w:rPr>
      </w:pPr>
      <w:r>
        <w:rPr>
          <w:rFonts w:ascii="Times New Roman" w:hAnsi="Times New Roman"/>
          <w:i/>
          <w:color w:val="000000"/>
          <w:sz w:val="20"/>
        </w:rPr>
        <w:t>Equipment Rentals Gross Profit</w:t>
      </w:r>
      <w:r>
        <w:rPr>
          <w:rFonts w:ascii="Times New Roman" w:hAnsi="Times New Roman"/>
          <w:color w:val="000000"/>
          <w:sz w:val="20"/>
        </w:rPr>
        <w:t>. Our total gross profit from equipment rentals for the nine months ended September 30, 2024 increased $17.4 million, or 4.3%, to $418.0 million from $400.6 million in the nine months ended September 30, 2023. Total gross profit margin from equipment rentals for the nine months ended September 30, 2024 was 44.8% compared to 46.1% for the same period in 2023, a decrease of 1.3%.</w:t>
      </w:r>
    </w:p>
    <w:p>
      <w:pPr>
        <w:pStyle w:val="TextBody"/>
        <w:bidi w:val="0"/>
        <w:spacing w:before="200" w:after="283"/>
        <w:jc w:val="left"/>
        <w:rPr>
          <w:rFonts w:ascii="Times New Roman" w:hAnsi="Times New Roman"/>
          <w:sz w:val="20"/>
        </w:rPr>
      </w:pPr>
      <w:r>
        <w:rPr>
          <w:rFonts w:ascii="Times New Roman" w:hAnsi="Times New Roman"/>
          <w:i/>
          <w:color w:val="000000"/>
          <w:sz w:val="20"/>
        </w:rPr>
        <w:t>Rentals:</w:t>
      </w:r>
      <w:r>
        <w:rPr>
          <w:rFonts w:ascii="Times New Roman" w:hAnsi="Times New Roman"/>
          <w:color w:val="000000"/>
          <w:sz w:val="20"/>
        </w:rPr>
        <w:t xml:space="preserve"> Rental revenues gross profit increased $19.2 million, or 4.8%, to $414.9 million for the nine months ended September 30, 2024 compared to $395.7 million for the nine months ended September 30, 2023. The increased gross profit was the result of increased rental revenues of $54.3 million for the nine months ended September 30, 2024 compared to the same period last year, which was partially offset by a $20.8 million increase in rental depreciation and a $14.3 million increase in rental expenses. The increase in depreciation expense is primarily due to a larger fleet size in the current period as compared to the prior period. Gross profit margin on rentals for the nine months ended September 30, 2024 was 50.3% compared to 51.3% for the nine months ended September 30, 2023, a decrease of 1.0%. Depreciation expense was 33.8% and 33.5% of rental revenues for the nine months ended September 30, 2024 and 2023, respectively. As a percentage of revenues, rental expenses were 15.9% for the nine months ended September 30, 2024 compared to 15.2% for the same period last year, an increase of 0.7%.</w:t>
      </w:r>
    </w:p>
    <w:p>
      <w:pPr>
        <w:pStyle w:val="TextBody"/>
        <w:bidi w:val="0"/>
        <w:spacing w:before="200" w:after="283"/>
        <w:jc w:val="left"/>
        <w:rPr>
          <w:rFonts w:ascii="Times New Roman" w:hAnsi="Times New Roman"/>
          <w:sz w:val="20"/>
        </w:rPr>
      </w:pPr>
      <w:r>
        <w:rPr>
          <w:rFonts w:ascii="Times New Roman" w:hAnsi="Times New Roman"/>
          <w:i/>
          <w:color w:val="000000"/>
          <w:sz w:val="20"/>
        </w:rPr>
        <w:t>Rentals Other:</w:t>
      </w:r>
      <w:r>
        <w:rPr>
          <w:rFonts w:ascii="Times New Roman" w:hAnsi="Times New Roman"/>
          <w:color w:val="000000"/>
          <w:sz w:val="20"/>
        </w:rPr>
        <w:t xml:space="preserve"> Our rentals other revenue consists primarily of equipment support activities that we provide to customers in connection with renting equipment, such as hauling charges, damage waiver policies, environmental and other recovery fees. Rental other revenues gross profit for the nine months ended September 30, 2024 was $3.1 million compared to $4.8 million for the same period in 2023, a decrease of $1.7 million. Gross profit margin was 2.8% for the nine months ended September 30, 2024 compared to 4.9% for the same period last year, a decrease of 2.1%.</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Sales of Rental Equipment Gross Profit. </w:t>
      </w:r>
      <w:r>
        <w:rPr>
          <w:rFonts w:ascii="Times New Roman" w:hAnsi="Times New Roman"/>
          <w:color w:val="000000"/>
          <w:sz w:val="20"/>
        </w:rPr>
        <w:t>Our sales of rental equipment gross profit for the nine months ended September 30, 2024 decreased $4.2 million, or 5.8%, to $68.8 million from $73.1 million in the same period in 2023 as sales of rental equipment decreased $13.6 million. Gross profit margin on sales of rental equipment for the nine months ended September 30, 2024 was approximately 62.1%, up 3.4% from 58.7% for the nine months ended September 30, 2023, primarily as a result of higher used equipment gross margins on aerial work platform equipment. Our sales from rental fleet were approximately 265.1% and 243.9% of net book value for the nine months ended September 30, 2024 and 2023, respectively.</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Sales of New Equipment Gross Profit. </w:t>
      </w:r>
      <w:r>
        <w:rPr>
          <w:rFonts w:ascii="Times New Roman" w:hAnsi="Times New Roman"/>
          <w:color w:val="000000"/>
          <w:sz w:val="20"/>
        </w:rPr>
        <w:t>Our sales of new equipment gross profit for the nine months ended September 30, 2024 increased $2.3 million, or 57.8%, to $6.4 million compared to $4.0 million for the nine months ended September 30, 2023 on increased sales of new equipment of $5.8 million. Gross profit margin on sales of new equipment was 18.1% for the nine months ended September 30, 2024, compared to 13.8% for the same period last year, an increase of 4.3%, primarily as a result of higher gross margins on material handling equipment sales.</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Parts, Service and Other Gross Profit. </w:t>
      </w:r>
      <w:r>
        <w:rPr>
          <w:rFonts w:ascii="Times New Roman" w:hAnsi="Times New Roman"/>
          <w:color w:val="000000"/>
          <w:sz w:val="20"/>
        </w:rPr>
        <w:t>Our parts, service and other revenues gross profit for the nine months ended September 30, 2024 was $14.4 million, a decrease of $6.0 million, or 29.4%, from a gross profit of $20.4 million for the same period last year on decreased parts, service and other revenues of $7.7 million. Gross profit margin for the nine months ended September 30, 2024 and 2023 was 27.4% and 33.9%,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Selling, General and Administrative Expenses. </w:t>
      </w:r>
      <w:r>
        <w:rPr>
          <w:rFonts w:ascii="Times New Roman" w:hAnsi="Times New Roman"/>
          <w:color w:val="000000"/>
          <w:sz w:val="20"/>
        </w:rPr>
        <w:t xml:space="preserve">SG&amp;A expenses increased $39.7 million, or 13.3%, to $338.6 million for the nine months ended September 30, 2024 compared to $298.8 million for the nine months ended September 30, 2023. Employee salaries, wages, payroll taxes and other employee related expenses increased $16.3 million due to increased wages, headcount and health insurance. Facility expenses increased $7.4 million, depreciation and amortization expenses increased $7.2 million, liability insurance costs increased $3.0 million and professional fees increased $2.3 million. Approximately $33.1 million of the total increase in SG&amp;A expenses was attributable to branches opened or acquired since January 1, 2023 with less than nine months of comparable operations in either or both of the nine months ended September 30, 2024 and 2023. SG&amp;A expenses as a percentage of total revenues for the nine months ended September 30, 2024 and 2023 were 29.9% and 27.6%, respectively.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Gain on Sales of Property &amp; Equipment (Net). </w:t>
      </w:r>
      <w:r>
        <w:rPr>
          <w:rFonts w:ascii="Times New Roman" w:hAnsi="Times New Roman"/>
          <w:color w:val="000000"/>
          <w:sz w:val="20"/>
        </w:rPr>
        <w:t>We had net gains on sales of property and equipment of $6.4 million for the nine months ended September 30, 2024 compared to $1.9 million for the same period last year, an increase of $4.6 million. This increase is due to fluctuations in the normal course of business.</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Other Income (Expense). </w:t>
      </w:r>
      <w:r>
        <w:rPr>
          <w:rFonts w:ascii="Times New Roman" w:hAnsi="Times New Roman"/>
          <w:color w:val="000000"/>
          <w:sz w:val="20"/>
        </w:rPr>
        <w:t>For the nine months ended September 30, 2024, our net other expenses were $50.9 million compared to $38.7 million for the nine months ended September 30, 2023. Interest expense was $55.4 million for the nine months ended September 30, 2024 compared to $44.5 million for the nine months ended September 30, 2023. The increase in interest expense is largely due to higher borrowings on our Credit Facility.</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Income Taxes. </w:t>
      </w:r>
      <w:r>
        <w:rPr>
          <w:rFonts w:ascii="Times New Roman" w:hAnsi="Times New Roman"/>
          <w:color w:val="000000"/>
          <w:sz w:val="20"/>
        </w:rPr>
        <w:t>We recorded an income tax expense of $34.4 million for the nine months ended September 30, 2024 compared to an income tax expense of $41.0 million for the nine months ended September 30, 2023. Our effective income tax rate for the nine months ended September 30, 2024 was 27.6% compared to 26.2% for the same period in 2023. Based on available evidence, both positive and negative, we believe it is more likely than not that our federal deferred tax assets at September 30, 2024 are fully realizable through future reversals of existing taxable temporary differences and future taxable income. As of September 30, 2024, we have a valuation allowance of $3.0 million for certain state tax credits that may not be realized.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Cash Flow From Operating Activities. </w:t>
      </w:r>
      <w:r>
        <w:rPr>
          <w:rFonts w:ascii="Times New Roman" w:hAnsi="Times New Roman"/>
          <w:color w:val="000000"/>
          <w:sz w:val="20"/>
        </w:rPr>
        <w:t>For the nine months ended September 30, 2024, the net cash provided by our operating activities was $366.2 million. Our reported net income of $90.2 million, when adjusted for non-cash income and expense items, such as depreciation and amortization, deferred income taxes, net amortization (accretion) of note discount (premium), provision for losses on accounts receivable, provision for inventory obsolescence, stock-based compensation expense and net gains on the sale of long-lived assets, provided positive cash flows of $394.8 million. These cash flows from operating activities were also positively impacted by a $6.3 million increase in accrued expenses payable and other liabilities and a $2.9 million decrease in inventories driven by the classification of rental equipment at the time of purchase. Partially offsetting these positive cash flows were a $27.3 million decrease in accounts payable, a $5.7 million increase in prepaid expenses and other assets, a $3.8 million increase in receivables and a $1.0 million decrease in manufacturing flooring plans payable.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nine months ended September 30, 2023, the net cash provided by our operating activities was $276.5 million. Our reported net income of $115.8 million, when adjusted for non-cash income and expense items, such as depreciation and amortization, deferred income taxes, net amortization (accretion) of note discount (premium), provision for losses on accounts receivable, impairment of goodwill, provision for inventory obsolescence, stock-based compensation expense, impairment of goodwill and net gains on the sale of long-lived assets, provided positive cash flows of $397.6 million. These cash flows from operating activities were also positively impacted by a $10.9 million increase in accrued expenses payable and other liabilities, a $2.2 million increase in manufacturing flooring plans payable, and an $8.1 million decrease in prepaid expenses and other assets. Partially offsetting these positive cash flows were a $101.8 million increase in inventories, a $32.2 million increase in accounts receivables and an $8.4 million decrease in accounts payable.</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Cash Flow From Investing Activities. </w:t>
      </w:r>
      <w:r>
        <w:rPr>
          <w:rFonts w:ascii="Times New Roman" w:hAnsi="Times New Roman"/>
          <w:color w:val="000000"/>
          <w:sz w:val="20"/>
        </w:rPr>
        <w:t xml:space="preserve">For the nine months ended September 30, 2024, our net cash used in our investing activities was $422.1 million. The aggregate cumulative cash consideration paid for the acquisitions of Lewistown and Precision was approximately $157.8 million; see additional information on the acquisitions in Note 3 to our Condensed Consolidated Financial Statements. Purchases of rental and non-rental equipment were $382.3 million and proceeds from the sale of rental and non-rental equipment were $118.0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nine months ended September 30, 2023, our net cash used in our investing activities was $452.0 million. Purchases of rental and non-rental equipment were $578.0 million and proceeds from the sale of rental and non-rental equipment were $126.0 million. </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Cash Flow From Financing Activities. </w:t>
      </w:r>
      <w:r>
        <w:rPr>
          <w:rFonts w:ascii="Times New Roman" w:hAnsi="Times New Roman"/>
          <w:color w:val="000000"/>
          <w:sz w:val="20"/>
        </w:rPr>
        <w:t xml:space="preserve">For the nine months ended September 30, 2024, our net cash provided by our financing activities was $58.5 million. Borrowings on our senior secured credit facility amounted to $1.4 billion while payments on the facility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amounted to $1.3 billion for the nine months ended September 30, 2024. Dividends paid totaled $30.1 million, or $0.825 per common share, and treasury stock purchases totaled $5.8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nine months ended September 30, 2023, our net cash provided by our financing activities was $101.1 million. Borrowings on our senior secured credit facility amounted to $1.3 billion while payments on the facility amounted to $1.2 billion for the nine months ended September 30, 2023. Dividends paid totaled $30.0 million, or $0.825 per common share, and treasury stock purchases totaled $6.1 million. Payments on deferred financing costs related to the amended and restated credit facility totaled $4.9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Unsecured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14, 2020, we completed the offering of our Senior Unsecured Notes of $1.25 billion. No principal payments on the Senior Unsecured Notes are due until their scheduled maturity date of December 15, 2028.</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Senior Unsecured Notes were issued by H&amp;E Equipment Services, Inc. (the parent company) and are guaranteed by GNE Investments, Inc. and its wholly-owned subsidiaries Great Northern Equipment, Inc., H&amp;E Equipment Services (California), LLC, H&amp;E California Holding, Inc., H&amp;E Equipment Services (Midwest), Inc., H&amp;E Equipment Services (Mid-Atlantic), Inc. and H&amp;E Finance Corp (collectively, the guarantor subsidiaries). The guarantees, made on a joint and several basis, are full and unconditional (subject to subordination provisions and subject to a standard limitation which provides that the maximum amount guaranteed by each guarantor will not exceed the maximum amount that can be guaranteed without making the guarantee void under fraudulent conveyance laws). There are no restrictions on H&amp;E Equipment Services, Inc.’s ability to obtain funds from the guarantor subsidiaries by dividend or loan. There are no registration rights associated with the notes or the subsidiary guarantees.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Secured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subsidiaries are parties to a $750.0 million senior secured credit facility (our “Credit Facility”) with Wells Fargo Bank, National Association as administrative agent, and the lenders named therein. At September 30, 2024, we had $276.3 million borrowed under the Credit Facility and we could borrow up to $461.3 million, which with cash on hand amounted to a liquidity position of $472.4 million. We did not have any covenant violations related to the Credit Facility. At October 22, 2024, we had borrowings of $269.0 million outstanding under our Credit Facility leaving us with borrowing availability of $468.7 million, as a result of $12.3 million letters of credit outstanding under the facility. </w:t>
      </w:r>
    </w:p>
    <w:p>
      <w:pPr>
        <w:pStyle w:val="TextBody"/>
        <w:bidi w:val="0"/>
        <w:spacing w:before="240" w:after="283"/>
        <w:jc w:val="left"/>
        <w:rPr>
          <w:rFonts w:ascii="Times New Roman" w:hAnsi="Times New Roman"/>
          <w:sz w:val="20"/>
        </w:rPr>
      </w:pPr>
      <w:r>
        <w:rPr>
          <w:rFonts w:ascii="Times New Roman" w:hAnsi="Times New Roman"/>
          <w:b/>
          <w:i/>
          <w:color w:val="000000"/>
          <w:sz w:val="20"/>
        </w:rPr>
        <w:t>Cash Requirements Related to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sources of liquidity have been from cash provided by operating activities and the revenue from our rental operations and sales of rental fleet and new equipment, proceeds from the issuance of debt, and borrowings available under the Credit Facility. As of September 30, 2024, the Company held balances of cash totaling $11.1 million, while as of December 31, 2023, the Company held balances of cash totaling $8.5 million. Our principal uses of cash historically have been to fund operating activities and working capital, purchases of rental fleet equipment, inventory and property and equipment, opening new branch locations, fund payments due under facility operating leases and manufacturer flooring plans payable, and to meet debt service requirements. In the future, we may pursue additional strategic acquisitions and seek to open new branch locations.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amount of our future capital expenditures will depend on a number of factors including general economic conditions and growth prospects. In response to changing economic conditions, we believe we have the flexibility to modify our capital expenditures by adjusting them (either up or down) to match our actual performance. The condensed consolidated statements of cash flows include the payments for purchases of rental fleet, but does not reflect gross rental fleet capital expenditures which include items such as non-cash components. Our gross rental fleet capital expenditures for the nine months ended September 30, 2024 and 2023 were approximately $327.8 million and $595.2 million, respectively. This decrease in rental fleet capital expenditures reflects the normalization of fleet purchasing in the current year as compared to the prior year. Our gross property and equipment capital expenditures for the nine months ended September 30, 2024 and 2023 were $93.9 million and $55.4 million, respectively. The increase in gross property and equipment capital expenditures in the current year as compared to the prior year is attributable to branch expansion.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service our debt, we will require a significant amount of cash. Our ability to pay interest and principal on our indebtedness (including the Credit Facility, the Senior Unsecured Notes and our other indebtedness), will depend upon our future operating performance and the availability of borrowings under the Credit Facility and/or other debt and equity financing alternatives available to us, which will be affected by prevailing economic conditions and conditions in the global credit and capital markets, as well as financial, business and other factors, some of which are beyond our control. Based on our current level of operations and given the current state of the capital markets, we believe our cash flow from operations, available cash and available borrowings under the Credit Facility will be adequate to meet our future liquidity needs for the foreseeable future, both in the short-term (over the next 12 months) and beyond. As noted earlier, at September 30, 2024, we had cash on hand of $11.1 million. At September 30, 2024, we had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available borrowings of $461.3 million, net of $12.3 million of outstanding letters of credit. At October 22, 2024, we had $468.7 million of available borrowings under the Credit Facility, net of $12.3 million of outstanding letters of credit.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Quarterly Dividend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13, 2024, the Company announced a quarterly dividend of $0.275 per share to stockholders of record, which was paid on September 13, 2024, totaling approximately $10.1 million. The Company intends to continue to pay regular quarterly cash dividends; however, the declaration of any subsequent dividends is discretionary and will be subject to a final determination by the Board of Directors each quarter after its review of, among other things, business and market conditions.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and Commercial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the information included in our Annual Report on Form 10-K for the year ended December 31, 2023.</w:t>
      </w:r>
    </w:p>
    <w:p>
      <w:pPr>
        <w:pStyle w:val="TextBody"/>
        <w:bidi w:val="0"/>
        <w:spacing w:before="240" w:after="283"/>
        <w:jc w:val="left"/>
        <w:rPr>
          <w:rFonts w:ascii="Times New Roman" w:hAnsi="Times New Roman"/>
          <w:b/>
          <w:color w:val="000000"/>
          <w:sz w:val="20"/>
        </w:rPr>
      </w:pPr>
      <w:bookmarkStart w:id="9" w:name="item_3_quantitative_qualitative_disclosu"/>
      <w:bookmarkEnd w:id="9"/>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earnings may be affected by changes in interest rates since interest expense on the Credit Facility is currently calculated based upon (a) the Base Rate plus an applicable margin of 0.25% to 0.75%, depending on the Average Availability (as defined in the Credit Facility), in the case of index rate revolving loans and (b) SOFR plus a credit spread adjustment and an applicable margin of 1.25% to 1.75%, depending on the Average Availability (as defined in the Credit Facility), in the case of SOFR revolving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exception of the above, there have been no significant changes in our exposure to market risk during the three and nine months ended September 30, 2024. For an additional discussion of our exposure to market risk, refer to Item 7A, “Quantitative and Qualitative Disclosures about Market Risk,” contained in our Annual Report on Form 10-K for the fiscal year ended December 31, 2023.</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0" w:name="item_4_controls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Quarterly 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that the Company files or furnishes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financial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Chief Executive Officer and Chief Financial Officer (our principal executive officer and principal financial officer, respectively) have evaluated the effectiveness of our disclosure controls and procedures (as defined in Rule 13a</w:t>
        <w:noBreakHyphen/>
        <w:t>15(e) and 15d-15(e) promulgated under the Exchange Act) as of the end of the period covered by this Quarterly Report on Form 10</w:t>
        <w:noBreakHyphen/>
        <w:t>Q. Based on this evaluation, our principal executive officer and principal financial officer have concluded that, as of September 30, 2024, our current disclosure controls and procedures were effective.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disclosure controls and procedures may not prevent or detect all misstatements. Accordingly, even effective disclosure controls and procedures can only provide reasonable assurance of achieving their control objectives.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the Company’s internal control over financial reporting (as defined in Exchange Act Rule 13a-15(f)) that occurred during the three months ended September 30, 2024 that have materially affected, or are reasonably likely to materially affect, the Company’s internal control over financial reporting.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1" w:name="part_ii_or_information"/>
      <w:bookmarkEnd w:id="11"/>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2" w:name="item_1_legal_proceedings"/>
      <w:bookmarkEnd w:id="12"/>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involved in various claims and legal actions arising in the ordinary course of our business. In the opinion of management, after consultation with legal counsel, the ultimate disposition of these various matters will not have a material adverse effect on the Company’s consolidated financial position, results of operations or liquidity. We are exposed to various claims relating to our business, including those for which we retain portions of the losses through the application of deductibles and self-insured retentions, or self-insurance. Losses that exceed our deductibles and self-insured retentions are insured through various commercial lines of insurance policies.</w:t>
      </w:r>
    </w:p>
    <w:p>
      <w:pPr>
        <w:pStyle w:val="TextBody"/>
        <w:bidi w:val="0"/>
        <w:spacing w:before="240" w:after="283"/>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Quarterly Report on Form 10-Q, you should carefully consider the factors discussed in Part I, Item 1A - “Risk Factors,” in our Annual Report on Form 10-K for the year ended December 31, 2023, which could materially affect our business, financial condition or future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the date of this Quarterly Report on Form 10-Q, there have been no material changes with respect to the Company’s risk factors previously disclosed in our Annual Report on Form 10-K for the year ended December 31, 2023.</w:t>
      </w:r>
    </w:p>
    <w:p>
      <w:pPr>
        <w:pStyle w:val="TextBody"/>
        <w:bidi w:val="0"/>
        <w:spacing w:before="240" w:after="283"/>
        <w:jc w:val="left"/>
        <w:rPr>
          <w:rFonts w:ascii="Times New Roman" w:hAnsi="Times New Roman"/>
          <w:b/>
          <w:color w:val="000000"/>
          <w:sz w:val="20"/>
        </w:rPr>
      </w:pPr>
      <w:bookmarkStart w:id="14" w:name="item_2_unregistered_sales_equity_securit"/>
      <w:bookmarkEnd w:id="14"/>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share purchase activity for the three months ended September 30, 2024:</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1284"/>
        <w:gridCol w:w="146"/>
        <w:gridCol w:w="256"/>
        <w:gridCol w:w="1191"/>
        <w:gridCol w:w="146"/>
        <w:gridCol w:w="275"/>
        <w:gridCol w:w="311"/>
        <w:gridCol w:w="843"/>
        <w:gridCol w:w="146"/>
        <w:gridCol w:w="146"/>
        <w:gridCol w:w="711"/>
        <w:gridCol w:w="1693"/>
        <w:gridCol w:w="146"/>
        <w:gridCol w:w="146"/>
        <w:gridCol w:w="896"/>
        <w:gridCol w:w="1472"/>
        <w:gridCol w:w="397"/>
      </w:tblGrid>
      <w:tr>
        <w:trPr/>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a Publicly Announced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of Shares That May Yet Be Purchased Under the Plan</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1-31, 2024</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1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left"/>
              <w:rPr/>
            </w:pPr>
            <w:r>
              <w:rPr/>
              <w:t> </w:t>
            </w:r>
          </w:p>
        </w:tc>
        <w:tc>
          <w:tcPr>
            <w:tcW w:w="16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8" w:type="dxa"/>
            <w:gridSpan w:val="2"/>
            <w:tcBorders/>
            <w:shd w:fill="CFF0FC" w:val="clear"/>
            <w:vAlign w:val="center"/>
          </w:tcPr>
          <w:p>
            <w:pPr>
              <w:pStyle w:val="TableContents"/>
              <w:bidi w:val="0"/>
              <w:spacing w:before="0" w:after="283"/>
              <w:jc w:val="right"/>
              <w:rPr/>
            </w:pPr>
            <w:r>
              <w:rPr/>
              <w:t> </w:t>
            </w:r>
          </w:p>
        </w:tc>
        <w:tc>
          <w:tcPr>
            <w:tcW w:w="397" w:type="dxa"/>
            <w:tcBorders/>
            <w:shd w:fill="CFF0FC" w:val="clear"/>
            <w:vAlign w:val="center"/>
          </w:tcPr>
          <w:p>
            <w:pPr>
              <w:pStyle w:val="TableContents"/>
              <w:bidi w:val="0"/>
              <w:spacing w:before="0" w:after="283"/>
              <w:jc w:val="right"/>
              <w:rPr/>
            </w:pPr>
            <w:r>
              <w:rPr/>
              <w:t> </w:t>
            </w:r>
          </w:p>
        </w:tc>
      </w:tr>
      <w:tr>
        <w:trPr/>
        <w:tc>
          <w:tcPr>
            <w:tcW w:w="12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1-31, 2024</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49,645</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16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8" w:type="dxa"/>
            <w:gridSpan w:val="2"/>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jc w:val="right"/>
              <w:rPr/>
            </w:pPr>
            <w:r>
              <w:rPr/>
              <w:t> </w:t>
            </w:r>
          </w:p>
        </w:tc>
      </w:tr>
      <w:tr>
        <w:trPr/>
        <w:tc>
          <w:tcPr>
            <w:tcW w:w="1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1-30, 2024</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center"/>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12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 2024, 41,971 shares of non-vested stock that were issued in 2023 vested at $48.78 per share. Certain holders of those vested shares returned an aggregate of 15,255 shares of common stock to the Company during the quarter ended September 30, 2024 as payment for their respective withholding taxes. This resulted in an addition of 15,255 shares to treasury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August 1, 2024, 58,302 shares of non-vested stock that were issued in 2022 vested at $48.78 per share. Certain holders of those vested shares returned an aggregate of 23,213 shares of common stock to the Company during the quarter ended September 30, 2024 as payment for their respective withholding taxes. This resulted in an addition of 23,213 shares to treasury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August 2, 2024, 28,701 shares of non-vested stock that were issued in 2021 vested at $46.00 per share. Certain holders of those vested shares returned an aggregate of 10,959 shares of common stock to the Company during the quarter ended September 30, 2024 as payment for their respective withholding taxes. This resulted in an addition of 10,959 shares to treasury stock.</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On August 1, 2024, 760 shares of non-vested stock that were issued in 2023 vested at $48.78 per share. The holder of those vested shares returned an aggregate of 218 shares of common stock to the Company during the quarter ended September 30, 2024 as payment for withholding taxes. This resulted in an addition of 218 shares to treasury stock.</w:t>
      </w:r>
    </w:p>
    <w:p>
      <w:pPr>
        <w:pStyle w:val="TextBody"/>
        <w:bidi w:val="0"/>
        <w:spacing w:before="480" w:after="283"/>
        <w:jc w:val="left"/>
        <w:rPr>
          <w:rFonts w:ascii="Times New Roman" w:hAnsi="Times New Roman"/>
          <w:sz w:val="20"/>
        </w:rPr>
      </w:pPr>
      <w:bookmarkStart w:id="15" w:name="item_3_defaults_upon_senior_securities"/>
      <w:bookmarkEnd w:id="15"/>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480" w:after="283"/>
        <w:jc w:val="left"/>
        <w:rPr>
          <w:rFonts w:ascii="Times New Roman" w:hAnsi="Times New Roman"/>
          <w:b/>
          <w:color w:val="000000"/>
          <w:sz w:val="20"/>
        </w:rPr>
      </w:pPr>
      <w:bookmarkStart w:id="16" w:name="item_4_mine_safety_disclosures"/>
      <w:bookmarkEnd w:id="16"/>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left"/>
        <w:rPr>
          <w:rFonts w:ascii="Times New Roman" w:hAnsi="Times New Roman"/>
          <w:sz w:val="20"/>
        </w:rPr>
      </w:pPr>
      <w:bookmarkStart w:id="17" w:name="item_5_or_information"/>
      <w:bookmarkEnd w:id="17"/>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480" w:after="283"/>
        <w:jc w:val="left"/>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73"/>
        <w:gridCol w:w="146"/>
        <w:gridCol w:w="9286"/>
      </w:tblGrid>
      <w:tr>
        <w:trPr/>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6" w:type="dxa"/>
            <w:tcBorders/>
            <w:vAlign w:val="center"/>
          </w:tcPr>
          <w:p>
            <w:pPr>
              <w:pStyle w:val="TableContents"/>
              <w:bidi w:val="0"/>
              <w:spacing w:before="0" w:after="283"/>
              <w:jc w:val="left"/>
              <w:rPr>
                <w:sz w:val="4"/>
                <w:szCs w:val="4"/>
              </w:rPr>
            </w:pPr>
            <w:r>
              <w:rPr>
                <w:sz w:val="4"/>
                <w:szCs w:val="4"/>
              </w:rPr>
            </w:r>
          </w:p>
        </w:tc>
      </w:tr>
      <w:tr>
        <w:trPr/>
        <w:tc>
          <w:tcPr>
            <w:tcW w:w="7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pPr>
            <w:hyperlink w:anchor="hees-ex31_1.htm">
              <w:r>
                <w:rPr>
                  <w:rStyle w:val="InternetLink"/>
                  <w:rFonts w:ascii="Times New Roman" w:hAnsi="Times New Roman"/>
                  <w:color w:val="0000FF"/>
                  <w:sz w:val="20"/>
                  <w:u w:val="single"/>
                </w:rPr>
                <w:t>Certification pursuant to Section 302 of the Sarbanes-Oxley Act of 2002 (filed herewith).</w:t>
              </w:r>
            </w:hyperlink>
          </w:p>
        </w:tc>
      </w:tr>
      <w:tr>
        <w:trPr/>
        <w:tc>
          <w:tcPr>
            <w:tcW w:w="7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pPr>
            <w:hyperlink w:anchor="hees-ex31_2.htm">
              <w:r>
                <w:rPr>
                  <w:rStyle w:val="InternetLink"/>
                  <w:rFonts w:ascii="Times New Roman" w:hAnsi="Times New Roman"/>
                  <w:color w:val="0000FF"/>
                  <w:sz w:val="20"/>
                  <w:u w:val="single"/>
                </w:rPr>
                <w:t>Certification pursuant to Section 302 of the Sarbanes-Oxley Act of 2002 (filed herewith).</w:t>
              </w:r>
            </w:hyperlink>
          </w:p>
        </w:tc>
      </w:tr>
      <w:tr>
        <w:trPr/>
        <w:tc>
          <w:tcPr>
            <w:tcW w:w="7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pPr>
            <w:hyperlink w:anchor="hees-ex32_1.htm">
              <w:r>
                <w:rPr>
                  <w:rStyle w:val="InternetLink"/>
                  <w:rFonts w:ascii="Times New Roman" w:hAnsi="Times New Roman"/>
                  <w:color w:val="0000FF"/>
                  <w:sz w:val="20"/>
                  <w:u w:val="single"/>
                </w:rPr>
                <w:t>Certification pursuant to 18 U.S.C. Section 1350, as Adopted Pursuant to Section 906 of the Sarbanes-Oxley Act of 2002 (furnished herewith).</w:t>
              </w:r>
            </w:hyperlink>
          </w:p>
        </w:tc>
      </w:tr>
      <w:tr>
        <w:trPr/>
        <w:tc>
          <w:tcPr>
            <w:tcW w:w="7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(filed herewith).</w:t>
            </w:r>
          </w:p>
        </w:tc>
      </w:tr>
      <w:tr>
        <w:trPr/>
        <w:tc>
          <w:tcPr>
            <w:tcW w:w="7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 (filed herewith).</w:t>
            </w:r>
          </w:p>
        </w:tc>
      </w:tr>
      <w:tr>
        <w:trPr/>
        <w:tc>
          <w:tcPr>
            <w:tcW w:w="7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and Exchange Act of 1934, the registrant has duly caused this report to be signed on its behalf by the undersigned thereunto duly authorized.</w:t>
      </w:r>
    </w:p>
    <w:tbl>
      <w:tblPr>
        <w:tblW w:w="6333" w:type="dxa"/>
        <w:jc w:val="left"/>
        <w:tblInd w:w="0" w:type="dxa"/>
        <w:tblLayout w:type="fixed"/>
        <w:tblCellMar>
          <w:top w:w="28" w:type="dxa"/>
          <w:left w:w="28" w:type="dxa"/>
          <w:bottom w:w="28" w:type="dxa"/>
          <w:right w:w="28" w:type="dxa"/>
        </w:tblCellMar>
      </w:tblPr>
      <w:tblGrid>
        <w:gridCol w:w="2116"/>
        <w:gridCol w:w="451"/>
        <w:gridCol w:w="3766"/>
      </w:tblGrid>
      <w:tr>
        <w:trPr/>
        <w:tc>
          <w:tcPr>
            <w:tcW w:w="21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pPr>
            <w:r>
              <w:rPr/>
              <w:t> </w:t>
            </w:r>
          </w:p>
        </w:tc>
        <w:tc>
          <w:tcPr>
            <w:tcW w:w="421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H&amp;E EQUIPMENT SERVICES, INC.</w:t>
            </w:r>
          </w:p>
        </w:tc>
      </w:tr>
      <w:tr>
        <w:trPr/>
        <w:tc>
          <w:tcPr>
            <w:tcW w:w="2116" w:type="dxa"/>
            <w:tcBorders/>
            <w:vAlign w:val="center"/>
          </w:tcPr>
          <w:p>
            <w:pPr>
              <w:pStyle w:val="TableContents"/>
              <w:bidi w:val="0"/>
              <w:spacing w:before="0" w:after="283"/>
              <w:jc w:val="left"/>
              <w:rPr/>
            </w:pPr>
            <w:r>
              <w:rPr/>
              <w:t> </w:t>
            </w:r>
          </w:p>
        </w:tc>
        <w:tc>
          <w:tcPr>
            <w:tcW w:w="4217" w:type="dxa"/>
            <w:gridSpan w:val="2"/>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29, 2024</w:t>
            </w:r>
          </w:p>
        </w:tc>
        <w:tc>
          <w:tcPr>
            <w:tcW w:w="4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Bradley W. Barber</w:t>
            </w:r>
          </w:p>
        </w:tc>
      </w:tr>
      <w:tr>
        <w:trPr/>
        <w:tc>
          <w:tcPr>
            <w:tcW w:w="211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Bradley W. Barber</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11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29, 2024</w:t>
            </w:r>
          </w:p>
        </w:tc>
        <w:tc>
          <w:tcPr>
            <w:tcW w:w="4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Leslie S. Magee</w:t>
            </w:r>
          </w:p>
        </w:tc>
      </w:tr>
      <w:tr>
        <w:trPr/>
        <w:tc>
          <w:tcPr>
            <w:tcW w:w="211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Leslie S. Magee</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Secretary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hees-ex31_1.htm"/>
      <w:bookmarkStart w:id="21" w:name="ksheesex31_1"/>
      <w:bookmarkEnd w:id="20"/>
      <w:bookmarkEnd w:id="21"/>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Bradley W. Barber,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H&amp;E Equipment Services,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643" w:type="dxa"/>
        <w:jc w:val="left"/>
        <w:tblInd w:w="0" w:type="dxa"/>
        <w:tblLayout w:type="fixed"/>
        <w:tblCellMar>
          <w:top w:w="28" w:type="dxa"/>
          <w:left w:w="28" w:type="dxa"/>
          <w:bottom w:w="28" w:type="dxa"/>
          <w:right w:w="28" w:type="dxa"/>
        </w:tblCellMar>
      </w:tblPr>
      <w:tblGrid>
        <w:gridCol w:w="2116"/>
        <w:gridCol w:w="406"/>
        <w:gridCol w:w="3121"/>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29,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Bradley W. Barber</w:t>
            </w:r>
          </w:p>
        </w:tc>
      </w:tr>
      <w:tr>
        <w:trPr/>
        <w:tc>
          <w:tcPr>
            <w:tcW w:w="211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Bradley W. Barber</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hees-ex31_2.htm"/>
      <w:bookmarkStart w:id="23" w:name="ksheesex31_2"/>
      <w:bookmarkEnd w:id="22"/>
      <w:bookmarkEnd w:id="23"/>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Leslie S. Magee,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H&amp;E Equipment Services,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673" w:type="dxa"/>
        <w:jc w:val="left"/>
        <w:tblInd w:w="0" w:type="dxa"/>
        <w:tblLayout w:type="fixed"/>
        <w:tblCellMar>
          <w:top w:w="28" w:type="dxa"/>
          <w:left w:w="28" w:type="dxa"/>
          <w:bottom w:w="28" w:type="dxa"/>
          <w:right w:w="28" w:type="dxa"/>
        </w:tblCellMar>
      </w:tblPr>
      <w:tblGrid>
        <w:gridCol w:w="2116"/>
        <w:gridCol w:w="406"/>
        <w:gridCol w:w="3151"/>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29,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Leslie S. Magee </w:t>
            </w:r>
          </w:p>
        </w:tc>
      </w:tr>
      <w:tr>
        <w:trPr/>
        <w:tc>
          <w:tcPr>
            <w:tcW w:w="211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Leslie S. Magee</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Secretary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hees-ex32_1.htm"/>
      <w:bookmarkStart w:id="25" w:name="ksheesex32_1"/>
      <w:bookmarkEnd w:id="24"/>
      <w:bookmarkEnd w:id="2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H&amp;E Equipment Services, Inc. (the “Company”) on Form 10-Q for the period ended September 30, 2024 as filed with the Securities and Exchange Commission on the date hereof (the “Report”), I, Bradley W. Barber, Chief Executive Officer and Director of the Company, and Leslie S. Magee, Chief Financial Officer and Secretary of the Company, each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my knowledge,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673" w:type="dxa"/>
        <w:jc w:val="left"/>
        <w:tblInd w:w="0" w:type="dxa"/>
        <w:tblLayout w:type="fixed"/>
        <w:tblCellMar>
          <w:top w:w="28" w:type="dxa"/>
          <w:left w:w="28" w:type="dxa"/>
          <w:bottom w:w="28" w:type="dxa"/>
          <w:right w:w="28" w:type="dxa"/>
        </w:tblCellMar>
      </w:tblPr>
      <w:tblGrid>
        <w:gridCol w:w="2116"/>
        <w:gridCol w:w="406"/>
        <w:gridCol w:w="3151"/>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29,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Bradley W. Barber</w:t>
            </w:r>
          </w:p>
        </w:tc>
      </w:tr>
      <w:tr>
        <w:trPr/>
        <w:tc>
          <w:tcPr>
            <w:tcW w:w="211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Bradley W. Barber</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11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29,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Leslie S. Magee</w:t>
            </w:r>
          </w:p>
        </w:tc>
      </w:tr>
      <w:tr>
        <w:trPr/>
        <w:tc>
          <w:tcPr>
            <w:tcW w:w="211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Leslie S. Magee</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Secretary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20216</Words>
  <Characters>112468</Characters>
  <CharactersWithSpaces>134288</CharactersWithSpaces>
  <Paragraphs>6041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