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379730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396875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126365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6" w:lineRule="exact"/>
        <w:rPr>
          <w:sz w:val="24"/>
          <w:szCs w:val="24"/>
          <w:color w:val="auto"/>
        </w:rPr>
      </w:pPr>
    </w:p>
    <w:p>
      <w:pPr>
        <w:ind w:left="3820" w:right="1540" w:hanging="3715"/>
        <w:spacing w:after="0" w:line="375" w:lineRule="auto"/>
        <w:tabs>
          <w:tab w:leader="none" w:pos="56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27" w:lineRule="exact"/>
        <w:rPr>
          <w:sz w:val="24"/>
          <w:szCs w:val="24"/>
          <w:color w:val="auto"/>
        </w:rPr>
      </w:pPr>
    </w:p>
    <w:p>
      <w:pPr>
        <w:ind w:left="560" w:hanging="455"/>
        <w:spacing w:after="0"/>
        <w:tabs>
          <w:tab w:leader="none" w:pos="560" w:val="left"/>
        </w:tabs>
        <w:numPr>
          <w:ilvl w:val="0"/>
          <w:numId w:val="2"/>
        </w:numPr>
        <w:rPr>
          <w:rFonts w:ascii="MS PGothic" w:cs="MS PGothic" w:eastAsia="MS PGothic" w:hAnsi="MS PGothic"/>
          <w:sz w:val="19"/>
          <w:szCs w:val="19"/>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000-51759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111125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H&amp;E Equipment Services,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107315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2"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500" w:type="dxa"/>
            <w:vAlign w:val="bottom"/>
            <w:gridSpan w:val="2"/>
          </w:tcPr>
          <w:p>
            <w:pPr>
              <w:jc w:val="center"/>
              <w:ind w:left="937"/>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4500" w:type="dxa"/>
            <w:vAlign w:val="bottom"/>
            <w:gridSpan w:val="2"/>
          </w:tcPr>
          <w:p>
            <w:pPr>
              <w:jc w:val="right"/>
              <w:ind w:right="2237"/>
              <w:spacing w:after="0"/>
              <w:rPr>
                <w:sz w:val="20"/>
                <w:szCs w:val="20"/>
                <w:color w:val="auto"/>
              </w:rPr>
            </w:pPr>
            <w:r>
              <w:rPr>
                <w:rFonts w:ascii="Arial" w:cs="Arial" w:eastAsia="Arial" w:hAnsi="Arial"/>
                <w:sz w:val="18"/>
                <w:szCs w:val="18"/>
                <w:b w:val="1"/>
                <w:bCs w:val="1"/>
                <w:color w:val="auto"/>
              </w:rPr>
              <w:t>81-0553291</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91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jc w:val="center"/>
              <w:ind w:right="1257"/>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957"/>
              <w:spacing w:after="0"/>
              <w:rPr>
                <w:sz w:val="20"/>
                <w:szCs w:val="20"/>
                <w:color w:val="auto"/>
              </w:rPr>
            </w:pPr>
            <w:r>
              <w:rPr>
                <w:rFonts w:ascii="Arial" w:cs="Arial" w:eastAsia="Arial" w:hAnsi="Arial"/>
                <w:sz w:val="14"/>
                <w:szCs w:val="14"/>
                <w:b w:val="1"/>
                <w:bCs w:val="1"/>
                <w:color w:val="auto"/>
                <w:w w:val="95"/>
              </w:rPr>
              <w:t>Incorporation or Organization)</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jc w:val="center"/>
              <w:ind w:right="123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1"/>
        </w:trPr>
        <w:tc>
          <w:tcPr>
            <w:tcW w:w="4500" w:type="dxa"/>
            <w:vAlign w:val="bottom"/>
            <w:gridSpan w:val="2"/>
          </w:tcPr>
          <w:p>
            <w:pPr>
              <w:jc w:val="center"/>
              <w:ind w:left="957"/>
              <w:spacing w:after="0"/>
              <w:rPr>
                <w:sz w:val="20"/>
                <w:szCs w:val="20"/>
                <w:color w:val="auto"/>
              </w:rPr>
            </w:pPr>
            <w:r>
              <w:rPr>
                <w:rFonts w:ascii="Arial" w:cs="Arial" w:eastAsia="Arial" w:hAnsi="Arial"/>
                <w:sz w:val="18"/>
                <w:szCs w:val="18"/>
                <w:b w:val="1"/>
                <w:bCs w:val="1"/>
                <w:color w:val="auto"/>
                <w:w w:val="89"/>
              </w:rPr>
              <w:t>7500 Pecue Lane,</w:t>
            </w:r>
          </w:p>
        </w:tc>
        <w:tc>
          <w:tcPr>
            <w:tcW w:w="2240" w:type="dxa"/>
            <w:vAlign w:val="bottom"/>
          </w:tcPr>
          <w:p>
            <w:pPr>
              <w:spacing w:after="0"/>
              <w:rPr>
                <w:sz w:val="24"/>
                <w:szCs w:val="24"/>
                <w:color w:val="auto"/>
              </w:rPr>
            </w:pPr>
          </w:p>
        </w:tc>
        <w:tc>
          <w:tcPr>
            <w:tcW w:w="4500" w:type="dxa"/>
            <w:vAlign w:val="bottom"/>
            <w:gridSpan w:val="2"/>
          </w:tcPr>
          <w:p>
            <w:pPr>
              <w:jc w:val="right"/>
              <w:ind w:right="2437"/>
              <w:spacing w:after="0"/>
              <w:rPr>
                <w:sz w:val="20"/>
                <w:szCs w:val="20"/>
                <w:color w:val="auto"/>
              </w:rPr>
            </w:pPr>
            <w:r>
              <w:rPr>
                <w:rFonts w:ascii="Arial" w:cs="Arial" w:eastAsia="Arial" w:hAnsi="Arial"/>
                <w:sz w:val="18"/>
                <w:szCs w:val="18"/>
                <w:b w:val="1"/>
                <w:bCs w:val="1"/>
                <w:color w:val="auto"/>
              </w:rPr>
              <w:t>70809</w:t>
            </w: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937"/>
              <w:spacing w:after="0"/>
              <w:rPr>
                <w:sz w:val="20"/>
                <w:szCs w:val="20"/>
                <w:color w:val="auto"/>
              </w:rPr>
            </w:pPr>
            <w:r>
              <w:rPr>
                <w:rFonts w:ascii="Arial" w:cs="Arial" w:eastAsia="Arial" w:hAnsi="Arial"/>
                <w:sz w:val="18"/>
                <w:szCs w:val="18"/>
                <w:b w:val="1"/>
                <w:bCs w:val="1"/>
                <w:color w:val="auto"/>
                <w:w w:val="89"/>
              </w:rPr>
              <w:t>Baton Rouge, Louisiana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jc w:val="center"/>
              <w:ind w:right="1237"/>
              <w:spacing w:after="0"/>
              <w:rPr>
                <w:sz w:val="20"/>
                <w:szCs w:val="20"/>
                <w:color w:val="auto"/>
              </w:rPr>
            </w:pPr>
            <w:r>
              <w:rPr>
                <w:rFonts w:ascii="Arial" w:cs="Arial" w:eastAsia="Arial" w:hAnsi="Arial"/>
                <w:sz w:val="18"/>
                <w:szCs w:val="18"/>
                <w:b w:val="1"/>
                <w:bCs w:val="1"/>
                <w:color w:val="auto"/>
                <w:w w:val="95"/>
              </w:rPr>
              <w:t>(ZIP Code)</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95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1240" w:type="dxa"/>
            <w:vAlign w:val="bottom"/>
            <w:gridSpan w:val="5"/>
          </w:tcPr>
          <w:p>
            <w:pPr>
              <w:ind w:left="3480"/>
              <w:spacing w:after="0"/>
              <w:rPr>
                <w:sz w:val="20"/>
                <w:szCs w:val="20"/>
                <w:color w:val="auto"/>
              </w:rPr>
            </w:pPr>
            <w:r>
              <w:rPr>
                <w:rFonts w:ascii="Arial" w:cs="Arial" w:eastAsia="Arial" w:hAnsi="Arial"/>
                <w:sz w:val="14"/>
                <w:szCs w:val="14"/>
                <w:b w:val="1"/>
                <w:bCs w:val="1"/>
                <w:color w:val="auto"/>
              </w:rPr>
              <w:t>Registrant’s Telephone Number, Including Area Code: (225) 298-5200</w:t>
            </w:r>
          </w:p>
        </w:tc>
        <w:tc>
          <w:tcPr>
            <w:tcW w:w="0" w:type="dxa"/>
            <w:vAlign w:val="bottom"/>
          </w:tcPr>
          <w:p>
            <w:pPr>
              <w:spacing w:after="0"/>
              <w:rPr>
                <w:sz w:val="1"/>
                <w:szCs w:val="1"/>
                <w:color w:val="auto"/>
              </w:rPr>
            </w:pPr>
          </w:p>
        </w:tc>
      </w:tr>
      <w:tr>
        <w:trPr>
          <w:trHeight w:val="160"/>
        </w:trPr>
        <w:tc>
          <w:tcPr>
            <w:tcW w:w="4500" w:type="dxa"/>
            <w:vAlign w:val="bottom"/>
            <w:gridSpan w:val="2"/>
            <w:vMerge w:val="restart"/>
          </w:tcPr>
          <w:p>
            <w:pPr>
              <w:ind w:left="2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4500" w:type="dxa"/>
            <w:vAlign w:val="bottom"/>
            <w:tcBorders>
              <w:bottom w:val="single" w:sz="8" w:color="auto"/>
            </w:tcBorders>
            <w:gridSpan w:val="2"/>
            <w:vMerge w:val="continue"/>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right w:val="single" w:sz="8" w:color="auto"/>
            </w:tcBorders>
          </w:tcPr>
          <w:p>
            <w:pPr>
              <w:jc w:val="center"/>
              <w:ind w:right="17"/>
              <w:spacing w:after="0"/>
              <w:rPr>
                <w:sz w:val="20"/>
                <w:szCs w:val="20"/>
                <w:color w:val="auto"/>
              </w:rPr>
            </w:pPr>
            <w:r>
              <w:rPr>
                <w:rFonts w:ascii="Arial" w:cs="Arial" w:eastAsia="Arial" w:hAnsi="Arial"/>
                <w:sz w:val="18"/>
                <w:szCs w:val="18"/>
                <w:color w:val="auto"/>
                <w:w w:val="90"/>
              </w:rPr>
              <w:t>Title of Each Class</w:t>
            </w:r>
          </w:p>
        </w:tc>
        <w:tc>
          <w:tcPr>
            <w:tcW w:w="28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92"/>
              </w:rPr>
              <w:t>Trading Symbol(s)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37"/>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66"/>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right w:val="single" w:sz="8" w:color="auto"/>
            </w:tcBorders>
          </w:tcPr>
          <w:p>
            <w:pPr>
              <w:jc w:val="center"/>
              <w:ind w:right="37"/>
              <w:spacing w:after="0"/>
              <w:rPr>
                <w:sz w:val="20"/>
                <w:szCs w:val="20"/>
                <w:color w:val="auto"/>
              </w:rPr>
            </w:pPr>
            <w:r>
              <w:rPr>
                <w:rFonts w:ascii="Arial" w:cs="Arial" w:eastAsia="Arial" w:hAnsi="Arial"/>
                <w:sz w:val="18"/>
                <w:szCs w:val="18"/>
                <w:color w:val="auto"/>
                <w:w w:val="89"/>
              </w:rPr>
              <w:t>Common Stock, par value $0.01 per share</w:t>
            </w:r>
          </w:p>
        </w:tc>
        <w:tc>
          <w:tcPr>
            <w:tcW w:w="28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Arial" w:cs="Arial" w:eastAsia="Arial" w:hAnsi="Arial"/>
                <w:sz w:val="18"/>
                <w:szCs w:val="18"/>
                <w:color w:val="auto"/>
                <w:w w:val="93"/>
              </w:rPr>
              <w:t>HEES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57"/>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r>
        <w:trPr>
          <w:trHeight w:val="50"/>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Sections 13 or 15(d) of the Securities Exchange Act of</w:t>
      </w:r>
    </w:p>
    <w:p>
      <w:pPr>
        <w:spacing w:after="0" w:line="35" w:lineRule="exact"/>
        <w:rPr>
          <w:sz w:val="24"/>
          <w:szCs w:val="24"/>
          <w:color w:val="auto"/>
        </w:rPr>
      </w:pPr>
    </w:p>
    <w:p>
      <w:pPr>
        <w:jc w:val="both"/>
        <w:ind w:right="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jc w:val="both"/>
        <w:ind w:right="80" w:firstLine="25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100" w:firstLine="255"/>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8" w:right="339" w:bottom="1440" w:gutter="0" w:footer="0" w:header="0"/>
        </w:sectPr>
      </w:pPr>
    </w:p>
    <w:p>
      <w:pPr>
        <w:spacing w:after="0" w:line="136"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6">
            <w:col w:w="1900" w:space="720"/>
            <w:col w:w="840" w:space="720"/>
            <w:col w:w="2220" w:space="720"/>
            <w:col w:w="160" w:space="300"/>
            <w:col w:w="2580" w:space="720"/>
            <w:col w:w="360"/>
          </w:cols>
          <w:pgMar w:left="320" w:top="678" w:right="339" w:bottom="1440" w:gutter="0" w:footer="0" w:header="0"/>
          <w:type w:val="continuous"/>
        </w:sectPr>
      </w:pPr>
    </w:p>
    <w:p>
      <w:pPr>
        <w:spacing w:after="0" w:line="43" w:lineRule="exact"/>
        <w:rPr>
          <w:sz w:val="24"/>
          <w:szCs w:val="24"/>
          <w:color w:val="auto"/>
        </w:rPr>
      </w:pPr>
    </w:p>
    <w:p>
      <w:pPr>
        <w:ind w:left="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7" w:lineRule="exact"/>
        <w:rPr>
          <w:sz w:val="24"/>
          <w:szCs w:val="24"/>
          <w:color w:val="auto"/>
        </w:rPr>
      </w:pPr>
    </w:p>
    <w:p>
      <w:pPr>
        <w:sectPr>
          <w:pgSz w:w="11900" w:h="16838" w:orient="portrait"/>
          <w:cols w:equalWidth="0" w:num="4">
            <w:col w:w="2080" w:space="540"/>
            <w:col w:w="860" w:space="720"/>
            <w:col w:w="2200" w:space="720"/>
            <w:col w:w="4120"/>
          </w:cols>
          <w:pgMar w:left="320" w:top="678" w:right="339" w:bottom="1440" w:gutter="0" w:footer="0" w:header="0"/>
          <w:type w:val="continuous"/>
        </w:sectPr>
      </w:pPr>
    </w:p>
    <w:p>
      <w:pPr>
        <w:ind w:right="260" w:firstLine="255"/>
        <w:spacing w:after="0" w:line="24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1" w:lineRule="exact"/>
        <w:rPr>
          <w:sz w:val="24"/>
          <w:szCs w:val="24"/>
          <w:color w:val="auto"/>
        </w:rPr>
      </w:pPr>
    </w:p>
    <w:p>
      <w:pPr>
        <w:ind w:left="260"/>
        <w:spacing w:after="0" w:line="207" w:lineRule="exact"/>
        <w:tabs>
          <w:tab w:leader="none" w:pos="9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April 20, 2023, there were 36,381,756 shares of H&amp;E Equipment Services, Inc.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660" w:type="dxa"/>
            <w:vAlign w:val="bottom"/>
            <w:gridSpan w:val="19"/>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19"/>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1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Item 1. Financial Statements:</w:t>
            </w:r>
          </w:p>
        </w:tc>
        <w:tc>
          <w:tcPr>
            <w:tcW w:w="75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as of March 31, 2023 (Unaudited) and December 31, 2022</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Income (Unaudited) for the Three Months Ended March 31,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(Unaudited) for the Three Months Ended March 31,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36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4. 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66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Legal Proceedings</w:t>
            </w:r>
          </w:p>
        </w:tc>
        <w:tc>
          <w:tcPr>
            <w:tcW w:w="78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1A. Risk Factors</w:t>
            </w:r>
          </w:p>
        </w:tc>
        <w:tc>
          <w:tcPr>
            <w:tcW w:w="878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576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78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4. 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5. Other Information</w:t>
            </w:r>
          </w:p>
        </w:tc>
        <w:tc>
          <w:tcPr>
            <w:tcW w:w="83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Item 6. Exhibits</w:t>
            </w:r>
          </w:p>
        </w:tc>
        <w:tc>
          <w:tcPr>
            <w:tcW w:w="700" w:type="dxa"/>
            <w:vAlign w:val="bottom"/>
            <w:tcBorders>
              <w:top w:val="single" w:sz="8" w:color="0000FF"/>
            </w:tcBorders>
            <w:gridSpan w:val="2"/>
          </w:tcPr>
          <w:p>
            <w:pPr>
              <w:spacing w:after="0"/>
              <w:rPr>
                <w:sz w:val="18"/>
                <w:szCs w:val="18"/>
                <w:color w:val="auto"/>
              </w:rPr>
            </w:pPr>
          </w:p>
        </w:tc>
        <w:tc>
          <w:tcPr>
            <w:tcW w:w="88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9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68"/>
        </w:trPr>
        <w:tc>
          <w:tcPr>
            <w:tcW w:w="7020" w:type="dxa"/>
            <w:vAlign w:val="bottom"/>
            <w:gridSpan w:val="16"/>
          </w:tcPr>
          <w:p>
            <w:pPr>
              <w:jc w:val="right"/>
              <w:ind w:right="13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374"/>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spacing w:after="0" w:line="156"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spacing w:after="0" w:line="48" w:lineRule="exact"/>
        <w:rPr>
          <w:sz w:val="20"/>
          <w:szCs w:val="20"/>
          <w:color w:val="auto"/>
        </w:rPr>
      </w:pPr>
    </w:p>
    <w:p>
      <w:pPr>
        <w:ind w:left="1020" w:right="200" w:hanging="383"/>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a global pandemic, including COVID-19,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spacing w:after="0" w:line="15" w:lineRule="exact"/>
        <w:rPr>
          <w:rFonts w:ascii="Arial" w:cs="Arial" w:eastAsia="Arial" w:hAnsi="Arial"/>
          <w:sz w:val="17"/>
          <w:szCs w:val="17"/>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construction and industrial activity in the markets where we operate in North America;</w:t>
      </w:r>
    </w:p>
    <w:p>
      <w:pPr>
        <w:spacing w:after="0" w:line="76" w:lineRule="exact"/>
        <w:rPr>
          <w:rFonts w:ascii="Arial" w:cs="Arial" w:eastAsia="Arial" w:hAnsi="Arial"/>
          <w:sz w:val="18"/>
          <w:szCs w:val="18"/>
          <w:color w:val="auto"/>
        </w:rPr>
      </w:pPr>
    </w:p>
    <w:p>
      <w:pPr>
        <w:ind w:left="1020" w:right="16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trends in our business accurately, and the impact of economic downturns and economic uncertainty on the markets we serve (including as a result of current uncertainty due to COVID-19 and inflation);</w:t>
      </w:r>
    </w:p>
    <w:p>
      <w:pPr>
        <w:spacing w:after="0" w:line="34" w:lineRule="exact"/>
        <w:rPr>
          <w:rFonts w:ascii="Arial" w:cs="Arial" w:eastAsia="Arial" w:hAnsi="Arial"/>
          <w:sz w:val="18"/>
          <w:szCs w:val="18"/>
          <w:color w:val="auto"/>
        </w:rPr>
      </w:pPr>
    </w:p>
    <w:p>
      <w:pPr>
        <w:ind w:left="1020" w:right="220" w:hanging="383"/>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conditions in the global credit and commodity markets (including as a result of current volatility and uncertainty in credit and commodity markets due to COVID-19 and increased interest rates) and their effect on construction spending and the economy in general;</w:t>
      </w: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oil and natural gas which could adversely affect the demand for our services and products;</w:t>
      </w:r>
    </w:p>
    <w:p>
      <w:pPr>
        <w:spacing w:after="0" w:line="76" w:lineRule="exact"/>
        <w:rPr>
          <w:rFonts w:ascii="Arial" w:cs="Arial" w:eastAsia="Arial" w:hAnsi="Arial"/>
          <w:sz w:val="18"/>
          <w:szCs w:val="18"/>
          <w:color w:val="auto"/>
        </w:rPr>
      </w:pPr>
    </w:p>
    <w:p>
      <w:pPr>
        <w:ind w:left="1020" w:right="4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equipment and other supplies for our business from our key suppliers on acceptable terms or at all, as a result of supply chain disruptions, insolvency, financial difficulties, supplier relationships or other factors;</w:t>
      </w:r>
    </w:p>
    <w:p>
      <w:pPr>
        <w:spacing w:after="0" w:line="34"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maintenance and repair costs as we age our fleet and decreases in our equipment’s residual value;</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w:t>
      </w:r>
    </w:p>
    <w:p>
      <w:pPr>
        <w:spacing w:after="0" w:line="76" w:lineRule="exact"/>
        <w:rPr>
          <w:rFonts w:ascii="Arial" w:cs="Arial" w:eastAsia="Arial" w:hAnsi="Arial"/>
          <w:sz w:val="18"/>
          <w:szCs w:val="18"/>
          <w:color w:val="auto"/>
        </w:rPr>
      </w:pPr>
    </w:p>
    <w:p>
      <w:pPr>
        <w:ind w:left="102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and any potential acquisitions we may make, including any related capital expenditures, or our ability to consummate such acquisitions;</w:t>
      </w:r>
    </w:p>
    <w:p>
      <w:pPr>
        <w:spacing w:after="0" w:line="34"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possible inability to integrate any businesses we acquire;</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w:t>
      </w:r>
    </w:p>
    <w:p>
      <w:pPr>
        <w:spacing w:after="0" w:line="76" w:lineRule="exact"/>
        <w:rPr>
          <w:rFonts w:ascii="Arial" w:cs="Arial" w:eastAsia="Arial" w:hAnsi="Arial"/>
          <w:sz w:val="18"/>
          <w:szCs w:val="18"/>
          <w:color w:val="auto"/>
        </w:rPr>
      </w:pPr>
    </w:p>
    <w:p>
      <w:pPr>
        <w:ind w:left="1020" w:right="2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cybersecurity attacks, failure to protect personal information, compliance with data protection laws and other disruptions in our information technology systems;</w:t>
      </w:r>
    </w:p>
    <w:p>
      <w:pPr>
        <w:spacing w:after="0" w:line="34"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events or natural disasters;</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climate change and climate change regulation;</w:t>
      </w:r>
    </w:p>
    <w:p>
      <w:pPr>
        <w:spacing w:after="0" w:line="76" w:lineRule="exact"/>
        <w:rPr>
          <w:rFonts w:ascii="Arial" w:cs="Arial" w:eastAsia="Arial" w:hAnsi="Arial"/>
          <w:sz w:val="18"/>
          <w:szCs w:val="18"/>
          <w:color w:val="auto"/>
        </w:rPr>
      </w:pPr>
    </w:p>
    <w:p>
      <w:pPr>
        <w:ind w:left="1020" w:right="28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laws and regulations, including those relating to environmental matters, corporate governance matters and tax matters, as well as any future changes to such laws and regulations; and</w:t>
      </w:r>
    </w:p>
    <w:p>
      <w:pPr>
        <w:spacing w:after="0" w:line="34" w:lineRule="exact"/>
        <w:rPr>
          <w:rFonts w:ascii="Arial" w:cs="Arial" w:eastAsia="Arial" w:hAnsi="Arial"/>
          <w:sz w:val="18"/>
          <w:szCs w:val="18"/>
          <w:color w:val="auto"/>
        </w:rPr>
      </w:pPr>
    </w:p>
    <w:p>
      <w:pPr>
        <w:ind w:left="1020" w:right="22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“Risk Factors” in our Annual Report on Form 10-K for the year ended December 31, 2022 and in Item 1A — “Risk Factors” in this Quarterly Report on Form 10-Q for the quarterly period ended March 31, 2023.</w:t>
      </w:r>
    </w:p>
    <w:p>
      <w:pPr>
        <w:spacing w:after="0" w:line="129"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right="80"/>
        <w:spacing w:after="0" w:line="223" w:lineRule="exact"/>
        <w:rPr>
          <w:sz w:val="20"/>
          <w:szCs w:val="20"/>
          <w:color w:val="auto"/>
        </w:rPr>
      </w:pPr>
      <w:r>
        <w:rPr>
          <w:rFonts w:ascii="Arial" w:cs="Arial" w:eastAsia="Arial" w:hAnsi="Arial"/>
          <w:sz w:val="18"/>
          <w:szCs w:val="18"/>
          <w:color w:val="auto"/>
        </w:rPr>
        <w:t>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are cautioned not to place undue reliance on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we believe that the expectations reflected in the forward-looking statements are reasonable, we cannot guarantee future results or performance.</w:t>
      </w:r>
    </w:p>
    <w:p>
      <w:pPr>
        <w:spacing w:after="0" w:line="175"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 xml:space="preserve">For a more detailed discussion of some of the foregoing risks and uncertainties, see Item 1A — “Risk Factors” in our Annual Report on Form 10-K for the year ended December 31, 2022 and in Item 1A — “Risk Factors” in this Quarterly Report on Form 10-Q for the quarterly period ended March 31,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Arial" w:cs="Arial" w:eastAsia="Arial" w:hAnsi="Arial"/>
          <w:sz w:val="16"/>
          <w:szCs w:val="16"/>
          <w:i w:val="1"/>
          <w:iCs w:val="1"/>
          <w:color w:val="auto"/>
        </w:rPr>
        <w:t>www.he-equipment.com</w:t>
      </w:r>
      <w:r>
        <w:rPr>
          <w:rFonts w:ascii="Arial" w:cs="Arial" w:eastAsia="Arial" w:hAnsi="Arial"/>
          <w:sz w:val="16"/>
          <w:szCs w:val="16"/>
          <w:color w:val="auto"/>
        </w:rPr>
        <w:t>.</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6"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Balances at</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4"/>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2022</w:t>
            </w:r>
          </w:p>
        </w:tc>
      </w:tr>
      <w:tr>
        <w:trPr>
          <w:trHeight w:val="169"/>
        </w:trPr>
        <w:tc>
          <w:tcPr>
            <w:tcW w:w="7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80" w:type="dxa"/>
            <w:vAlign w:val="bottom"/>
            <w:shd w:val="clear" w:color="auto" w:fill="CFF0FC"/>
          </w:tcPr>
          <w:p>
            <w:pPr>
              <w:ind w:left="33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89,945</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81,330</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Receivables, net of allowance for doubtful accounts of $6,548 and $6,637, 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216,683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225,294</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Inventories, net of reserves for obsolescence of $50 and $54,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194,879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107,842</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Rental equipment, net of accumulated depreciation of $929,486 and $884,740,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1,451,795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1,418,951</w:t>
            </w:r>
          </w:p>
        </w:tc>
        <w:tc>
          <w:tcPr>
            <w:tcW w:w="100" w:type="dxa"/>
            <w:vAlign w:val="bottom"/>
          </w:tcPr>
          <w:p>
            <w:pPr>
              <w:spacing w:after="0"/>
              <w:rPr>
                <w:sz w:val="20"/>
                <w:szCs w:val="20"/>
                <w:color w:val="auto"/>
              </w:rPr>
            </w:pP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 of $179,679 and</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$177,017, 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138,771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100" w:type="dxa"/>
            <w:vAlign w:val="bottom"/>
            <w:shd w:val="clear" w:color="auto" w:fill="CFF0FC"/>
          </w:tcPr>
          <w:p>
            <w:pPr>
              <w:spacing w:after="0"/>
              <w:rPr>
                <w:sz w:val="21"/>
                <w:szCs w:val="21"/>
                <w:color w:val="auto"/>
              </w:rPr>
            </w:pPr>
          </w:p>
        </w:tc>
      </w:tr>
      <w:tr>
        <w:trPr>
          <w:trHeight w:val="215"/>
        </w:trPr>
        <w:tc>
          <w:tcPr>
            <w:tcW w:w="7580" w:type="dxa"/>
            <w:vAlign w:val="bottom"/>
          </w:tcPr>
          <w:p>
            <w:pPr>
              <w:ind w:left="200"/>
              <w:spacing w:after="0"/>
              <w:rPr>
                <w:sz w:val="20"/>
                <w:szCs w:val="20"/>
                <w:color w:val="auto"/>
              </w:rPr>
            </w:pPr>
            <w:r>
              <w:rPr>
                <w:rFonts w:ascii="Arial" w:cs="Arial" w:eastAsia="Arial" w:hAnsi="Arial"/>
                <w:sz w:val="18"/>
                <w:szCs w:val="18"/>
                <w:color w:val="auto"/>
                <w:w w:val="98"/>
              </w:rPr>
              <w:t>Operating lease right-of-use assets, net of accumulated amortization of $55,978 and $51,419,</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162,789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164,566</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Finance lease right-of-use assets, net of accumulated amortization of $145 and $105, 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w w:val="96"/>
              </w:rPr>
              <w:t>Deferred financing costs, net of accumulated amortization of $16,759 and $16,518,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Intangible assets, net of accumulated depreciation and amortization of $21,052 and $19,369,</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32,631</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102,719</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tcPr>
          <w:p>
            <w:pPr>
              <w:spacing w:after="0"/>
              <w:rPr>
                <w:sz w:val="21"/>
                <w:szCs w:val="21"/>
                <w:color w:val="auto"/>
              </w:rPr>
            </w:pPr>
          </w:p>
        </w:tc>
      </w:tr>
      <w:tr>
        <w:trPr>
          <w:trHeight w:val="276"/>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2,422,964</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580" w:type="dxa"/>
            <w:vAlign w:val="bottom"/>
          </w:tcPr>
          <w:p>
            <w:pPr>
              <w:ind w:left="17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Senior secured credit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195,319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129,482</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Manufacturer flooring plans payable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payable and other liabilities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81,297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77,142</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Senior unsecured notes, net of unaccreted discount of $6,686 and $6,979 and deferred financing</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costs of $1,544 and $1,612, 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1,241,770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1,241,409</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167,667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169,069</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liabilities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277,777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271,162</w:t>
            </w:r>
          </w:p>
        </w:tc>
        <w:tc>
          <w:tcPr>
            <w:tcW w:w="100" w:type="dxa"/>
            <w:vAlign w:val="bottom"/>
          </w:tcPr>
          <w:p>
            <w:pPr>
              <w:spacing w:after="0"/>
              <w:rPr>
                <w:sz w:val="21"/>
                <w:szCs w:val="21"/>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2,006,277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1,890,657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Preferred stock, $0.01 par value, 25,000,000 shares authorized; no shares issued</w:t>
            </w:r>
          </w:p>
        </w:tc>
        <w:tc>
          <w:tcPr>
            <w:tcW w:w="22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Common stock, $0.01 par value, 175,000,000 shares authorized; 40,700,377 and 40,567,876 shares</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issued at March 31, 2023 and December 31, 2022, respectively, and 36,383,611 and</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36,309,321 shares outstanding at March 31, 2023 and December 31, 2022, respectively</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254,891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251,901</w:t>
            </w:r>
          </w:p>
        </w:tc>
        <w:tc>
          <w:tcPr>
            <w:tcW w:w="100" w:type="dxa"/>
            <w:vAlign w:val="bottom"/>
          </w:tcPr>
          <w:p>
            <w:pPr>
              <w:spacing w:after="0"/>
              <w:rPr>
                <w:sz w:val="20"/>
                <w:szCs w:val="20"/>
                <w:color w:val="auto"/>
              </w:rPr>
            </w:pP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Treasury stock at cost, 4,316,766 and 4,258,555 shares of common stock held at March 31, 2023</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December 31, 2022, respectively</w:t>
            </w: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(73,190 )</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(69,964 )</w:t>
            </w: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234,580</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218,700</w:t>
            </w:r>
          </w:p>
        </w:tc>
        <w:tc>
          <w:tcPr>
            <w:tcW w:w="100" w:type="dxa"/>
            <w:vAlign w:val="bottom"/>
          </w:tcPr>
          <w:p>
            <w:pPr>
              <w:spacing w:after="0"/>
              <w:rPr>
                <w:sz w:val="21"/>
                <w:szCs w:val="21"/>
                <w:color w:val="auto"/>
              </w:rPr>
            </w:pPr>
          </w:p>
        </w:tc>
      </w:tr>
      <w:tr>
        <w:trPr>
          <w:trHeight w:val="236"/>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416,687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2,422,964</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-3869690</wp:posOffset>
            </wp:positionV>
            <wp:extent cx="128460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4605" cy="17970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-1849120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262,008</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199,225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equipment sales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32,115</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7,818</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26,036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Parts sales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322,482</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272,450</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Rental 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81,872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Rental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37,867</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28,759</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Rental other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27,975</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147,714</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109,693</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13,288</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New equipment sales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Services revenues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181,104</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141,378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111,580</w:t>
            </w: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95,335</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Gain on sales of property and equipment, net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46,710</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(13,697 )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(13,447 )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34,729</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19"/>
                <w:szCs w:val="19"/>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25,674</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36,363</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36,352</w:t>
            </w:r>
          </w:p>
        </w:tc>
        <w:tc>
          <w:tcPr>
            <w:tcW w:w="3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Dividends declared per common share outstanding</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0.275</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-5017135</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-5017135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-3133090</wp:posOffset>
            </wp:positionV>
            <wp:extent cx="7683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-2499360</wp:posOffset>
            </wp:positionV>
            <wp:extent cx="7683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-1866265</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-1549400</wp:posOffset>
            </wp:positionV>
            <wp:extent cx="7683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-898525</wp:posOffset>
            </wp:positionV>
            <wp:extent cx="123317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25,674</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of rental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Amortization of finance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note discount, net of premium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Non-cash operating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Change in deferred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Gain from sales of property and equipment, net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(667 )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(1,386 )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from sales of rental equipment, net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(18,714 )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(8,906 )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(4,521 )</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(138,147 )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(59,671 )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(6,019 )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(5,400 )</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65,837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Manufacturer flooring plans payable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(1,406 )</w:t>
            </w:r>
          </w:p>
        </w:tc>
        <w:tc>
          <w:tcPr>
            <w:tcW w:w="0" w:type="dxa"/>
            <w:vAlign w:val="bottom"/>
          </w:tcPr>
          <w:p>
            <w:pPr>
              <w:spacing w:after="0"/>
              <w:rPr>
                <w:sz w:val="1"/>
                <w:szCs w:val="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Accrued expenses payable and other liabilities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43,225</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(12,388 )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(10,656 )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rental equipment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(76,578 )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(44,389 )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sales of rental equipment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31,686</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on senior secured credit facility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408,301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Payments on senior secured credit facility</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(368,301 )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(284,165 )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(9,989 )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(9,942 )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(3,226 )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financing costs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(4,939 )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Payments of finance lease obligations</w:t>
            </w:r>
          </w:p>
        </w:tc>
        <w:tc>
          <w:tcPr>
            <w:tcW w:w="360" w:type="dxa"/>
            <w:vAlign w:val="bottom"/>
          </w:tcPr>
          <w:p>
            <w:pPr>
              <w:spacing w:after="0"/>
              <w:rPr>
                <w:sz w:val="21"/>
                <w:szCs w:val="21"/>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(25 )</w:t>
            </w:r>
          </w:p>
        </w:tc>
        <w:tc>
          <w:tcPr>
            <w:tcW w:w="360" w:type="dxa"/>
            <w:vAlign w:val="bottom"/>
          </w:tcPr>
          <w:p>
            <w:pPr>
              <w:spacing w:after="0"/>
              <w:rPr>
                <w:sz w:val="21"/>
                <w:szCs w:val="21"/>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8,615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(5,499 )</w:t>
            </w:r>
          </w:p>
        </w:tc>
        <w:tc>
          <w:tcPr>
            <w:tcW w:w="0" w:type="dxa"/>
            <w:vAlign w:val="bottom"/>
          </w:tcPr>
          <w:p>
            <w:pPr>
              <w:spacing w:after="0"/>
              <w:rPr>
                <w:sz w:val="1"/>
                <w:szCs w:val="1"/>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89,945</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-3193415</wp:posOffset>
            </wp:positionV>
            <wp:extent cx="7683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-3193415</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-2251075</wp:posOffset>
            </wp:positionV>
            <wp:extent cx="7683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-1001395</wp:posOffset>
            </wp:positionV>
            <wp:extent cx="7683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-684530</wp:posOffset>
            </wp:positionV>
            <wp:extent cx="7683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Non-cash asset purchases: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Assets transferred from used and new inventory to rental fleet</w:t>
            </w: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51,110</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80"/>
              <w:spacing w:after="0" w:line="195" w:lineRule="exact"/>
              <w:rPr>
                <w:sz w:val="20"/>
                <w:szCs w:val="20"/>
                <w:color w:val="auto"/>
              </w:rPr>
            </w:pPr>
            <w:r>
              <w:rPr>
                <w:rFonts w:ascii="Arial" w:cs="Arial" w:eastAsia="Arial" w:hAnsi="Arial"/>
                <w:sz w:val="18"/>
                <w:szCs w:val="18"/>
                <w:color w:val="auto"/>
              </w:rPr>
              <w:t>Purchases of property and equipment included in accrued expenses</w:t>
            </w:r>
          </w:p>
        </w:tc>
        <w:tc>
          <w:tcPr>
            <w:tcW w:w="980" w:type="dxa"/>
            <w:vAlign w:val="bottom"/>
            <w:vMerge w:val="restart"/>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86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03"/>
        </w:trPr>
        <w:tc>
          <w:tcPr>
            <w:tcW w:w="7740" w:type="dxa"/>
            <w:vAlign w:val="bottom"/>
          </w:tcPr>
          <w:p>
            <w:pPr>
              <w:ind w:left="520"/>
              <w:spacing w:after="0" w:line="203" w:lineRule="exact"/>
              <w:rPr>
                <w:sz w:val="20"/>
                <w:szCs w:val="20"/>
                <w:color w:val="auto"/>
              </w:rPr>
            </w:pPr>
            <w:r>
              <w:rPr>
                <w:rFonts w:ascii="Arial" w:cs="Arial" w:eastAsia="Arial" w:hAnsi="Arial"/>
                <w:sz w:val="18"/>
                <w:szCs w:val="18"/>
                <w:color w:val="auto"/>
              </w:rPr>
              <w:t>payable and other liabilities</w:t>
            </w:r>
          </w:p>
        </w:tc>
        <w:tc>
          <w:tcPr>
            <w:tcW w:w="9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40" w:type="dxa"/>
            <w:vAlign w:val="bottom"/>
            <w:shd w:val="clear" w:color="auto" w:fill="CFF0FC"/>
          </w:tcPr>
          <w:p>
            <w:pPr>
              <w:ind w:left="380"/>
              <w:spacing w:after="0" w:line="195" w:lineRule="exact"/>
              <w:rPr>
                <w:sz w:val="20"/>
                <w:szCs w:val="20"/>
                <w:color w:val="auto"/>
              </w:rPr>
            </w:pPr>
            <w:r>
              <w:rPr>
                <w:rFonts w:ascii="Arial" w:cs="Arial" w:eastAsia="Arial" w:hAnsi="Arial"/>
                <w:sz w:val="18"/>
                <w:szCs w:val="18"/>
                <w:color w:val="auto"/>
              </w:rPr>
              <w:t>Operating lease assets obtained in exchange for new</w:t>
            </w:r>
          </w:p>
        </w:tc>
        <w:tc>
          <w:tcPr>
            <w:tcW w:w="980" w:type="dxa"/>
            <w:vAlign w:val="bottom"/>
            <w:vMerge w:val="restart"/>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2,783</w:t>
            </w:r>
          </w:p>
        </w:tc>
        <w:tc>
          <w:tcPr>
            <w:tcW w:w="860" w:type="dxa"/>
            <w:vAlign w:val="bottom"/>
            <w:gridSpan w:val="2"/>
            <w:vMerge w:val="restart"/>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operating lease liabilities</w:t>
            </w:r>
          </w:p>
        </w:tc>
        <w:tc>
          <w:tcPr>
            <w:tcW w:w="980" w:type="dxa"/>
            <w:vAlign w:val="bottom"/>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860" w:type="dxa"/>
            <w:vAlign w:val="bottom"/>
            <w:gridSpan w:val="2"/>
            <w:vMerge w:val="continue"/>
            <w:shd w:val="clear" w:color="auto" w:fill="CFF0FC"/>
          </w:tcPr>
          <w:p>
            <w:pPr>
              <w:spacing w:after="0"/>
              <w:rPr>
                <w:sz w:val="21"/>
                <w:szCs w:val="21"/>
                <w:color w:val="auto"/>
              </w:rPr>
            </w:pPr>
          </w:p>
        </w:tc>
        <w:tc>
          <w:tcPr>
            <w:tcW w:w="98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during the period for:</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980" w:type="dxa"/>
            <w:vAlign w:val="bottom"/>
            <w:tcBorders>
              <w:top w:val="single" w:sz="8" w:color="auto"/>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-1275080</wp:posOffset>
            </wp:positionV>
            <wp:extent cx="1233170" cy="316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3170" cy="3168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-692785</wp:posOffset>
            </wp:positionV>
            <wp:extent cx="123317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line="265" w:lineRule="auto"/>
        <w:rPr>
          <w:sz w:val="20"/>
          <w:szCs w:val="20"/>
          <w:color w:val="auto"/>
        </w:rPr>
      </w:pPr>
      <w:r>
        <w:rPr>
          <w:rFonts w:ascii="Arial" w:cs="Arial" w:eastAsia="Arial" w:hAnsi="Arial"/>
          <w:sz w:val="18"/>
          <w:szCs w:val="18"/>
          <w:b w:val="1"/>
          <w:bCs w:val="1"/>
          <w:color w:val="auto"/>
        </w:rPr>
        <w:t>H&amp;E EQUIPMENT SERVICES, INC. AND SUBSIDIARIES NOTES TO CONDENSED CONSOLIDATED FINANCIAL STATEMENTS (Unaudited)</w:t>
      </w:r>
    </w:p>
    <w:p>
      <w:pPr>
        <w:spacing w:after="0" w:line="177" w:lineRule="exact"/>
        <w:rPr>
          <w:sz w:val="20"/>
          <w:szCs w:val="20"/>
          <w:color w:val="auto"/>
        </w:rPr>
      </w:pPr>
    </w:p>
    <w:p>
      <w:pPr>
        <w:ind w:right="7940" w:firstLine="8"/>
        <w:spacing w:after="0" w:line="377" w:lineRule="auto"/>
        <w:tabs>
          <w:tab w:leader="none" w:pos="2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 Basis of Presentation</w:t>
      </w:r>
    </w:p>
    <w:p>
      <w:pPr>
        <w:spacing w:after="0" w:line="1"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spacing w:after="0" w:line="14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months ended March 31, 2023 are not necessarily indicative of the results that may be expected for the year ending December 31, 2023,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2022, from which the consolidated balance sheet amounts as of December 31, 2022 were derived. All significant intercompany accounts and transactions have been eliminated in these condensed consolidated financial statements.</w:t>
      </w:r>
    </w:p>
    <w:p>
      <w:pPr>
        <w:spacing w:after="0" w:line="138"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The nature of our business is such that short-term obligations are typically met by cash flows generated from long-term assets. Consequently, the accompanying condensed consolidated balance sheets are presented on an unclassified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Founded in 1961, H&amp;E Equipment Services, Inc. is one of the largest rental equipment companies in the nation, serving customers at our 119 branch locations across 29 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220" w:firstLine="374"/>
        <w:spacing w:after="0" w:line="341" w:lineRule="auto"/>
        <w:rPr>
          <w:sz w:val="20"/>
          <w:szCs w:val="20"/>
          <w:color w:val="auto"/>
        </w:rPr>
      </w:pPr>
      <w:r>
        <w:rPr>
          <w:rFonts w:ascii="Arial" w:cs="Arial" w:eastAsia="Arial" w:hAnsi="Arial"/>
          <w:sz w:val="16"/>
          <w:szCs w:val="16"/>
          <w:color w:val="auto"/>
        </w:rPr>
        <w:t>We describe our significant accounting policies in Note 2 of the notes to Consolidated Financial Statements in our Annual Report on Form 10-K for the year ended December 31, 2022. During the three months ended March 31, 2023, there were no significant changes to those accounting policies.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and cash equivalents include cash on hand and highly liquid investments with an original maturity of three months or less.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We recognize revenue in accordance with two different Financial Accounting Standards Board (“FASB”) Accounting Standards Codification (“ASC”) standards: 1) Topic 606 and 2) Topic 842.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80" w:firstLine="374"/>
        <w:spacing w:after="0" w:line="293" w:lineRule="auto"/>
        <w:rPr>
          <w:sz w:val="20"/>
          <w:szCs w:val="20"/>
          <w:color w:val="auto"/>
        </w:rPr>
      </w:pPr>
      <w:r>
        <w:rPr>
          <w:rFonts w:ascii="Arial" w:cs="Arial" w:eastAsia="Arial" w:hAnsi="Arial"/>
          <w:sz w:val="16"/>
          <w:szCs w:val="16"/>
          <w:color w:val="auto"/>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spacing w:after="0" w:line="136"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15"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In the table below, revenues as presented in our condensed consolidated statements of income for the three months ended March 31, 2023 and 2022 are summarized by type and by the applicable accounting standard.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w w:val="98"/>
              </w:rPr>
              <w:t>Three Months Ended March 31,</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Topic 842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Topic 606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Topic 842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Topic 606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Rental revenues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Owned equipment rentals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223,580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170,838</w:t>
            </w: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Pr>
          <w:p>
            <w:pPr>
              <w:ind w:left="200"/>
              <w:spacing w:after="0"/>
              <w:rPr>
                <w:sz w:val="20"/>
                <w:szCs w:val="20"/>
                <w:color w:val="auto"/>
              </w:rPr>
            </w:pPr>
            <w:r>
              <w:rPr>
                <w:rFonts w:ascii="Arial" w:cs="Arial" w:eastAsia="Arial" w:hAnsi="Arial"/>
                <w:sz w:val="18"/>
                <w:szCs w:val="18"/>
                <w:color w:val="auto"/>
              </w:rPr>
              <w:t>Re-rent revenue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Ancillary and other rental revenues:</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Pr>
          <w:p>
            <w:pPr>
              <w:ind w:left="200"/>
              <w:spacing w:after="0"/>
              <w:rPr>
                <w:sz w:val="20"/>
                <w:szCs w:val="20"/>
                <w:color w:val="auto"/>
              </w:rPr>
            </w:pPr>
            <w:r>
              <w:rPr>
                <w:rFonts w:ascii="Arial" w:cs="Arial" w:eastAsia="Arial" w:hAnsi="Arial"/>
                <w:sz w:val="18"/>
                <w:szCs w:val="18"/>
                <w:color w:val="auto"/>
              </w:rPr>
              <w:t>Delivery and pick-up</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0"/>
                <w:szCs w:val="20"/>
                <w:color w:val="auto"/>
              </w:rPr>
            </w:pPr>
          </w:p>
        </w:tc>
      </w:tr>
      <w:tr>
        <w:trPr>
          <w:trHeight w:val="243"/>
        </w:trPr>
        <w:tc>
          <w:tcPr>
            <w:tcW w:w="3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Total ancillary rental revenues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22,043</w:t>
            </w:r>
          </w:p>
        </w:tc>
        <w:tc>
          <w:tcPr>
            <w:tcW w:w="100" w:type="dxa"/>
            <w:vAlign w:val="bottom"/>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equipment rental revenues</w:t>
            </w: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246,380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262,008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188,016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21,526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26,036</w:t>
            </w: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r>
      <w:tr>
        <w:trPr>
          <w:trHeight w:val="278"/>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246,380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76,102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322,482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188,016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84,434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-1292225</wp:posOffset>
            </wp:positionV>
            <wp:extent cx="7683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-1292225</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-1292225</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-1292225</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-1292225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-967105</wp:posOffset>
            </wp:positionV>
            <wp:extent cx="7683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-967105</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-967105</wp:posOffset>
            </wp:positionV>
            <wp:extent cx="6858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-967105</wp:posOffset>
            </wp:positionV>
            <wp:extent cx="6858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-967105</wp:posOffset>
            </wp:positionV>
            <wp:extent cx="685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Revenues by reporting segment are presented in Note 11 of our Condensed Consolidated Financial Statements, using the revenue captions reflected in our consolidated statements of income.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2022.</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and contract assets and liabilities</w:t>
      </w:r>
    </w:p>
    <w:p>
      <w:pPr>
        <w:spacing w:after="0" w:line="11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spacing w:after="0" w:line="142"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We believe concentration of credit risk with respect to our receivables is limited because our customer base is comprised of a large number of geographically diverse customers. No single customer accounted for more than 10% of our revenues on an overall or segment basis for any of the periods presented in this Quarterly Report on Form 10-Q. We manage credit risk through credit approvals, credit limits and other monitoring procedures.</w:t>
      </w:r>
    </w:p>
    <w:p>
      <w:pPr>
        <w:spacing w:after="0" w:line="121"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in our rental operations, which as discussed above is accounted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 w:name="page11"/>
    <w:bookmarkEnd w:id="10"/>
    <w:p>
      <w:pPr>
        <w:ind w:right="80"/>
        <w:spacing w:after="0" w:line="271" w:lineRule="auto"/>
        <w:rPr>
          <w:sz w:val="20"/>
          <w:szCs w:val="20"/>
          <w:color w:val="auto"/>
        </w:rPr>
      </w:pPr>
      <w:r>
        <w:rPr>
          <w:rFonts w:ascii="Arial" w:cs="Arial" w:eastAsia="Arial" w:hAnsi="Arial"/>
          <w:sz w:val="17"/>
          <w:szCs w:val="17"/>
          <w:color w:val="auto"/>
        </w:rPr>
        <w:t>under Topic 842 and represents 81% of our total revenues and an approximate corresponding percentage of our receivables, net and associated allowance for doubtful accounts as of March 31, 2023.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both the three months ended March 31, 2023 and 2022 were approximately 0.3%.</w:t>
      </w:r>
    </w:p>
    <w:p>
      <w:pPr>
        <w:spacing w:after="0" w:line="154"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months ended March 31, 2023 or 2022 that was included in the contract liability balance as of the beginning of such periods.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 to the carrying amount of goodwill for the period ended March 31, 2023 is as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Equipment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7"/>
              </w:rPr>
              <w:t>Used Eq. 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New Eq. Sales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Parts Sales</w:t>
            </w:r>
          </w:p>
        </w:tc>
        <w:tc>
          <w:tcPr>
            <w:tcW w:w="26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Service Revenues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Rentals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Increase (2)</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 (1)</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88,529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Increase (3)</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88,558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102,719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1020" w:right="140" w:hanging="504"/>
        <w:spacing w:after="0" w:line="25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carrying amount of goodwill as of December 31, 2022 and 2021 in the table above is reflected net of $92.7 million of accumulated impairment charges.</w:t>
      </w: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due to the OSR Acquisition.</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is related to the closing adjustments of the OSR Acquisition during the first quarter of 2023.</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On January 1, 2023 we adopted Accounting Standards Update (“ASU”) No. 2020-04, Reference Rate Reform (Topic 848): Facilitation of the Effects of Reference Rate Reform on Financial Reporting, which provided optional guidance for a limited time to ease the potential burden in accounting for or recognizing the effects of reference rate reform, particularly, the risk of cessation of the London Interbank Offered Rate (“LIBOR”) on financial reporting. Our exposure related to the expected cessation of LIBOR was limited to the interest expense and certain fees we incur on balances outstanding under our Senior Secured Credit Facility (the “Credit Facility”). We amended and restated our Credit Facility to transition to Secured Overnight Financing Rate (“SOFR”) as of February 2, 2023. The impact from the cessation of LIBOR as a reference rate did not have a material impact on our consolidated financial statements.</w:t>
      </w:r>
    </w:p>
    <w:p>
      <w:pPr>
        <w:spacing w:after="0" w:line="296" w:lineRule="exact"/>
        <w:rPr>
          <w:sz w:val="20"/>
          <w:szCs w:val="20"/>
          <w:color w:val="auto"/>
        </w:rPr>
      </w:pPr>
    </w:p>
    <w:p>
      <w:pPr>
        <w:ind w:left="380" w:right="8720" w:hanging="372"/>
        <w:spacing w:after="0" w:line="450" w:lineRule="auto"/>
        <w:tabs>
          <w:tab w:leader="none" w:pos="2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Dispositions </w:t>
      </w:r>
      <w:r>
        <w:rPr>
          <w:rFonts w:ascii="Arial" w:cs="Arial" w:eastAsia="Arial" w:hAnsi="Arial"/>
          <w:sz w:val="15"/>
          <w:szCs w:val="15"/>
          <w:i w:val="1"/>
          <w:iCs w:val="1"/>
          <w:color w:val="auto"/>
        </w:rPr>
        <w:t>2022 Acquisition</w:t>
      </w:r>
    </w:p>
    <w:p>
      <w:pPr>
        <w:ind w:left="380"/>
        <w:spacing w:after="0"/>
        <w:rPr>
          <w:sz w:val="20"/>
          <w:szCs w:val="20"/>
          <w:color w:val="auto"/>
        </w:rPr>
      </w:pPr>
      <w:r>
        <w:rPr>
          <w:rFonts w:ascii="Arial" w:cs="Arial" w:eastAsia="Arial" w:hAnsi="Arial"/>
          <w:sz w:val="18"/>
          <w:szCs w:val="18"/>
          <w:b w:val="1"/>
          <w:bCs w:val="1"/>
          <w:color w:val="auto"/>
        </w:rPr>
        <w:t>One Source Equipment Rentals, Inc.</w:t>
      </w:r>
    </w:p>
    <w:p>
      <w:pPr>
        <w:spacing w:after="0" w:line="121"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spacing w:after="0" w:line="75"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The aggregate cash consideration paid was approximately $136.7 million. The acquisition and related fees and expenses were funded from available cash. Customary closing adjustments were finalized during the first quarter of 2023. The following table summarizes the fair value of the assets acquired and liabilities assumed as of the acquisition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 in thousands</w:t>
            </w:r>
          </w:p>
        </w:tc>
      </w:tr>
      <w:tr>
        <w:trPr>
          <w:trHeight w:val="236"/>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0"/>
                <w:szCs w:val="20"/>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(1)</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11,163</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Rental equipment</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102,436</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4"/>
                <w:szCs w:val="14"/>
                <w:color w:val="auto"/>
              </w:rPr>
              <w:t>(2)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0"/>
                <w:szCs w:val="20"/>
                <w:color w:val="auto"/>
              </w:rPr>
            </w:pPr>
          </w:p>
        </w:tc>
      </w:tr>
      <w:tr>
        <w:trPr>
          <w:trHeight w:val="242"/>
        </w:trPr>
        <w:tc>
          <w:tcPr>
            <w:tcW w:w="9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identifiable assets acquired</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133,546</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(4,723 )</w:t>
            </w: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payable</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(1,674 )</w:t>
            </w: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(2,388 )</w:t>
            </w:r>
          </w:p>
        </w:tc>
      </w:tr>
      <w:tr>
        <w:trPr>
          <w:trHeight w:val="243"/>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(27,653 )</w:t>
            </w:r>
          </w:p>
        </w:tc>
      </w:tr>
      <w:tr>
        <w:trPr>
          <w:trHeight w:val="20"/>
        </w:trPr>
        <w:tc>
          <w:tcPr>
            <w:tcW w:w="9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36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(36,438 )</w:t>
            </w:r>
          </w:p>
        </w:tc>
      </w:tr>
      <w:tr>
        <w:trPr>
          <w:trHeight w:val="242"/>
        </w:trPr>
        <w:tc>
          <w:tcPr>
            <w:tcW w:w="9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identifiable assets acquired</w:t>
            </w:r>
          </w:p>
        </w:tc>
        <w:tc>
          <w:tcPr>
            <w:tcW w:w="260" w:type="dxa"/>
            <w:vAlign w:val="bottom"/>
            <w:tcBorders>
              <w:top w:val="single" w:sz="8" w:color="auto"/>
            </w:tcBorders>
            <w:shd w:val="clear" w:color="auto" w:fill="CFF0FC"/>
          </w:tcPr>
          <w:p>
            <w:pPr>
              <w:spacing w:after="0"/>
              <w:rPr>
                <w:sz w:val="21"/>
                <w:szCs w:val="21"/>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97,108</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(3)</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39,582</w:t>
            </w:r>
          </w:p>
        </w:tc>
        <w:tc>
          <w:tcPr>
            <w:tcW w:w="100" w:type="dxa"/>
            <w:vAlign w:val="bottom"/>
          </w:tcPr>
          <w:p>
            <w:pPr>
              <w:spacing w:after="0"/>
              <w:rPr>
                <w:sz w:val="20"/>
                <w:szCs w:val="20"/>
                <w:color w:val="auto"/>
              </w:rPr>
            </w:pPr>
          </w:p>
        </w:tc>
      </w:tr>
      <w:tr>
        <w:trPr>
          <w:trHeight w:val="276"/>
        </w:trPr>
        <w:tc>
          <w:tcPr>
            <w:tcW w:w="9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0"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an indemnification receivable of $0.7 million related to an unrecognized tax benefit.</w:t>
      </w:r>
    </w:p>
    <w:p>
      <w:pPr>
        <w:spacing w:after="0" w:line="76" w:lineRule="exact"/>
        <w:rPr>
          <w:rFonts w:ascii="Arial" w:cs="Arial" w:eastAsia="Arial" w:hAnsi="Arial"/>
          <w:sz w:val="18"/>
          <w:szCs w:val="18"/>
          <w:color w:val="auto"/>
        </w:rPr>
      </w:pPr>
    </w:p>
    <w:p>
      <w:pPr>
        <w:ind w:left="1020" w:right="520" w:hanging="504"/>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table reflects the estimated fair values and useful lives of the acquired intangible assets identified based on our purchase accounting assessments:</w:t>
      </w:r>
    </w:p>
    <w:tbl>
      <w:tblPr>
        <w:tblLayout w:type="fixed"/>
        <w:tblInd w:w="1700" w:type="dxa"/>
        <w:tblCellMar>
          <w:top w:w="0" w:type="dxa"/>
          <w:left w:w="0" w:type="dxa"/>
          <w:bottom w:w="0" w:type="dxa"/>
          <w:right w:w="0" w:type="dxa"/>
        </w:tblCellMar>
      </w:tblPr>
      <w:tr>
        <w:trPr>
          <w:trHeight w:val="140"/>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9"/>
              <w:spacing w:after="0" w:line="140"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(amounts in</w:t>
            </w:r>
          </w:p>
        </w:tc>
        <w:tc>
          <w:tcPr>
            <w:tcW w:w="160" w:type="dxa"/>
            <w:vAlign w:val="bottom"/>
          </w:tcPr>
          <w:p>
            <w:pPr>
              <w:spacing w:after="0"/>
              <w:rPr>
                <w:sz w:val="12"/>
                <w:szCs w:val="12"/>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Life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42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42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87" w:lineRule="exact"/>
        <w:rPr>
          <w:sz w:val="20"/>
          <w:szCs w:val="20"/>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acquired goodwill has been allocated to the equipment rentals reporting unit.</w:t>
      </w:r>
    </w:p>
    <w:p>
      <w:pPr>
        <w:spacing w:after="0" w:line="225"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Included in the total goodwill amount of $39.6 million is approximately $0.8 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spacing w:after="0" w:line="77" w:lineRule="exact"/>
        <w:rPr>
          <w:sz w:val="20"/>
          <w:szCs w:val="20"/>
          <w:color w:val="auto"/>
        </w:rPr>
      </w:pPr>
    </w:p>
    <w:p>
      <w:pPr>
        <w:ind w:right="340" w:firstLine="374"/>
        <w:spacing w:after="0" w:line="311" w:lineRule="auto"/>
        <w:rPr>
          <w:sz w:val="20"/>
          <w:szCs w:val="20"/>
          <w:color w:val="auto"/>
        </w:rPr>
      </w:pPr>
      <w:r>
        <w:rPr>
          <w:rFonts w:ascii="Arial" w:cs="Arial" w:eastAsia="Arial" w:hAnsi="Arial"/>
          <w:sz w:val="16"/>
          <w:szCs w:val="16"/>
          <w:color w:val="auto"/>
        </w:rPr>
        <w:t>Total acquisition costs were $0.8 million and included within SG&amp;A expenses on the Consolidated Statement of Operations during the year ended December 31, 2022. Since our acquisition of OSR on October 1, 2022, significant amounts of equipment rental fleet have been moved between H&amp;E locations and the acquired locations, and it is impractical to reasonably estimate the amount of OSR revenues and earnings since the acquisition date.</w:t>
      </w:r>
    </w:p>
    <w:p>
      <w:pPr>
        <w:spacing w:after="0" w:line="40"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assets and liabilities were recorded as of October 1, 2022 and the results of operations are included in the Company's consolidated results as of that date.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completed the OSR acquisition effective October 1, 2022. Therefore, our reported Condensed Consolidated Statement of Income for the quarter ended March 31, 2022 does not include OSR.</w:t>
      </w:r>
    </w:p>
    <w:p>
      <w:pPr>
        <w:spacing w:after="0" w:line="62" w:lineRule="exact"/>
        <w:rPr>
          <w:sz w:val="20"/>
          <w:szCs w:val="20"/>
          <w:color w:val="auto"/>
        </w:rPr>
      </w:pPr>
    </w:p>
    <w:p>
      <w:pPr>
        <w:ind w:right="260" w:firstLine="374"/>
        <w:spacing w:after="0" w:line="291" w:lineRule="auto"/>
        <w:rPr>
          <w:sz w:val="20"/>
          <w:szCs w:val="20"/>
          <w:color w:val="auto"/>
        </w:rPr>
      </w:pPr>
      <w:r>
        <w:rPr>
          <w:rFonts w:ascii="Arial" w:cs="Arial" w:eastAsia="Arial" w:hAnsi="Arial"/>
          <w:sz w:val="16"/>
          <w:szCs w:val="16"/>
          <w:color w:val="auto"/>
        </w:rPr>
        <w:t>The pro forma information for the quarter ended March 31, 2022 in the table below (amounts in thousands) is for informational purposes only and gives effect to the OSR acquisition as if it had been completed on January 1, 2022 (the “pro forma acquisition date”). The pro forma information is not necessarily indicative of our results of operations had the acquisition been completed on the pro forma acquisition date, nor is it necessarily indicative of our future results. The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2" w:name="page13"/>
    <w:bookmarkEnd w:id="12"/>
    <w:p>
      <w:pPr>
        <w:jc w:val="center"/>
        <w:ind w:left="9100"/>
        <w:spacing w:after="0"/>
        <w:rPr>
          <w:sz w:val="20"/>
          <w:szCs w:val="20"/>
          <w:color w:val="auto"/>
        </w:rPr>
      </w:pPr>
      <w:r>
        <w:rPr>
          <w:rFonts w:ascii="Arial" w:cs="Arial" w:eastAsia="Arial" w:hAnsi="Arial"/>
          <w:sz w:val="14"/>
          <w:szCs w:val="14"/>
          <w:b w:val="1"/>
          <w:bCs w:val="1"/>
          <w:color w:val="auto"/>
        </w:rPr>
        <w:t>Three Months Ended March</w:t>
      </w:r>
    </w:p>
    <w:p>
      <w:pPr>
        <w:spacing w:after="0" w:line="3"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5080</wp:posOffset>
            </wp:positionV>
            <wp:extent cx="1189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10060"/>
        <w:spacing w:after="0"/>
        <w:rPr>
          <w:sz w:val="20"/>
          <w:szCs w:val="20"/>
          <w:color w:val="auto"/>
        </w:rPr>
      </w:pPr>
      <w:r>
        <w:rPr>
          <w:rFonts w:ascii="Arial" w:cs="Arial" w:eastAsia="Arial" w:hAnsi="Arial"/>
          <w:sz w:val="14"/>
          <w:szCs w:val="14"/>
          <w:b w:val="1"/>
          <w:bCs w:val="1"/>
          <w:color w:val="auto"/>
        </w:rPr>
        <w:t>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287,479</w:t>
            </w:r>
          </w:p>
        </w:tc>
        <w:tc>
          <w:tcPr>
            <w:tcW w:w="100" w:type="dxa"/>
            <w:vAlign w:val="bottom"/>
          </w:tcPr>
          <w:p>
            <w:pPr>
              <w:spacing w:after="0"/>
              <w:rPr>
                <w:sz w:val="20"/>
                <w:szCs w:val="20"/>
                <w:color w:val="auto"/>
              </w:rPr>
            </w:pPr>
          </w:p>
        </w:tc>
      </w:tr>
      <w:tr>
        <w:trPr>
          <w:trHeight w:val="24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16,727</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2022 Disposition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Komatsu Earthmoving Distributorship</w:t>
      </w:r>
    </w:p>
    <w:p>
      <w:pPr>
        <w:spacing w:after="0" w:line="12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On December 15, 2022, the Company sold our Komatsu earthmoving distribution business to Houston, Texas based Waukesha-Pearce Industries, LLC (“WPI”) for $29.2 million, subject to customary closing adjustments. The WPI sale included the rights to the distribution of Komatsu earthmoving equipment in the state of Louisiana and counties located in southwestern Arkansas, a branch location and its associated property, plant and equipment in Kenner, LA, Komatsu new equipment inventory, assets at a leased facility in Bossier City, LA and certain other equipment, parts and supplies with a net book value of approximately $14.7 million. We recorded a gain from sales of property and equipment, net of $12.9 million and a gain of $2.5 million within other income on the Consolidated Statement of Operations for the year ended December 31, 2022. The WPI sale did not qualify for discontinued operations as the divestiture does not meet the definition of a component.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117" w:lineRule="exact"/>
        <w:rPr>
          <w:sz w:val="20"/>
          <w:szCs w:val="20"/>
          <w:color w:val="auto"/>
        </w:rPr>
      </w:pPr>
    </w:p>
    <w:p>
      <w:pPr>
        <w:ind w:left="380" w:right="500"/>
        <w:spacing w:after="0" w:line="277" w:lineRule="auto"/>
        <w:rPr>
          <w:sz w:val="20"/>
          <w:szCs w:val="20"/>
          <w:color w:val="auto"/>
        </w:rPr>
      </w:pPr>
      <w:r>
        <w:rPr>
          <w:rFonts w:ascii="Arial" w:cs="Arial" w:eastAsia="Arial" w:hAnsi="Arial"/>
          <w:sz w:val="18"/>
          <w:szCs w:val="18"/>
          <w:color w:val="auto"/>
        </w:rPr>
        <w:t>Level 2 – Quoted prices for similar assets and liabilities in active markets or inputs that are observable for the asset or liability, either directly or indirectly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Unobservable inputs for which little or no market data exists, therefore requiring a company to develop its own assumptions</w:t>
      </w:r>
    </w:p>
    <w:p>
      <w:pPr>
        <w:spacing w:after="0" w:line="198"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color w:val="auto"/>
        </w:rPr>
        <w:t>The carrying value of financial instruments reported in the accompanying condensed consolidated balance sheets for cash and cash equivalents, accounts receivable, accounts payable and accrued expenses payable and other liabilities approximate fair value due to the immediate or short-term nature or maturity of these financial instruments. The carrying amounts and fair values of our other financial instruments subject to fair value disclosures as of March 31, 2023 and December 31, 2022 are presented in the table below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 2023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7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Manufacturer flooring plans payable with interest computed at 8.25% (Level 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1,241,770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1,099,663</w:t>
            </w:r>
          </w:p>
        </w:tc>
        <w:tc>
          <w:tcPr>
            <w:tcW w:w="100" w:type="dxa"/>
            <w:vAlign w:val="bottom"/>
          </w:tcPr>
          <w:p>
            <w:pPr>
              <w:spacing w:after="0"/>
              <w:rPr>
                <w:sz w:val="20"/>
                <w:szCs w:val="20"/>
                <w:color w:val="auto"/>
              </w:rPr>
            </w:pPr>
          </w:p>
        </w:tc>
      </w:tr>
      <w:tr>
        <w:trPr>
          <w:trHeight w:val="404"/>
        </w:trPr>
        <w:tc>
          <w:tcPr>
            <w:tcW w:w="7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7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Manufacturer flooring plans payable with interest computed at 7.75% (Level 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1,241,409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1,070,088</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jc w:val="both"/>
        <w:ind w:right="440" w:firstLine="374"/>
        <w:spacing w:after="0" w:line="311" w:lineRule="auto"/>
        <w:rPr>
          <w:sz w:val="20"/>
          <w:szCs w:val="20"/>
          <w:color w:val="auto"/>
        </w:rPr>
      </w:pPr>
      <w:r>
        <w:rPr>
          <w:rFonts w:ascii="Arial" w:cs="Arial" w:eastAsia="Arial" w:hAnsi="Arial"/>
          <w:sz w:val="16"/>
          <w:szCs w:val="16"/>
          <w:color w:val="auto"/>
        </w:rPr>
        <w:t>At March 31, 2023 and December 31, 2022, the fair value of our senior unsecured notes due 2028 (the “Senior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w:t>
      </w:r>
    </w:p>
    <w:p>
      <w:pPr>
        <w:spacing w:after="0" w:line="107"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During the three months ended March 31, 2023 and 2022, there were no transfers of financial assets or liabilities in or out of Level 3 of the fair value hierarchy.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following table summarizes the activity in Stockholders’ Equity for the three months ended March 31, 2023 and 2022, respectively (amounts 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14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13"/>
              <w:spacing w:after="0" w:line="133"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370"/>
              <w:spacing w:after="0" w:line="133" w:lineRule="exact"/>
              <w:rPr>
                <w:sz w:val="20"/>
                <w:szCs w:val="20"/>
                <w:color w:val="auto"/>
              </w:rPr>
            </w:pPr>
            <w:r>
              <w:rPr>
                <w:rFonts w:ascii="Arial" w:cs="Arial" w:eastAsia="Arial" w:hAnsi="Arial"/>
                <w:sz w:val="14"/>
                <w:szCs w:val="14"/>
                <w:b w:val="1"/>
                <w:bCs w:val="1"/>
                <w:color w:val="auto"/>
                <w:w w:val="97"/>
              </w:rPr>
              <w:t>Treasury</w:t>
            </w:r>
          </w:p>
        </w:tc>
        <w:tc>
          <w:tcPr>
            <w:tcW w:w="140" w:type="dxa"/>
            <w:vAlign w:val="bottom"/>
          </w:tcPr>
          <w:p>
            <w:pPr>
              <w:spacing w:after="0"/>
              <w:rPr>
                <w:sz w:val="11"/>
                <w:szCs w:val="11"/>
                <w:color w:val="auto"/>
              </w:rPr>
            </w:pPr>
          </w:p>
        </w:tc>
        <w:tc>
          <w:tcPr>
            <w:tcW w:w="98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Issued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40,567,876</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251,901</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(69,964</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($0.275 per share)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(9,794 )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(9,794 )</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net of forfeitures</w:t>
            </w:r>
          </w:p>
        </w:tc>
        <w:tc>
          <w:tcPr>
            <w:tcW w:w="1140" w:type="dxa"/>
            <w:vAlign w:val="bottom"/>
          </w:tcPr>
          <w:p>
            <w:pPr>
              <w:jc w:val="right"/>
              <w:spacing w:after="0"/>
              <w:rPr>
                <w:sz w:val="20"/>
                <w:szCs w:val="20"/>
                <w:color w:val="auto"/>
              </w:rPr>
            </w:pPr>
            <w:r>
              <w:rPr>
                <w:rFonts w:ascii="Arial" w:cs="Arial" w:eastAsia="Arial" w:hAnsi="Arial"/>
                <w:sz w:val="18"/>
                <w:szCs w:val="18"/>
                <w:color w:val="auto"/>
              </w:rPr>
              <w:t>132,501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Repurchase of 58,211 shares of restricted common</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(3,226 )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(3,226 )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at March 31,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40,700,377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254,891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(73,190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234,580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40,353,299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244,638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(68,294 )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($0.275 per share)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(9,851 )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(9,851 )</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net of forfeitures</w:t>
            </w:r>
          </w:p>
        </w:tc>
        <w:tc>
          <w:tcPr>
            <w:tcW w:w="1140" w:type="dxa"/>
            <w:vAlign w:val="bottom"/>
          </w:tcPr>
          <w:p>
            <w:pPr>
              <w:jc w:val="right"/>
              <w:spacing w:after="0"/>
              <w:rPr>
                <w:sz w:val="20"/>
                <w:szCs w:val="20"/>
                <w:color w:val="auto"/>
              </w:rPr>
            </w:pPr>
            <w:r>
              <w:rPr>
                <w:rFonts w:ascii="Arial" w:cs="Arial" w:eastAsia="Arial" w:hAnsi="Arial"/>
                <w:sz w:val="18"/>
                <w:szCs w:val="18"/>
                <w:color w:val="auto"/>
              </w:rPr>
              <w:t>28,825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Repurchase of 8,938 shares of restricted common</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(343 )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40,382,124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246,316</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133,080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-1566545</wp:posOffset>
            </wp:positionV>
            <wp:extent cx="387032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0325" cy="17970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460" w:firstLine="374"/>
        <w:spacing w:after="0" w:line="275" w:lineRule="auto"/>
        <w:rPr>
          <w:sz w:val="20"/>
          <w:szCs w:val="20"/>
          <w:color w:val="auto"/>
        </w:rPr>
      </w:pPr>
      <w:r>
        <w:rPr>
          <w:rFonts w:ascii="Arial" w:cs="Arial" w:eastAsia="Arial" w:hAnsi="Arial"/>
          <w:sz w:val="17"/>
          <w:szCs w:val="17"/>
          <w:color w:val="auto"/>
        </w:rPr>
        <w:t xml:space="preserve">We account for our stock-based compensation plans using the fair value recognition provisions of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 There were 866,875 shares available for future stock-based payment awards under our 2016 Stock-Based Incentive Compensation Plan as of March 31,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non-vested stock activity for the three months ended March 31,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62"/>
        </w:trPr>
        <w:tc>
          <w:tcPr>
            <w:tcW w:w="7740" w:type="dxa"/>
            <w:vAlign w:val="bottom"/>
          </w:tcPr>
          <w:p>
            <w:pPr>
              <w:spacing w:after="0"/>
              <w:rPr>
                <w:sz w:val="14"/>
                <w:szCs w:val="14"/>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stock at December 31, 2022</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560,456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27,726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(134,346 )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(1,845 )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stock at March 31,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451,991</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As of March 31, 2023, we had unrecognized compensation expense of approximately $11.3 million related to non-vested stock that we expect to be recognized over a weighted-average period of approximately 1.8 years. The compensation expense related to non-vested stock, which is included in selling, general and administrative expenses in the accompanying condensed consolidated statements of income for the three months ended March 31, 2023 and 2022 is $3.0 million and $1.7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per Share</w:t>
      </w:r>
    </w:p>
    <w:p>
      <w:pPr>
        <w:spacing w:after="0" w:line="121"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Income per common share for the three months ended March 31, 2023 and 2022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160"/>
        <w:spacing w:after="0" w:line="263" w:lineRule="auto"/>
        <w:rPr>
          <w:sz w:val="20"/>
          <w:szCs w:val="20"/>
          <w:color w:val="auto"/>
        </w:rPr>
      </w:pPr>
      <w:r>
        <w:rPr>
          <w:rFonts w:ascii="Arial" w:cs="Arial" w:eastAsia="Arial" w:hAnsi="Arial"/>
          <w:sz w:val="18"/>
          <w:szCs w:val="18"/>
          <w:color w:val="auto"/>
        </w:rPr>
        <w:t>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spacing w:after="0" w:line="142"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months ended March 31, 2023 and 2022 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months ended March 31, 2023 and 2022 (amounts in thousands, except per share amounts):</w:t>
      </w:r>
    </w:p>
    <w:p>
      <w:pPr>
        <w:spacing w:after="0" w:line="62"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8255</wp:posOffset>
            </wp:positionV>
            <wp:extent cx="21577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25,674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36,025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36,363</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dilutive non-vested restricted stock</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36,352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36,539</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Income per share:</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net income per share</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0"/>
              <w:spacing w:after="0"/>
              <w:rPr>
                <w:sz w:val="20"/>
                <w:szCs w:val="20"/>
                <w:color w:val="auto"/>
              </w:rPr>
            </w:pPr>
            <w:r>
              <w:rPr>
                <w:rFonts w:ascii="Arial" w:cs="Arial" w:eastAsia="Arial" w:hAnsi="Arial"/>
                <w:sz w:val="18"/>
                <w:szCs w:val="18"/>
                <w:color w:val="auto"/>
              </w:rPr>
              <w:t>Diluted net income per share</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0.71</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Common shares excluded from the denominator as anti-dilutive:</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Non-vested restricted stock</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-1951355</wp:posOffset>
            </wp:positionV>
            <wp:extent cx="123317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-1309370</wp:posOffset>
            </wp:positionV>
            <wp:extent cx="7683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-675640</wp:posOffset>
            </wp:positionV>
            <wp:extent cx="123317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Secured Credit Facility</w:t>
      </w:r>
    </w:p>
    <w:p>
      <w:pPr>
        <w:spacing w:after="0" w:line="121" w:lineRule="exact"/>
        <w:rPr>
          <w:sz w:val="20"/>
          <w:szCs w:val="20"/>
          <w:color w:val="auto"/>
        </w:rPr>
      </w:pPr>
    </w:p>
    <w:p>
      <w:pPr>
        <w:ind w:right="160" w:firstLine="374"/>
        <w:spacing w:after="0" w:line="256" w:lineRule="auto"/>
        <w:rPr>
          <w:sz w:val="20"/>
          <w:szCs w:val="20"/>
          <w:color w:val="auto"/>
        </w:rPr>
      </w:pPr>
      <w:r>
        <w:rPr>
          <w:rFonts w:ascii="Arial" w:cs="Arial" w:eastAsia="Arial" w:hAnsi="Arial"/>
          <w:sz w:val="18"/>
          <w:szCs w:val="18"/>
          <w:color w:val="auto"/>
        </w:rPr>
        <w:t>On February 2, 2023, we amended, extended and restated the $750.0 million Credit Facility by entering into the Sixth Amended and Restated Credit Agreement by and among the Company, Great Northern Equipment, Inc., H&amp;E Equipment Services (California), LLC, H&amp;E Equipment Services (Mid-Atlantic), LLC, H&amp;E Equipment Services (Midwest), LLC, the other credit parties named therein, the lenders named therein, Wells Fargo Bank, National Association, as administrative agent, the other credit parties named therein, the lenders named therein, and the joint lead arrangers, joint book runners, co-syndication agents and documentation agent named therein.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Sixth Amended and Restated Credit Agreement, among other things, (i) extended the maturity date of the credit facility to February 2, 2028 and</w:t>
      </w:r>
    </w:p>
    <w:p>
      <w:pPr>
        <w:spacing w:after="0" w:line="46" w:lineRule="exact"/>
        <w:rPr>
          <w:sz w:val="20"/>
          <w:szCs w:val="20"/>
          <w:color w:val="auto"/>
        </w:rPr>
      </w:pPr>
    </w:p>
    <w:p>
      <w:pPr>
        <w:ind w:right="60" w:firstLine="8"/>
        <w:spacing w:after="0" w:line="260"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amended the interest rate to SOFR plus a credit spread adjustment plus an applicable margin of 1.25% to 1.75%, depending on the Average Availability (as defined in the Amended and Restated Credit Agreement).</w:t>
      </w:r>
    </w:p>
    <w:p>
      <w:pPr>
        <w:spacing w:after="0" w:line="144"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As of March 31, 2023, we were in compliance with our financial covenants under the Sixth Amended and Restated Credit Agreement. At March 31, 2023, we had $40.0 million in borrowings outstanding under the Credit Facility and could borrow up to approximately $699.4 million, net of a $10.6 million outstanding letter of credit, and remain in compliance with the debt covenants under the Credit Facility.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Unsecured Note</w:t>
      </w:r>
      <w:r>
        <w:rPr>
          <w:rFonts w:ascii="Arial" w:cs="Arial" w:eastAsia="Arial" w:hAnsi="Arial"/>
          <w:sz w:val="18"/>
          <w:szCs w:val="18"/>
          <w:color w:val="auto"/>
        </w:rPr>
        <w:t>s</w:t>
      </w:r>
    </w:p>
    <w:p>
      <w:pPr>
        <w:spacing w:after="0" w:line="121"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On December 14, 2020, we completed the offering of our $1.25 billion, 3.875% Senior Unsecured Notes due 2028. For further information related to significant terms of the Senior Unsecured Notes, see Note 9 to the Company’s Consolidated Financial Statements included as Item 8 in the Company’s Annual Report on Form 10-K for the year ended December 31, 2022. As of March 31, 2023, we were in compliance with the covenants governing our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380"/>
        <w:spacing w:after="0"/>
        <w:rPr>
          <w:sz w:val="20"/>
          <w:szCs w:val="20"/>
          <w:color w:val="auto"/>
        </w:rPr>
      </w:pPr>
      <w:r>
        <w:rPr>
          <w:rFonts w:ascii="Arial" w:cs="Arial" w:eastAsia="Arial" w:hAnsi="Arial"/>
          <w:sz w:val="18"/>
          <w:szCs w:val="18"/>
          <w:color w:val="auto"/>
        </w:rPr>
        <w:t>The following table reconciles our Senior Unsecured Notes to our Condensed Consolidated Balance Sheets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1,239,967</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Accretion of discount through December 31, 2022</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deferred financing costs through December 31, 2022</w:t>
            </w:r>
          </w:p>
        </w:tc>
        <w:tc>
          <w:tcPr>
            <w:tcW w:w="6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1,241,409</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discount through March 31, 2023</w:t>
            </w:r>
          </w:p>
        </w:tc>
        <w:tc>
          <w:tcPr>
            <w:tcW w:w="6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 through March 31, 2023</w:t>
            </w: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1,241,770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For a discussion of Topic 842 and related disclosures, see Note 2 and Note 11 to the Consolidated Financial Statements in our Annual Report on Form 10-K for the year ended December 31, 2022.</w:t>
      </w:r>
    </w:p>
    <w:p>
      <w:pPr>
        <w:spacing w:after="0" w:line="142" w:lineRule="exact"/>
        <w:rPr>
          <w:sz w:val="20"/>
          <w:szCs w:val="20"/>
          <w:color w:val="auto"/>
        </w:rPr>
      </w:pPr>
    </w:p>
    <w:p>
      <w:pPr>
        <w:ind w:right="360" w:firstLine="374"/>
        <w:spacing w:after="0" w:line="263" w:lineRule="auto"/>
        <w:rPr>
          <w:sz w:val="20"/>
          <w:szCs w:val="20"/>
          <w:color w:val="auto"/>
        </w:rPr>
      </w:pPr>
      <w:r>
        <w:rPr>
          <w:rFonts w:ascii="Arial" w:cs="Arial" w:eastAsia="Arial" w:hAnsi="Arial"/>
          <w:sz w:val="18"/>
          <w:szCs w:val="18"/>
          <w:color w:val="auto"/>
        </w:rPr>
        <w:t>At March 31, 2023, the weighted average remaining lease term for operating leases was approximately 7.8 years and for finance leases was approximately 9.3 years. The weighted average discount rate for operating leases and finance leases was approximately 6.3% and 5.0%, respectively at March 31, 2023.</w:t>
      </w:r>
    </w:p>
    <w:p>
      <w:pPr>
        <w:spacing w:after="0" w:line="142"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The future minimum lease payments of operating leases executed but not commenced as of March 31, 2023 are estimated to be $1.1 million, $2.9 million, $2.9 million, $2.9 million and $3.0 million for the years ending December 31, 2023, 2024, 2025, 2026 and 2027, respectively, and $20.9 million thereafter. It is expected that the majority of these leases will commence during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We have identified five reportable segments: equipment rentals, used equipment sales, new equipment sales, parts sales and services revenues. These segments are based upon revenue streams and how management of the Company allocates resources and assesses performance. Our non-segmented revenues and costs relate primarily to ancillary charges associated with equipment repair services, and are not generally allocated to the segments. There were no sales between segments for any of the periods presented. Selling, general and administrative expenses as well as all other income and expense items below gross profit are not generally allocated to reportable segments.</w:t>
      </w:r>
    </w:p>
    <w:p>
      <w:pPr>
        <w:spacing w:after="0" w:line="134"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do not compile discrete financial information by segments other than the information presented below. The following table presents information about our reportable segments (amounts in thousands):</w:t>
      </w:r>
    </w:p>
    <w:p>
      <w:pPr>
        <w:spacing w:after="0" w:line="17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37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470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262,008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equipment sales</w:t>
            </w:r>
          </w:p>
        </w:tc>
        <w:tc>
          <w:tcPr>
            <w:tcW w:w="37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Parts sales</w:t>
            </w:r>
          </w:p>
        </w:tc>
        <w:tc>
          <w:tcPr>
            <w:tcW w:w="37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37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segmented revenues</w:t>
            </w:r>
          </w:p>
        </w:tc>
        <w:tc>
          <w:tcPr>
            <w:tcW w:w="37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321,284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Non-segmented revenues</w:t>
            </w:r>
          </w:p>
        </w:tc>
        <w:tc>
          <w:tcPr>
            <w:tcW w:w="37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revenues</w:t>
            </w:r>
          </w:p>
        </w:tc>
        <w:tc>
          <w:tcPr>
            <w:tcW w:w="37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322,482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8"/>
                <w:szCs w:val="18"/>
                <w:color w:val="auto"/>
              </w:rPr>
              <w:t>Segment Gross Profit (Loss):</w:t>
            </w:r>
          </w:p>
        </w:tc>
        <w:tc>
          <w:tcPr>
            <w:tcW w:w="3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 rentals</w:t>
            </w:r>
          </w:p>
        </w:tc>
        <w:tc>
          <w:tcPr>
            <w:tcW w:w="4700" w:type="dxa"/>
            <w:vAlign w:val="bottom"/>
            <w:gridSpan w:val="2"/>
            <w:shd w:val="clear" w:color="auto" w:fill="CFF0FC"/>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114,294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18,827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New equipment sales</w:t>
            </w:r>
          </w:p>
        </w:tc>
        <w:tc>
          <w:tcPr>
            <w:tcW w:w="37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Services revenues</w:t>
            </w:r>
          </w:p>
        </w:tc>
        <w:tc>
          <w:tcPr>
            <w:tcW w:w="37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80"/>
              <w:spacing w:after="0"/>
              <w:rPr>
                <w:sz w:val="20"/>
                <w:szCs w:val="20"/>
                <w:color w:val="auto"/>
              </w:rPr>
            </w:pPr>
            <w:r>
              <w:rPr>
                <w:rFonts w:ascii="Arial" w:cs="Arial" w:eastAsia="Arial" w:hAnsi="Arial"/>
                <w:sz w:val="18"/>
                <w:szCs w:val="18"/>
                <w:color w:val="auto"/>
              </w:rPr>
              <w:t>Total segmented gross profit</w:t>
            </w:r>
          </w:p>
        </w:tc>
        <w:tc>
          <w:tcPr>
            <w:tcW w:w="3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142,259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Non-segmented gross loss</w:t>
            </w:r>
          </w:p>
        </w:tc>
        <w:tc>
          <w:tcPr>
            <w:tcW w:w="37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36"/>
        </w:trPr>
        <w:tc>
          <w:tcPr>
            <w:tcW w:w="39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gross profit</w:t>
            </w:r>
          </w:p>
        </w:tc>
        <w:tc>
          <w:tcPr>
            <w:tcW w:w="376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141,378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760" w:type="dxa"/>
            <w:vAlign w:val="bottom"/>
            <w:vMerge w:val="restart"/>
          </w:tcPr>
          <w:p>
            <w:pPr>
              <w:jc w:val="right"/>
              <w:ind w:right="1930"/>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-1943100</wp:posOffset>
            </wp:positionV>
            <wp:extent cx="123317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-992505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-675640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Balances at</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6"/>
              <w:spacing w:after="0" w:line="159"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75"/>
              <w:spacing w:after="0" w:line="15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3"/>
                <w:szCs w:val="13"/>
                <w:color w:val="auto"/>
              </w:rPr>
            </w:pP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identified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Equipment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181,281</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94,918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 rentals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1,451,795</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1,418,951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Parts and services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segment identified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1,646,674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1,526,793</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Non-segment identified assets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776,290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764,906</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2,422,964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operates primarily in the United States and our sales to international customers for both the three months ended March 31, 2023 and</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2022 were less than 1.0% of total revenues for the periods presented. No one customer accounted for more than 10% of our revenues on an overall or segment basis for any of the periods presented.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The following discussion summarizes the financial position of H&amp;E Equipment Services, Inc. and its subsidiaries as of March 31, 2023, and its results of operations for the three months ended March 31, 2023,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2022.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2022 and in Item 1A – “Risk Factors” in this Quarterly Report on Form 10-Q for the quarterly period ended March 31, 2023.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Founded in 1961 through our predecessor companies, we have been in the equipment services business for approximately 61 years and are one of the largest rental equipment companies in the nation. H&amp;E Equipment Services L.L.C. (“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p>
    <w:p>
      <w:pPr>
        <w:spacing w:after="0" w:line="129"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H&amp;E serves a diverse set of end markets in many high-growth geographies including branches throughout the Pacific Northwest, West Coast, Intermountain, Southwest, Gulf Coast, Southeast, Midwest and Mid-Atlantic regions. As of March 31, 2023, we operated 119 branch locations across 29 states throughout the United States.</w:t>
      </w:r>
    </w:p>
    <w:p>
      <w:pPr>
        <w:spacing w:after="0" w:line="15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While focusing primarily on equipment rentals, we additionally engage in used equipment sales, new equipment sales,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spacing w:after="0" w:line="142"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Effective September 17, 2021, the Company sold its Little Rock, Arkansas and Springdale, Arkansas owned-branches. The sale included the land, building, furniture and fixtures, and shop equipment for the two branches and we relinquished the majority of our Arkansas territory distribution rights with equipment manufacturers Komatsu, Wirtgen Group and Takeuchi.</w:t>
      </w:r>
    </w:p>
    <w:p>
      <w:pPr>
        <w:spacing w:after="0" w:line="142"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Effective October 1, 2021, the Company sold its crane business to a wholly-owned subsidiary of The Manitowoc Company, Inc. (“the Crane Sale”). The Crane Sale met the criteria for discontinued operations presentation and as such, the results of operations of the Crane Sale were reported in discontinued operations.</w:t>
      </w:r>
    </w:p>
    <w:p>
      <w:pPr>
        <w:spacing w:after="0" w:line="156"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auto"/>
        </w:rPr>
        <w:t>Effective October 1, 2022, the Company completed the acquisition of One Source Equipment Rentals, Inc. (“OSR”), a privately-held equipment rentals company with 10 branch locations primarily in the Midwest.</w:t>
      </w:r>
    </w:p>
    <w:p>
      <w:pPr>
        <w:spacing w:after="0" w:line="129"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Effective December 15, 2022, the Company sold its Komatsu distributorship in Louisiana. The sale included a branch location in Kenner, LA, a branch in Shreveport, LA and accompanying new equipment inventory, parts and supplies.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Item 7, included in Part II of our Annual Report on Form 10-K for the year ended December 31, 2022, presents the accounting policies and related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policies and estimates during the three months ended March 31, 2023. Our critical accounting policies include, among others, useful lives of rental equipment and property and equipment, acquisition accounting, goodwill, long-lived assets and income taxes.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8" w:name="page19"/>
    <w:bookmarkEnd w:id="18"/>
    <w:p>
      <w:pPr>
        <w:ind w:right="200" w:firstLine="374"/>
        <w:spacing w:after="0" w:line="263" w:lineRule="auto"/>
        <w:rPr>
          <w:sz w:val="20"/>
          <w:szCs w:val="20"/>
          <w:color w:val="auto"/>
        </w:rPr>
      </w:pPr>
      <w:r>
        <w:rPr>
          <w:rFonts w:ascii="Arial" w:cs="Arial" w:eastAsia="Arial" w:hAnsi="Arial"/>
          <w:sz w:val="18"/>
          <w:szCs w:val="18"/>
          <w:color w:val="auto"/>
        </w:rPr>
        <w:t>Information regarding our other significant accounting policies is included in Note 2 to our Consolidated Financial Statements in Item 8 of Part II of our Annual Report on Form 10-K for the year ended December 31, 2022 and in Note 2 to the Condensed Consolidated Financial Statements in this Quarterly Report on Form 10-Q.</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We have five reportable segments because we derive our revenues from five business activities: (1) equipment rentals; (2) used equipment sales; (3) new equipment sales; (4) parts sales; and (5) repair and maintenance services. Our primary segment is equipment rentals. These segments are based upon how we allocate resources and assess performance. In addition, we also have non-segmented revenues and costs that relate to equipment support activities.</w:t>
      </w:r>
    </w:p>
    <w:p>
      <w:pPr>
        <w:spacing w:after="0" w:line="40" w:lineRule="exact"/>
        <w:rPr>
          <w:sz w:val="20"/>
          <w:szCs w:val="20"/>
          <w:color w:val="auto"/>
        </w:rPr>
      </w:pPr>
    </w:p>
    <w:p>
      <w:pPr>
        <w:ind w:left="1020" w:right="100" w:hanging="504"/>
        <w:spacing w:after="0" w:line="270"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Equipment Rentals. </w:t>
      </w:r>
      <w:r>
        <w:rPr>
          <w:rFonts w:ascii="Arial" w:cs="Arial" w:eastAsia="Arial" w:hAnsi="Arial"/>
          <w:sz w:val="17"/>
          <w:szCs w:val="17"/>
          <w:color w:val="auto"/>
        </w:rPr>
        <w:t>Our rental operation is our principal focus and we primarily rent our core types of construction and industrial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total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w:t>
      </w:r>
    </w:p>
    <w:p>
      <w:pPr>
        <w:spacing w:after="0" w:line="70" w:lineRule="exact"/>
        <w:rPr>
          <w:rFonts w:ascii="Arial" w:cs="Arial" w:eastAsia="Arial" w:hAnsi="Arial"/>
          <w:sz w:val="17"/>
          <w:szCs w:val="17"/>
          <w:color w:val="auto"/>
        </w:rPr>
      </w:pPr>
    </w:p>
    <w:p>
      <w:pPr>
        <w:ind w:left="1020" w:right="20" w:hanging="504"/>
        <w:spacing w:after="0" w:line="31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Used Equipment Sales. </w:t>
      </w:r>
      <w:r>
        <w:rPr>
          <w:rFonts w:ascii="Arial" w:cs="Arial" w:eastAsia="Arial" w:hAnsi="Arial"/>
          <w:sz w:val="16"/>
          <w:szCs w:val="16"/>
          <w:color w:val="auto"/>
        </w:rPr>
        <w:t>Our used equipment sales are generated primarily from sales from our rental fleet, as well as from sales of inventoried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that we acquire through trade-ins from our equipment customers. Sales of our rental fleet equipment allow us to manage the size, quality, composition and age of our rental fleet, and provide us with a profitable distribution channel for the disposal of rental equipment.</w:t>
      </w:r>
    </w:p>
    <w:p>
      <w:pPr>
        <w:spacing w:after="0" w:line="39" w:lineRule="exact"/>
        <w:rPr>
          <w:rFonts w:ascii="Arial" w:cs="Arial" w:eastAsia="Arial" w:hAnsi="Arial"/>
          <w:sz w:val="16"/>
          <w:szCs w:val="16"/>
          <w:color w:val="auto"/>
        </w:rPr>
      </w:pPr>
    </w:p>
    <w:p>
      <w:pPr>
        <w:ind w:left="1020" w:right="180" w:hanging="504"/>
        <w:spacing w:after="0" w:line="34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Equipment Sales. </w:t>
      </w:r>
      <w:r>
        <w:rPr>
          <w:rFonts w:ascii="Arial" w:cs="Arial" w:eastAsia="Arial" w:hAnsi="Arial"/>
          <w:sz w:val="16"/>
          <w:szCs w:val="16"/>
          <w:color w:val="auto"/>
        </w:rPr>
        <w:t>We sell equipment through a professional sales force. While sales of new equipment are impacted by the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equipment from the manufacturer, we believe our relationship with some of our key suppliers improves our ability to obtain equipment.</w:t>
      </w:r>
    </w:p>
    <w:p>
      <w:pPr>
        <w:spacing w:after="0" w:line="16"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Our parts business provides parts to our own rental fleet and sells parts for the equipment we sell. In order to provide timely parts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support to our rental fleet as well as our customers, we maintain a parts inventory.</w:t>
      </w:r>
    </w:p>
    <w:p>
      <w:pPr>
        <w:spacing w:after="0" w:line="61" w:lineRule="exact"/>
        <w:rPr>
          <w:rFonts w:ascii="Arial" w:cs="Arial" w:eastAsia="Arial" w:hAnsi="Arial"/>
          <w:sz w:val="18"/>
          <w:szCs w:val="18"/>
          <w:color w:val="auto"/>
        </w:rPr>
      </w:pPr>
    </w:p>
    <w:p>
      <w:pPr>
        <w:jc w:val="both"/>
        <w:ind w:left="1020" w:right="300" w:hanging="504"/>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Our services operation provides maintenance and repair services to our own rental fleet and for our customers’ equipment at our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as well as at our customers’ locations. In addition to repair and maintenance on an as-needed or scheduled basis, we also provide ongoing preventative maintenance services to industrial customers.</w:t>
      </w:r>
    </w:p>
    <w:p>
      <w:pPr>
        <w:spacing w:after="0" w:line="156"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Our non-segmented revenues and costs relate primarily to ancillary charges associated with equipment maintenance and repair services, and are not generally allocated to reportable segments.</w:t>
      </w:r>
    </w:p>
    <w:p>
      <w:pPr>
        <w:spacing w:after="0" w:line="12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For additional information about our business segments, see Note 11 to the Condensed Consolidated Financial Statements in this Quarterly Report on Form 10-Q.</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Sources</w:t>
      </w:r>
    </w:p>
    <w:p>
      <w:pPr>
        <w:spacing w:after="0" w:line="11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We generate all of our total revenues from our five business segments and our non-segmented equipment support activities. Equipment rentals account for the majority of our total revenues. For the three months ended March 31, 2023, of our total revenues, approximately 81% were attributable to equipment rentals, 10% were attributable to used equipment sales, 2% were attributable to new equipment sales, 4% were attributable to parts sales and 2% were attributable to our services revenues.</w:t>
      </w:r>
    </w:p>
    <w:p>
      <w:pPr>
        <w:spacing w:after="0" w:line="145"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and general economic conditions.</w:t>
      </w:r>
    </w:p>
    <w:p>
      <w:pPr>
        <w:spacing w:after="0" w:line="83" w:lineRule="exact"/>
        <w:rPr>
          <w:sz w:val="20"/>
          <w:szCs w:val="20"/>
          <w:color w:val="auto"/>
        </w:rPr>
      </w:pPr>
    </w:p>
    <w:p>
      <w:pPr>
        <w:jc w:val="both"/>
        <w:ind w:left="380" w:right="80"/>
        <w:spacing w:after="0" w:line="296" w:lineRule="auto"/>
        <w:rPr>
          <w:sz w:val="20"/>
          <w:szCs w:val="20"/>
          <w:color w:val="auto"/>
        </w:rPr>
      </w:pPr>
      <w:r>
        <w:rPr>
          <w:rFonts w:ascii="Arial" w:cs="Arial" w:eastAsia="Arial" w:hAnsi="Arial"/>
          <w:sz w:val="16"/>
          <w:szCs w:val="16"/>
          <w:i w:val="1"/>
          <w:iCs w:val="1"/>
          <w:color w:val="auto"/>
        </w:rPr>
        <w:t xml:space="preserve">Equipment Rentals. </w:t>
      </w:r>
      <w:r>
        <w:rPr>
          <w:rFonts w:ascii="Arial" w:cs="Arial" w:eastAsia="Arial" w:hAnsi="Arial"/>
          <w:sz w:val="16"/>
          <w:szCs w:val="16"/>
          <w:color w:val="auto"/>
        </w:rPr>
        <w:t>Our rental operation primarily represents revenues from renting owned equipment of our core types of construction and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9" w:name="page20"/>
    <w:bookmarkEnd w:id="19"/>
    <w:p>
      <w:pPr>
        <w:ind w:left="380" w:right="220"/>
        <w:spacing w:after="0" w:line="341" w:lineRule="auto"/>
        <w:rPr>
          <w:sz w:val="20"/>
          <w:szCs w:val="20"/>
          <w:color w:val="auto"/>
        </w:rPr>
      </w:pPr>
      <w:r>
        <w:rPr>
          <w:rFonts w:ascii="Arial" w:cs="Arial" w:eastAsia="Arial" w:hAnsi="Arial"/>
          <w:sz w:val="16"/>
          <w:szCs w:val="16"/>
          <w:i w:val="1"/>
          <w:iCs w:val="1"/>
          <w:color w:val="auto"/>
        </w:rPr>
        <w:t xml:space="preserve">Used Equipment Sales. </w:t>
      </w:r>
      <w:r>
        <w:rPr>
          <w:rFonts w:ascii="Arial" w:cs="Arial" w:eastAsia="Arial" w:hAnsi="Arial"/>
          <w:sz w:val="16"/>
          <w:szCs w:val="16"/>
          <w:color w:val="auto"/>
        </w:rPr>
        <w:t>We generate the majority of our used equipment sales revenues by selling equipment from our rental fleet. The remainder of</w:t>
      </w:r>
      <w:r>
        <w:rPr>
          <w:rFonts w:ascii="Arial" w:cs="Arial" w:eastAsia="Arial" w:hAnsi="Arial"/>
          <w:sz w:val="16"/>
          <w:szCs w:val="16"/>
          <w:i w:val="1"/>
          <w:iCs w:val="1"/>
          <w:color w:val="auto"/>
        </w:rPr>
        <w:t xml:space="preserve"> </w:t>
      </w:r>
      <w:r>
        <w:rPr>
          <w:rFonts w:ascii="Arial" w:cs="Arial" w:eastAsia="Arial" w:hAnsi="Arial"/>
          <w:sz w:val="16"/>
          <w:szCs w:val="16"/>
          <w:color w:val="auto"/>
        </w:rPr>
        <w:t>our used equipment sales revenues comes from the sale of inventoried equipment that we acquire through trade-ins from our equipment customers.</w:t>
      </w:r>
    </w:p>
    <w:p>
      <w:pPr>
        <w:spacing w:after="0" w:line="17" w:lineRule="exact"/>
        <w:rPr>
          <w:sz w:val="20"/>
          <w:szCs w:val="20"/>
          <w:color w:val="auto"/>
        </w:rPr>
      </w:pPr>
    </w:p>
    <w:p>
      <w:pPr>
        <w:ind w:left="380" w:right="600"/>
        <w:spacing w:after="0" w:line="277" w:lineRule="auto"/>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Our new equipment sales operation sells new equipment across all of our core categories of equipment, primarily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earthmoving product category.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We primarily generate revenues from the sale of parts for equipment that we rent or sell.</w:t>
      </w:r>
    </w:p>
    <w:p>
      <w:pPr>
        <w:spacing w:after="0" w:line="117" w:lineRule="exact"/>
        <w:rPr>
          <w:sz w:val="20"/>
          <w:szCs w:val="20"/>
          <w:color w:val="auto"/>
        </w:rPr>
      </w:pPr>
    </w:p>
    <w:p>
      <w:pPr>
        <w:ind w:left="380" w:right="460"/>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We primarily derive our services revenues from maintenance and repair services for equipment that we rent or sell and from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equipment.</w:t>
      </w:r>
    </w:p>
    <w:p>
      <w:pPr>
        <w:spacing w:after="0" w:line="62" w:lineRule="exact"/>
        <w:rPr>
          <w:sz w:val="20"/>
          <w:szCs w:val="20"/>
          <w:color w:val="auto"/>
        </w:rPr>
      </w:pPr>
    </w:p>
    <w:p>
      <w:pPr>
        <w:ind w:left="380" w:right="340"/>
        <w:spacing w:after="0" w:line="277" w:lineRule="auto"/>
        <w:rPr>
          <w:sz w:val="20"/>
          <w:szCs w:val="20"/>
          <w:color w:val="auto"/>
        </w:rPr>
      </w:pPr>
      <w:r>
        <w:rPr>
          <w:rFonts w:ascii="Arial" w:cs="Arial" w:eastAsia="Arial" w:hAnsi="Arial"/>
          <w:sz w:val="18"/>
          <w:szCs w:val="18"/>
          <w:color w:val="auto"/>
        </w:rPr>
        <w:t>Our non-segmented revenues for the periods presented in this Quarterly Report on Form 10-Q relate primarily to ancillary charges associated with equipment maintenance and repair services, and are not generally allocated to reportable segments.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Principal Costs and Expenses</w:t>
      </w:r>
    </w:p>
    <w:p>
      <w:pPr>
        <w:spacing w:after="0" w:line="11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Our largest expenses are rental expenses, rental depreciation, the costs associated with the used equipment we sell, the costs to purchase new equipment we sell, and costs associated with parts sales and services, all of which are included in cost of revenues. For the three months ended March 31, 2023, our total cost of revenues was $181.1 million. Our operating expenses consist principally of selling, general and administrative (“SG&amp;A”) expenses. For the three months ended March 31, 2023, our SG&amp;A expenses were $95.3 million. In addition, we have interest expense related to our debt instruments. Operating expenses and all other income and expense items below the gross profit line of our consolidated statements of income are not generally allocated to our reportable segments.</w:t>
      </w:r>
    </w:p>
    <w:p>
      <w:pPr>
        <w:spacing w:after="0" w:line="150"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We are also subject to federal and state income taxes. Future income tax examinations by state and federal agencies could result in additional income tax expense based on potential outcomes of such matters.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380"/>
        <w:spacing w:after="0" w:line="256" w:lineRule="auto"/>
        <w:rPr>
          <w:sz w:val="20"/>
          <w:szCs w:val="20"/>
          <w:color w:val="auto"/>
        </w:rPr>
      </w:pPr>
      <w:r>
        <w:rPr>
          <w:rFonts w:ascii="Arial" w:cs="Arial" w:eastAsia="Arial" w:hAnsi="Arial"/>
          <w:sz w:val="18"/>
          <w:szCs w:val="18"/>
          <w:i w:val="1"/>
          <w:iCs w:val="1"/>
          <w:color w:val="auto"/>
        </w:rPr>
        <w:t xml:space="preserve">Rental Depreciation. </w:t>
      </w:r>
      <w:r>
        <w:rPr>
          <w:rFonts w:ascii="Arial" w:cs="Arial" w:eastAsia="Arial" w:hAnsi="Arial"/>
          <w:sz w:val="18"/>
          <w:szCs w:val="18"/>
          <w:color w:val="auto"/>
        </w:rPr>
        <w:t>Depreciation of rental equipment represents the depreciation costs attributable to rental equipment. Estimated useful lives vary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spacing w:after="0" w:line="123" w:lineRule="exact"/>
        <w:rPr>
          <w:sz w:val="20"/>
          <w:szCs w:val="20"/>
          <w:color w:val="auto"/>
        </w:rPr>
      </w:pPr>
    </w:p>
    <w:p>
      <w:pPr>
        <w:ind w:left="380" w:right="640"/>
        <w:spacing w:after="0" w:line="307" w:lineRule="auto"/>
        <w:rPr>
          <w:sz w:val="20"/>
          <w:szCs w:val="20"/>
          <w:color w:val="auto"/>
        </w:rPr>
      </w:pPr>
      <w:r>
        <w:rPr>
          <w:rFonts w:ascii="Arial" w:cs="Arial" w:eastAsia="Arial" w:hAnsi="Arial"/>
          <w:sz w:val="17"/>
          <w:szCs w:val="17"/>
          <w:i w:val="1"/>
          <w:iCs w:val="1"/>
          <w:color w:val="auto"/>
        </w:rPr>
        <w:t xml:space="preserve">Rental Expense. </w:t>
      </w:r>
      <w:r>
        <w:rPr>
          <w:rFonts w:ascii="Arial" w:cs="Arial" w:eastAsia="Arial" w:hAnsi="Arial"/>
          <w:sz w:val="17"/>
          <w:szCs w:val="17"/>
          <w:color w:val="auto"/>
        </w:rPr>
        <w:t>Rental expense represents the costs associated with rental equipment, including, among other things, the cost of repairing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our rental equipment, property taxes on our fleet and other miscellaneous costs of owning rental equipment.</w:t>
      </w:r>
    </w:p>
    <w:p>
      <w:pPr>
        <w:spacing w:after="0" w:line="80" w:lineRule="exact"/>
        <w:rPr>
          <w:sz w:val="20"/>
          <w:szCs w:val="20"/>
          <w:color w:val="auto"/>
        </w:rPr>
      </w:pPr>
    </w:p>
    <w:p>
      <w:pPr>
        <w:ind w:left="380" w:right="580"/>
        <w:spacing w:after="0" w:line="307" w:lineRule="auto"/>
        <w:rPr>
          <w:sz w:val="20"/>
          <w:szCs w:val="20"/>
          <w:color w:val="auto"/>
        </w:rPr>
      </w:pPr>
      <w:r>
        <w:rPr>
          <w:rFonts w:ascii="Arial" w:cs="Arial" w:eastAsia="Arial" w:hAnsi="Arial"/>
          <w:sz w:val="17"/>
          <w:szCs w:val="17"/>
          <w:i w:val="1"/>
          <w:iCs w:val="1"/>
          <w:color w:val="auto"/>
        </w:rPr>
        <w:t xml:space="preserve">Rental Other. </w:t>
      </w:r>
      <w:r>
        <w:rPr>
          <w:rFonts w:ascii="Arial" w:cs="Arial" w:eastAsia="Arial" w:hAnsi="Arial"/>
          <w:sz w:val="17"/>
          <w:szCs w:val="17"/>
          <w:color w:val="auto"/>
        </w:rPr>
        <w:t>Rental other expenses consist primarily of equipment support activities that we provide our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services, damage waiver policies, environmental fees and other recovery fees.</w:t>
      </w:r>
    </w:p>
    <w:p>
      <w:pPr>
        <w:spacing w:after="0" w:line="66" w:lineRule="exact"/>
        <w:rPr>
          <w:sz w:val="20"/>
          <w:szCs w:val="20"/>
          <w:color w:val="auto"/>
        </w:rPr>
      </w:pPr>
    </w:p>
    <w:p>
      <w:pPr>
        <w:ind w:left="380" w:right="160"/>
        <w:spacing w:after="0" w:line="263" w:lineRule="auto"/>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Cost of used equipment sold consists of the net book value of rental equipment for used equipment sold from our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equipment costs for used equipment we purchase for sale or the trade-in value of used equipment that we obtain from customers in equipment sales transactions.</w:t>
      </w:r>
    </w:p>
    <w:p>
      <w:pPr>
        <w:spacing w:after="0" w:line="115" w:lineRule="exact"/>
        <w:rPr>
          <w:sz w:val="20"/>
          <w:szCs w:val="20"/>
          <w:color w:val="auto"/>
        </w:rPr>
      </w:pPr>
    </w:p>
    <w:p>
      <w:pPr>
        <w:ind w:left="380" w:right="240"/>
        <w:spacing w:after="0" w:line="277" w:lineRule="auto"/>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Cost of new equipment sold primarily consists of the equipment cost of the new equipment that is sold, net of any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given to the customer towards the equipment for trade-ins.</w:t>
      </w:r>
    </w:p>
    <w:p>
      <w:pPr>
        <w:spacing w:after="0" w:line="102"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Cost of parts sales represents costs attributable to the sale of parts used in the maintenance and repair of equipment on-rent by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directly to customers for their owned equipment.</w:t>
      </w:r>
    </w:p>
    <w:p>
      <w:pPr>
        <w:spacing w:after="0" w:line="89" w:lineRule="exact"/>
        <w:rPr>
          <w:sz w:val="20"/>
          <w:szCs w:val="20"/>
          <w:color w:val="auto"/>
        </w:rPr>
      </w:pPr>
    </w:p>
    <w:p>
      <w:pPr>
        <w:ind w:left="380" w:right="240"/>
        <w:spacing w:after="0" w:line="277" w:lineRule="auto"/>
        <w:rPr>
          <w:sz w:val="20"/>
          <w:szCs w:val="20"/>
          <w:color w:val="auto"/>
        </w:rPr>
      </w:pPr>
      <w:r>
        <w:rPr>
          <w:rFonts w:ascii="Arial" w:cs="Arial" w:eastAsia="Arial" w:hAnsi="Arial"/>
          <w:sz w:val="18"/>
          <w:szCs w:val="18"/>
          <w:i w:val="1"/>
          <w:iCs w:val="1"/>
          <w:color w:val="auto"/>
        </w:rPr>
        <w:t xml:space="preserve">Services Support. </w:t>
      </w:r>
      <w:r>
        <w:rPr>
          <w:rFonts w:ascii="Arial" w:cs="Arial" w:eastAsia="Arial" w:hAnsi="Arial"/>
          <w:sz w:val="18"/>
          <w:szCs w:val="18"/>
          <w:color w:val="auto"/>
        </w:rPr>
        <w:t>Cost of services revenues represents costs attributable to service provided for the maintenance and repair of equipment on-rent by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of customer-owned equipment.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non-segmented other expenses include costs associated with ancillary charges associated with equipment maintenance and repair services</w:t>
      </w:r>
      <w:r>
        <w:rPr>
          <w:rFonts w:ascii="Arial" w:cs="Arial" w:eastAsia="Arial" w:hAnsi="Arial"/>
          <w:sz w:val="16"/>
          <w:szCs w:val="16"/>
          <w:i w:val="1"/>
          <w:iCs w:val="1"/>
          <w:color w:val="auto"/>
        </w:rPr>
        <w:t>.</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Principal Cash Flows</w:t>
      </w:r>
    </w:p>
    <w:p>
      <w:pPr>
        <w:spacing w:after="0" w:line="117"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We generate cash primarily from our operating activities and, historically, we have used cash flows from operating activities and available borrowings under the Credit Facility as the primary sources of funds to purchase inventory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used and new equipment inventories, which may increase or decrease in response to current and expected demand, and the size and timing of our trade accounts payable payment cycles.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Rental Fleet</w:t>
      </w:r>
    </w:p>
    <w:p>
      <w:pPr>
        <w:spacing w:after="0" w:line="117" w:lineRule="exact"/>
        <w:rPr>
          <w:sz w:val="20"/>
          <w:szCs w:val="20"/>
          <w:color w:val="auto"/>
        </w:rPr>
      </w:pPr>
    </w:p>
    <w:p>
      <w:pPr>
        <w:ind w:right="360" w:firstLine="374"/>
        <w:spacing w:after="0" w:line="259" w:lineRule="auto"/>
        <w:rPr>
          <w:sz w:val="20"/>
          <w:szCs w:val="20"/>
          <w:color w:val="auto"/>
        </w:rPr>
      </w:pPr>
      <w:r>
        <w:rPr>
          <w:rFonts w:ascii="Arial" w:cs="Arial" w:eastAsia="Arial" w:hAnsi="Arial"/>
          <w:sz w:val="18"/>
          <w:szCs w:val="18"/>
          <w:color w:val="auto"/>
        </w:rPr>
        <w:t>A substantial portion of our overall value is in our rental fleet equipment. The net book value of our rental equipment at March 31, 2023 was $1.5 billion, or approximately 59.9% of our total assets. Our rental fleet as of March 31, 2023 consisted of 56,581 units having an original acquisition cost (which we define as the cost originally paid to manufacturers) of approximately $2.4 billion. As of March 31, 2023, our rental fleet composition was as follows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 of</w:t>
            </w:r>
          </w:p>
        </w:tc>
        <w:tc>
          <w:tcPr>
            <w:tcW w:w="8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4"/>
                <w:szCs w:val="14"/>
                <w:color w:val="auto"/>
              </w:rPr>
            </w:pPr>
          </w:p>
        </w:tc>
        <w:tc>
          <w:tcPr>
            <w:tcW w:w="12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8"/>
              </w:rPr>
              <w:t>Original</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2"/>
                <w:szCs w:val="12"/>
                <w:color w:val="auto"/>
              </w:rPr>
            </w:pPr>
          </w:p>
        </w:tc>
        <w:tc>
          <w:tcPr>
            <w:tcW w:w="142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Total</w:t>
            </w:r>
          </w:p>
        </w:tc>
        <w:tc>
          <w:tcPr>
            <w:tcW w:w="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2"/>
                <w:szCs w:val="12"/>
                <w:color w:val="auto"/>
              </w:rPr>
            </w:pPr>
          </w:p>
        </w:tc>
        <w:tc>
          <w:tcPr>
            <w:tcW w:w="12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Age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ind w:left="380"/>
              <w:spacing w:after="0"/>
              <w:rPr>
                <w:sz w:val="20"/>
                <w:szCs w:val="20"/>
                <w:color w:val="auto"/>
              </w:rPr>
            </w:pPr>
            <w:r>
              <w:rPr>
                <w:rFonts w:ascii="Arial" w:cs="Arial" w:eastAsia="Arial" w:hAnsi="Arial"/>
                <w:sz w:val="14"/>
                <w:szCs w:val="14"/>
                <w:b w:val="1"/>
                <w:bCs w:val="1"/>
                <w:color w:val="auto"/>
              </w:rPr>
              <w:t>Units</w:t>
            </w: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Aerial Work Platforms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25,970</w:t>
            </w:r>
          </w:p>
        </w:tc>
        <w:tc>
          <w:tcPr>
            <w:tcW w:w="2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8"/>
                <w:szCs w:val="18"/>
                <w:color w:val="auto"/>
              </w:rPr>
              <w:t>Earthmoving</w:t>
            </w:r>
          </w:p>
        </w:tc>
        <w:tc>
          <w:tcPr>
            <w:tcW w:w="1020" w:type="dxa"/>
            <w:vAlign w:val="bottom"/>
          </w:tcPr>
          <w:p>
            <w:pPr>
              <w:jc w:val="right"/>
              <w:spacing w:after="0"/>
              <w:rPr>
                <w:sz w:val="20"/>
                <w:szCs w:val="20"/>
                <w:color w:val="auto"/>
              </w:rPr>
            </w:pPr>
            <w:r>
              <w:rPr>
                <w:rFonts w:ascii="Arial" w:cs="Arial" w:eastAsia="Arial" w:hAnsi="Arial"/>
                <w:sz w:val="18"/>
                <w:szCs w:val="18"/>
                <w:color w:val="auto"/>
              </w:rPr>
              <w:t>7,852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27.5 %</w:t>
            </w: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Material Handling Equipment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1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28.4 %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13,682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9.2 %</w:t>
            </w: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56,581</w:t>
            </w:r>
          </w:p>
        </w:tc>
        <w:tc>
          <w:tcPr>
            <w:tcW w:w="2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2,435.0</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The mix and age of our rental fleet, as well as our cash flows, are impacted by sales of equipment from the rental fleet, which are influenced by used equipment pricing at the retail and secondary auction market levels, the demand for our rental fleet, the availability of new equipment and the capital expenditures to acquire new rental fleet equipment.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spacing w:after="0" w:line="124" w:lineRule="exact"/>
        <w:rPr>
          <w:sz w:val="20"/>
          <w:szCs w:val="20"/>
          <w:color w:val="auto"/>
        </w:rPr>
      </w:pPr>
    </w:p>
    <w:p>
      <w:pPr>
        <w:jc w:val="both"/>
        <w:ind w:right="40" w:firstLine="374"/>
        <w:spacing w:after="0" w:line="259" w:lineRule="auto"/>
        <w:rPr>
          <w:sz w:val="20"/>
          <w:szCs w:val="20"/>
          <w:color w:val="auto"/>
        </w:rPr>
      </w:pPr>
      <w:r>
        <w:rPr>
          <w:rFonts w:ascii="Arial" w:cs="Arial" w:eastAsia="Arial" w:hAnsi="Arial"/>
          <w:sz w:val="18"/>
          <w:szCs w:val="18"/>
          <w:color w:val="auto"/>
        </w:rPr>
        <w:t>The original acquisition cost of our gross rental fleet increased by approximately $76.6 million, or 3.2%, for the three months ended March 31, 2023. The average age of our rental fleet equipment increased by approximately 0.1 months for the three months ended March 31, 2023. Our average rental rates for the three months ended March 31, 2023 were approximately 8.8% higher than last year (see further discussion on rental rates in “Results of Operations” below).</w:t>
      </w:r>
    </w:p>
    <w:p>
      <w:pPr>
        <w:spacing w:after="0" w:line="158"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The rental equipment mix among our core product lines for the three months ended March 31, 2023 was largely consistent with that of the prior year comparable period as a percentage of total units available for rent and as a percentage of original acquisition cost.</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Principal External Factors that Affect our Businesses</w:t>
      </w:r>
    </w:p>
    <w:p>
      <w:pPr>
        <w:spacing w:after="0" w:line="117" w:lineRule="exact"/>
        <w:rPr>
          <w:sz w:val="20"/>
          <w:szCs w:val="20"/>
          <w:color w:val="auto"/>
        </w:rPr>
      </w:pPr>
    </w:p>
    <w:p>
      <w:pPr>
        <w:ind w:right="320" w:firstLine="374"/>
        <w:spacing w:after="0" w:line="286" w:lineRule="auto"/>
        <w:rPr>
          <w:sz w:val="20"/>
          <w:szCs w:val="20"/>
          <w:color w:val="auto"/>
        </w:rPr>
      </w:pPr>
      <w:r>
        <w:rPr>
          <w:rFonts w:ascii="Arial" w:cs="Arial" w:eastAsia="Arial" w:hAnsi="Arial"/>
          <w:sz w:val="17"/>
          <w:szCs w:val="17"/>
          <w:color w:val="auto"/>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2022 and in Item 1A—“Risk Factors” in this Quarterly Report on Form 10-Q for the quarterly period ended March 31, 2023.</w:t>
      </w:r>
    </w:p>
    <w:p>
      <w:pPr>
        <w:spacing w:after="0" w:line="56" w:lineRule="exact"/>
        <w:rPr>
          <w:sz w:val="20"/>
          <w:szCs w:val="20"/>
          <w:color w:val="auto"/>
        </w:rPr>
      </w:pPr>
    </w:p>
    <w:p>
      <w:pPr>
        <w:ind w:left="1020" w:right="80" w:hanging="503"/>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Economic downturns. </w:t>
      </w:r>
      <w:r>
        <w:rPr>
          <w:rFonts w:ascii="Arial" w:cs="Arial" w:eastAsia="Arial" w:hAnsi="Arial"/>
          <w:sz w:val="17"/>
          <w:szCs w:val="17"/>
          <w:color w:val="auto"/>
        </w:rPr>
        <w:t>The demand for our products is dependent on the general economy, the stability of the global credit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 which our customers operate or serve, and other factors. Downturns in the general economy or in the construction and industrial markets, as well as adverse credit market conditions, can cause demand for our products to materially decrease.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1020" w:right="160" w:hanging="503"/>
        <w:spacing w:after="0" w:line="25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Spending levels by customers. </w:t>
      </w:r>
      <w:r>
        <w:rPr>
          <w:rFonts w:ascii="Arial" w:cs="Arial" w:eastAsia="Arial" w:hAnsi="Arial"/>
          <w:sz w:val="18"/>
          <w:szCs w:val="18"/>
          <w:color w:val="auto"/>
        </w:rPr>
        <w:t>Rentals and sales of equipment to the construction industry and to industrial companies constitute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total revenues. As a result, we depend upon customers in these businesses and their ability and willingness to make capital expenditures to rent or buy specialized equipment. Accordingly, our business is impacted by fluctuations in customers’ spending levels on capital expenditures and by the availability of credit to those customers.</w:t>
      </w:r>
    </w:p>
    <w:p>
      <w:pPr>
        <w:spacing w:after="0" w:line="77" w:lineRule="exact"/>
        <w:rPr>
          <w:rFonts w:ascii="Arial" w:cs="Arial" w:eastAsia="Arial" w:hAnsi="Arial"/>
          <w:sz w:val="18"/>
          <w:szCs w:val="18"/>
          <w:color w:val="auto"/>
        </w:rPr>
      </w:pPr>
    </w:p>
    <w:p>
      <w:pPr>
        <w:ind w:left="1020" w:right="460" w:hanging="503"/>
        <w:spacing w:after="0" w:line="31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Adverse weather. </w:t>
      </w:r>
      <w:r>
        <w:rPr>
          <w:rFonts w:ascii="Arial" w:cs="Arial" w:eastAsia="Arial" w:hAnsi="Arial"/>
          <w:sz w:val="16"/>
          <w:szCs w:val="16"/>
          <w:color w:val="auto"/>
        </w:rPr>
        <w:t>Adverse weather in a geographic region in which we operate may depress demand for equipment in that region. Our</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spacing w:after="0" w:line="39" w:lineRule="exact"/>
        <w:rPr>
          <w:rFonts w:ascii="Arial" w:cs="Arial" w:eastAsia="Arial" w:hAnsi="Arial"/>
          <w:sz w:val="16"/>
          <w:szCs w:val="16"/>
          <w:color w:val="auto"/>
        </w:rPr>
      </w:pPr>
    </w:p>
    <w:p>
      <w:pPr>
        <w:ind w:left="1020" w:right="38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Regional and Industry-Specific Activity and Trends. </w:t>
      </w:r>
      <w:r>
        <w:rPr>
          <w:rFonts w:ascii="Arial" w:cs="Arial" w:eastAsia="Arial" w:hAnsi="Arial"/>
          <w:sz w:val="18"/>
          <w:szCs w:val="18"/>
          <w:color w:val="auto"/>
        </w:rPr>
        <w:t>Expenditures by our customers may be impacted by the overall level of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in the markets and regions in which they operate, the price of oil and other commodities, the price of materials, supply chain disruptions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firstLine="374"/>
        <w:spacing w:after="0" w:line="263" w:lineRule="auto"/>
        <w:rPr>
          <w:sz w:val="20"/>
          <w:szCs w:val="20"/>
          <w:color w:val="auto"/>
        </w:rPr>
      </w:pPr>
      <w:r>
        <w:rPr>
          <w:rFonts w:ascii="Arial" w:cs="Arial" w:eastAsia="Arial" w:hAnsi="Arial"/>
          <w:sz w:val="18"/>
          <w:szCs w:val="18"/>
          <w:color w:val="auto"/>
        </w:rPr>
        <w:t>The tables included in the period-to-period comparisons below provide summaries of our revenues and gross profits for our business segments and non-segmented revenues for the three months ended March 31, 2023 and 2022. The period-to-period comparisons of our financial results are not necessarily indicative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the Three Months Ended March 31, 2022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80" w:type="dxa"/>
            <w:vAlign w:val="bottom"/>
          </w:tcPr>
          <w:p>
            <w:pPr>
              <w:ind w:left="38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232,076</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177,182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54,894</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56"/>
        </w:trPr>
        <w:tc>
          <w:tcPr>
            <w:tcW w:w="578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29,932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22,043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7,889</w:t>
            </w:r>
          </w:p>
        </w:tc>
        <w:tc>
          <w:tcPr>
            <w:tcW w:w="220" w:type="dxa"/>
            <w:vAlign w:val="bottom"/>
          </w:tcPr>
          <w:p>
            <w:pPr>
              <w:spacing w:after="0"/>
              <w:rPr>
                <w:sz w:val="22"/>
                <w:szCs w:val="22"/>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24"/>
        </w:trPr>
        <w:tc>
          <w:tcPr>
            <w:tcW w:w="5780" w:type="dxa"/>
            <w:vAlign w:val="bottom"/>
          </w:tcPr>
          <w:p>
            <w:pPr>
              <w:ind w:left="480"/>
              <w:spacing w:after="0"/>
              <w:rPr>
                <w:sz w:val="20"/>
                <w:szCs w:val="20"/>
                <w:color w:val="auto"/>
              </w:rPr>
            </w:pPr>
            <w:r>
              <w:rPr>
                <w:rFonts w:ascii="Arial" w:cs="Arial" w:eastAsia="Arial" w:hAnsi="Arial"/>
                <w:sz w:val="18"/>
                <w:szCs w:val="18"/>
                <w:color w:val="auto"/>
              </w:rPr>
              <w:t>Total equipment rentals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262,008</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199,225</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62,783</w:t>
            </w: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7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32,115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10,589</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(18,218 )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12,157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(3,902 )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(948 )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Non-Segmented other revenues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(272 )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322,482</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272,450</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50,032</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8"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were approximately $322.5 million for the three months ended March 31, 2023 compared to $272.5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2022, an increase of $50.0 million, or 18.4%. Revenues for all reportable segments and non-segmented other revenues are further discussed below.</w:t>
      </w:r>
    </w:p>
    <w:p>
      <w:pPr>
        <w:spacing w:after="0" w:line="156" w:lineRule="exact"/>
        <w:rPr>
          <w:sz w:val="20"/>
          <w:szCs w:val="20"/>
          <w:color w:val="auto"/>
        </w:rPr>
      </w:pPr>
    </w:p>
    <w:p>
      <w:pPr>
        <w:ind w:right="160" w:firstLine="374"/>
        <w:spacing w:after="0" w:line="311" w:lineRule="auto"/>
        <w:rPr>
          <w:sz w:val="20"/>
          <w:szCs w:val="20"/>
          <w:color w:val="auto"/>
        </w:rPr>
      </w:pPr>
      <w:r>
        <w:rPr>
          <w:rFonts w:ascii="Arial" w:cs="Arial" w:eastAsia="Arial" w:hAnsi="Arial"/>
          <w:sz w:val="16"/>
          <w:szCs w:val="16"/>
          <w:i w:val="1"/>
          <w:iCs w:val="1"/>
          <w:color w:val="auto"/>
        </w:rPr>
        <w:t>Equipment Rental Revenues</w:t>
      </w:r>
      <w:r>
        <w:rPr>
          <w:rFonts w:ascii="Arial" w:cs="Arial" w:eastAsia="Arial" w:hAnsi="Arial"/>
          <w:sz w:val="16"/>
          <w:szCs w:val="16"/>
          <w:color w:val="auto"/>
        </w:rPr>
        <w:t>. Our total revenues from equipment rentals for the three months ended March 31, 2023 increased approximately $62.8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31.5%, to $262.0 million from $199.2 million in the three months ended March 31, 2022. The increase in equipment rental revenues was largely due to our larger fleet and increased rental rates as compared to the prior year. See Rentals and Rentals Other below for additional information.</w:t>
      </w:r>
    </w:p>
    <w:p>
      <w:pPr>
        <w:spacing w:after="0" w:line="107"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i w:val="1"/>
          <w:iCs w:val="1"/>
          <w:color w:val="auto"/>
        </w:rPr>
        <w:t>Rentals</w:t>
      </w:r>
      <w:r>
        <w:rPr>
          <w:rFonts w:ascii="Arial" w:cs="Arial" w:eastAsia="Arial" w:hAnsi="Arial"/>
          <w:sz w:val="17"/>
          <w:szCs w:val="17"/>
          <w:color w:val="auto"/>
        </w:rPr>
        <w:t>: Rental revenues increased $54.9 million, or 31.0%, to $232.1 million for the three months ended March 31, 2023 compared to $177.2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2022. Rental revenues from material handling equipment increased $17.9 million, aerial work platform equipment increased $16.1 million and earthmoving equipment increased $13.2 million. Rental revenues on other equipment increased $7.7 million.</w:t>
      </w:r>
    </w:p>
    <w:p>
      <w:pPr>
        <w:spacing w:after="0" w:line="124"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Our average rental rates for the three months ended March 31, 2023 increased 8.8% compared to the same three months last year and increased approximately 0.6% from the three months ended December 31, 2022. Rental equipment dollar utilization (annual rental revenues divided by the average original rental fleet equipment costs) for the three months ended March 31, 2023 was 38.6% compared to 37.6% in the three months ended March 31, 2022, an increase of 1.0%. The increase in comparative rental equipment</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2" w:name="page23"/>
    <w:bookmarkEnd w:id="22"/>
    <w:p>
      <w:pPr>
        <w:ind w:right="340"/>
        <w:spacing w:after="0" w:line="263" w:lineRule="auto"/>
        <w:rPr>
          <w:sz w:val="20"/>
          <w:szCs w:val="20"/>
          <w:color w:val="auto"/>
        </w:rPr>
      </w:pPr>
      <w:r>
        <w:rPr>
          <w:rFonts w:ascii="Arial" w:cs="Arial" w:eastAsia="Arial" w:hAnsi="Arial"/>
          <w:sz w:val="18"/>
          <w:szCs w:val="18"/>
          <w:color w:val="auto"/>
        </w:rPr>
        <w:t>dollar utilization was the net result of the increase in equipment rental rates as noted above and a decrease in rental equipment time utilization. Rental equipment time utilization as a percentage of original equipment cost was approximately 67.3% for the three months ended March 31, 2023 compared to 70.4% in the three months ended March 31, 2022, a decrease of 3.1%.</w:t>
      </w:r>
    </w:p>
    <w:p>
      <w:pPr>
        <w:spacing w:after="0" w:line="156"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i w:val="1"/>
          <w:iCs w:val="1"/>
          <w:color w:val="auto"/>
        </w:rPr>
        <w:t xml:space="preserve">Rentals Other: </w:t>
      </w:r>
      <w:r>
        <w:rPr>
          <w:rFonts w:ascii="Arial" w:cs="Arial" w:eastAsia="Arial" w:hAnsi="Arial"/>
          <w:sz w:val="18"/>
          <w:szCs w:val="18"/>
          <w:color w:val="auto"/>
        </w:rPr>
        <w:t>Our rentals other revenues consists primarily of equipment support activities that we provide to customers in connection with renting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such as hauling charges, damage waiver policies, environmental and other recovery fees. Rental other revenues for the three months ended March 31, 2023 were $29.9 million compared to $22.0 million for the three months ended March 31, 2022, an increase of approximately $7.9 million, or 35.8%.</w:t>
      </w:r>
    </w:p>
    <w:p>
      <w:pPr>
        <w:spacing w:after="0" w:line="145" w:lineRule="exact"/>
        <w:rPr>
          <w:sz w:val="20"/>
          <w:szCs w:val="20"/>
          <w:color w:val="auto"/>
        </w:rPr>
      </w:pPr>
    </w:p>
    <w:p>
      <w:pPr>
        <w:jc w:val="both"/>
        <w:ind w:right="160" w:firstLine="374"/>
        <w:spacing w:after="0" w:line="259" w:lineRule="auto"/>
        <w:rPr>
          <w:sz w:val="20"/>
          <w:szCs w:val="20"/>
          <w:color w:val="auto"/>
        </w:rPr>
      </w:pPr>
      <w:r>
        <w:rPr>
          <w:rFonts w:ascii="Arial" w:cs="Arial" w:eastAsia="Arial" w:hAnsi="Arial"/>
          <w:sz w:val="18"/>
          <w:szCs w:val="18"/>
          <w:i w:val="1"/>
          <w:iCs w:val="1"/>
          <w:color w:val="auto"/>
        </w:rPr>
        <w:t>Used Equipment Sales Revenues</w:t>
      </w:r>
      <w:r>
        <w:rPr>
          <w:rFonts w:ascii="Arial" w:cs="Arial" w:eastAsia="Arial" w:hAnsi="Arial"/>
          <w:sz w:val="18"/>
          <w:szCs w:val="18"/>
          <w:color w:val="auto"/>
        </w:rPr>
        <w:t>. Our used equipment sales increased $10.6 million, or 49.2%, to $32.1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approximately $21.5 million for the same three months in 2022. This increase is reflective of our fleet management strategy and our decision to capitalize on the high demand for used equipment. Sales of used earthmoving equipment, used material handling equipment and used aerial work platform equipment increased $5.4 million, $3.2 million and $2.4 million, respectively.</w:t>
      </w:r>
    </w:p>
    <w:p>
      <w:pPr>
        <w:spacing w:after="0" w:line="145" w:lineRule="exact"/>
        <w:rPr>
          <w:sz w:val="20"/>
          <w:szCs w:val="20"/>
          <w:color w:val="auto"/>
        </w:rPr>
      </w:pPr>
    </w:p>
    <w:p>
      <w:pPr>
        <w:ind w:right="240" w:firstLine="374"/>
        <w:spacing w:after="0" w:line="256" w:lineRule="auto"/>
        <w:rPr>
          <w:sz w:val="20"/>
          <w:szCs w:val="20"/>
          <w:color w:val="auto"/>
        </w:rPr>
      </w:pPr>
      <w:r>
        <w:rPr>
          <w:rFonts w:ascii="Arial" w:cs="Arial" w:eastAsia="Arial" w:hAnsi="Arial"/>
          <w:sz w:val="18"/>
          <w:szCs w:val="18"/>
          <w:i w:val="1"/>
          <w:iCs w:val="1"/>
          <w:color w:val="auto"/>
        </w:rPr>
        <w:t>New Equipment Sales Revenues</w:t>
      </w:r>
      <w:r>
        <w:rPr>
          <w:rFonts w:ascii="Arial" w:cs="Arial" w:eastAsia="Arial" w:hAnsi="Arial"/>
          <w:sz w:val="18"/>
          <w:szCs w:val="18"/>
          <w:color w:val="auto"/>
        </w:rPr>
        <w:t>. Our new equipment sales for the three months ended March 31, 2023 decreased $18.2 million, or 70.0%, to $7.8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$26.0 million for the three months ended March 31, 2022. This decrease is primarily reflective of the sale of our Komatsu Earthmoving Distributorship during the fourth quarter of 2022 as sales of new earthmoving equipment decreased $11.9 million. For additional information on the sale, see Note 3 to our Consolidated Financial Statements. Sales of new material handling equipment and new other equipment decreased $3.1 million and $2.7 million, respectively.</w:t>
      </w:r>
    </w:p>
    <w:p>
      <w:pPr>
        <w:spacing w:after="0" w:line="164"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i w:val="1"/>
          <w:iCs w:val="1"/>
          <w:color w:val="auto"/>
        </w:rPr>
        <w:t>Parts Sales Revenues</w:t>
      </w:r>
      <w:r>
        <w:rPr>
          <w:rFonts w:ascii="Arial" w:cs="Arial" w:eastAsia="Arial" w:hAnsi="Arial"/>
          <w:sz w:val="18"/>
          <w:szCs w:val="18"/>
          <w:color w:val="auto"/>
        </w:rPr>
        <w:t>. Our parts sales revenues for the three months ended March 31, 2023 decreased $3.9 million, or 24.3%, to $12.2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$16.1 million for the same three months last year.</w:t>
      </w:r>
    </w:p>
    <w:p>
      <w:pPr>
        <w:spacing w:after="0" w:line="129"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i w:val="1"/>
          <w:iCs w:val="1"/>
          <w:color w:val="auto"/>
        </w:rPr>
        <w:t>Services Revenues</w:t>
      </w:r>
      <w:r>
        <w:rPr>
          <w:rFonts w:ascii="Arial" w:cs="Arial" w:eastAsia="Arial" w:hAnsi="Arial"/>
          <w:sz w:val="18"/>
          <w:szCs w:val="18"/>
          <w:color w:val="auto"/>
        </w:rPr>
        <w:t>. Our services revenues for the three months ended March 31, 2023 decreased $0.9 million, or 11.7%, to approximately $7.2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$8.1 million for the same three months last year.</w:t>
      </w:r>
    </w:p>
    <w:p>
      <w:pPr>
        <w:spacing w:after="0" w:line="12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i w:val="1"/>
          <w:iCs w:val="1"/>
          <w:color w:val="auto"/>
        </w:rPr>
        <w:t>Non-Segmented Other Revenues</w:t>
      </w:r>
      <w:r>
        <w:rPr>
          <w:rFonts w:ascii="Arial" w:cs="Arial" w:eastAsia="Arial" w:hAnsi="Arial"/>
          <w:sz w:val="18"/>
          <w:szCs w:val="18"/>
          <w:color w:val="auto"/>
        </w:rPr>
        <w:t>. Our non-segmented other revenues relate to equipment support activities that we provide to customers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new and used equipment sales and parts and services revenues and are not generally allocated to reportable segments. For the three months ended March 31, 2023, our other revenues were approximately $1.2 million, a decrease of $0.3 million, or 18.5%, from approximately $1.5 million in the same three months in 2022.</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Gross Profit (Loss):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80" w:type="dxa"/>
            <w:vAlign w:val="bottom"/>
          </w:tcPr>
          <w:p>
            <w:pPr>
              <w:ind w:left="38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112,337</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88,402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23,935</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56"/>
        </w:trPr>
        <w:tc>
          <w:tcPr>
            <w:tcW w:w="578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2"/>
                <w:szCs w:val="22"/>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73.2 %</w:t>
            </w:r>
          </w:p>
        </w:tc>
        <w:tc>
          <w:tcPr>
            <w:tcW w:w="0" w:type="dxa"/>
            <w:vAlign w:val="bottom"/>
          </w:tcPr>
          <w:p>
            <w:pPr>
              <w:spacing w:after="0"/>
              <w:rPr>
                <w:sz w:val="1"/>
                <w:szCs w:val="1"/>
                <w:color w:val="auto"/>
              </w:rPr>
            </w:pPr>
          </w:p>
        </w:tc>
      </w:tr>
      <w:tr>
        <w:trPr>
          <w:trHeight w:val="224"/>
        </w:trPr>
        <w:tc>
          <w:tcPr>
            <w:tcW w:w="5780" w:type="dxa"/>
            <w:vAlign w:val="bottom"/>
          </w:tcPr>
          <w:p>
            <w:pPr>
              <w:ind w:left="480"/>
              <w:spacing w:after="0"/>
              <w:rPr>
                <w:sz w:val="20"/>
                <w:szCs w:val="20"/>
                <w:color w:val="auto"/>
              </w:rPr>
            </w:pPr>
            <w:r>
              <w:rPr>
                <w:rFonts w:ascii="Arial" w:cs="Arial" w:eastAsia="Arial" w:hAnsi="Arial"/>
                <w:sz w:val="18"/>
                <w:szCs w:val="18"/>
                <w:color w:val="auto"/>
              </w:rPr>
              <w:t>Total equipment rentals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114,294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89,532</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24,762</w:t>
            </w: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7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9,849</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109.7 %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(2,670 )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(72.0 )%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(850 )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Non-Segmented revenues gross loss</w:t>
            </w:r>
          </w:p>
        </w:tc>
        <w:tc>
          <w:tcPr>
            <w:tcW w:w="2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(881 )</w:t>
            </w:r>
          </w:p>
        </w:tc>
        <w:tc>
          <w:tcPr>
            <w:tcW w:w="220" w:type="dxa"/>
            <w:vAlign w:val="bottom"/>
          </w:tcPr>
          <w:p>
            <w:pPr>
              <w:spacing w:after="0"/>
              <w:rPr>
                <w:sz w:val="22"/>
                <w:szCs w:val="22"/>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(312 )</w:t>
            </w: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(569 )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(182.4 )%</w:t>
            </w: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141,378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111,580</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29,798</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9" w:lineRule="exact"/>
        <w:rPr>
          <w:sz w:val="20"/>
          <w:szCs w:val="20"/>
          <w:color w:val="auto"/>
        </w:rPr>
      </w:pPr>
    </w:p>
    <w:p>
      <w:pPr>
        <w:jc w:val="both"/>
        <w:ind w:right="120" w:firstLine="374"/>
        <w:spacing w:after="0" w:line="259" w:lineRule="auto"/>
        <w:rPr>
          <w:sz w:val="20"/>
          <w:szCs w:val="20"/>
          <w:color w:val="auto"/>
        </w:rPr>
      </w:pPr>
      <w:r>
        <w:rPr>
          <w:rFonts w:ascii="Arial" w:cs="Arial" w:eastAsia="Arial" w:hAnsi="Arial"/>
          <w:sz w:val="18"/>
          <w:szCs w:val="18"/>
          <w:i w:val="1"/>
          <w:iCs w:val="1"/>
          <w:color w:val="auto"/>
        </w:rPr>
        <w:t>Total Gross Profit</w:t>
      </w:r>
      <w:r>
        <w:rPr>
          <w:rFonts w:ascii="Arial" w:cs="Arial" w:eastAsia="Arial" w:hAnsi="Arial"/>
          <w:sz w:val="18"/>
          <w:szCs w:val="18"/>
          <w:color w:val="auto"/>
        </w:rPr>
        <w:t>. Our total gross profit was $141.4 million for the three months ended March 31, 2023 compared to $111.6 million for the same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in 2022, an increase of $29.8 million, or 26.7%. Total gross profit margin for the three months ended March 31, 2023 was approximately 43.8%, an increase of 2.8% from the 41.0% gross profit margin for the same three months in 2022. Gross profit and gross margin for all reportable segments and non-segmented other revenues are further described below.</w:t>
      </w:r>
    </w:p>
    <w:p>
      <w:pPr>
        <w:spacing w:after="0" w:line="145" w:lineRule="exact"/>
        <w:rPr>
          <w:sz w:val="20"/>
          <w:szCs w:val="20"/>
          <w:color w:val="auto"/>
        </w:rPr>
      </w:pPr>
    </w:p>
    <w:p>
      <w:pPr>
        <w:ind w:right="340" w:firstLine="374"/>
        <w:spacing w:after="0" w:line="259" w:lineRule="auto"/>
        <w:rPr>
          <w:sz w:val="20"/>
          <w:szCs w:val="20"/>
          <w:color w:val="auto"/>
        </w:rPr>
      </w:pPr>
      <w:r>
        <w:rPr>
          <w:rFonts w:ascii="Arial" w:cs="Arial" w:eastAsia="Arial" w:hAnsi="Arial"/>
          <w:sz w:val="18"/>
          <w:szCs w:val="18"/>
          <w:i w:val="1"/>
          <w:iCs w:val="1"/>
          <w:color w:val="auto"/>
        </w:rPr>
        <w:t>Equipment Rentals Gross Profit</w:t>
      </w:r>
      <w:r>
        <w:rPr>
          <w:rFonts w:ascii="Arial" w:cs="Arial" w:eastAsia="Arial" w:hAnsi="Arial"/>
          <w:sz w:val="18"/>
          <w:szCs w:val="18"/>
          <w:color w:val="auto"/>
        </w:rPr>
        <w:t>. Our total gross profit from equipment rentals for the three months ended March 31, 2023 increased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$24.8 million, or 27.7%, to $114.3 million from $89.5 million in the same three months in 2022. Total gross profit margin from equipment rentals for the three months ended March 31, 2023 was approximately 43.6% compared to 44.9% for the same period in 2022, a decrease of approximately 1.3%. See Rentals and Rentals Other below for additional information.</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23" w:name="page24"/>
    <w:bookmarkEnd w:id="23"/>
    <w:p>
      <w:pPr>
        <w:ind w:left="380"/>
        <w:spacing w:after="0"/>
        <w:rPr>
          <w:sz w:val="20"/>
          <w:szCs w:val="20"/>
          <w:color w:val="auto"/>
        </w:rPr>
      </w:pPr>
      <w:r>
        <w:rPr>
          <w:rFonts w:ascii="Arial" w:cs="Arial" w:eastAsia="Arial" w:hAnsi="Arial"/>
          <w:sz w:val="16"/>
          <w:szCs w:val="16"/>
          <w:i w:val="1"/>
          <w:iCs w:val="1"/>
          <w:color w:val="auto"/>
        </w:rPr>
        <w:t xml:space="preserve">Rentals: </w:t>
      </w:r>
      <w:r>
        <w:rPr>
          <w:rFonts w:ascii="Arial" w:cs="Arial" w:eastAsia="Arial" w:hAnsi="Arial"/>
          <w:sz w:val="16"/>
          <w:szCs w:val="16"/>
          <w:color w:val="auto"/>
        </w:rPr>
        <w:t>Rental revenues gross profit increased $23.9 million, or 27.1%, to $112.3 million for the three months ended March 31, 2023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$88.4 million for the same three months in 2022. The increased gross profit was the result of increased rental revenues of $54.9 million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2023 compared to the same period last year, partially offset by a $21.9 million increase in rental equipment depreciation expense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 million increase in rental expenses. The increase in depreciation expense is primarily due to a larger fleet size in the current year as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 Our fleet size, based on original equipment cost, at March 31, 2023 was $533.8 million, or 28.1%, larger than our fleet size at March 31,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on equipment rentals for the three months ended March 31, 2023 was approximately 48.4% compared to 49.9% for the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2022, a decrease of 1.5%. Depreciation expense was 35.3% of equipment rental revenues for the three months ended March 31, 2023 compared to 33.9%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same period in 2022, an increase of approximately 1.4%. As a percentage of revenues, rental expenses were 16.3%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2023 compared to 16.2% for the same period last year, an increase of 0.1%.</w:t>
      </w:r>
    </w:p>
    <w:p>
      <w:pPr>
        <w:spacing w:after="0" w:line="18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i w:val="1"/>
          <w:iCs w:val="1"/>
          <w:color w:val="auto"/>
        </w:rPr>
        <w:t xml:space="preserve">Rentals Other: </w:t>
      </w:r>
      <w:r>
        <w:rPr>
          <w:rFonts w:ascii="Arial" w:cs="Arial" w:eastAsia="Arial" w:hAnsi="Arial"/>
          <w:sz w:val="18"/>
          <w:szCs w:val="18"/>
          <w:color w:val="auto"/>
        </w:rPr>
        <w:t>Our rentals other revenues consists primarily of equipment support activities that we provide to customers in connection with renting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such as hauling charges, damage waiver policies, environmental and other recovery fees. Rental other revenues gross profit for the three months ended March 31, 2023 was $2.0 million compared to a $1.1 million for the same period in 2022, an increase of $0.8 million. The gross margin was 6.5% for the three months ended March 31, 2023 compared to 5.1% for the same period last year.</w:t>
      </w:r>
    </w:p>
    <w:p>
      <w:pPr>
        <w:spacing w:after="0" w:line="145"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i w:val="1"/>
          <w:iCs w:val="1"/>
          <w:color w:val="auto"/>
        </w:rPr>
        <w:t xml:space="preserve">Used Equipment Sales Gross Profit. </w:t>
      </w:r>
      <w:r>
        <w:rPr>
          <w:rFonts w:ascii="Arial" w:cs="Arial" w:eastAsia="Arial" w:hAnsi="Arial"/>
          <w:sz w:val="18"/>
          <w:szCs w:val="18"/>
          <w:color w:val="auto"/>
        </w:rPr>
        <w:t>Our used equipment sales gross profit for the three months ended March 31, 2023 increased $9.8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109.7%, to $18.8 million from $9.0 million in the same period in 2022, as used equipment sales revenues increased $10.6 million. Gross profit margin on used equipment sales for the three months ended March 31, 2023 was approximately 58.6%, up 16.9% from 41.7% for the same three months in 2022, primarily as a result of higher gross margins across all product lines. Our used equipment sales from the rental fleet, which comprised 98.7% and 91.6% of our used equipment sales for the three months ended March 31, 2023 and 2022, respectively, were approximately 244.3% and 182.3% of net book value for the three months ended March 31, 2023 and 2022, respectively.</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New Equipment Sales Gross Profit. </w:t>
      </w:r>
      <w:r>
        <w:rPr>
          <w:rFonts w:ascii="Arial" w:cs="Arial" w:eastAsia="Arial" w:hAnsi="Arial"/>
          <w:sz w:val="17"/>
          <w:szCs w:val="17"/>
          <w:color w:val="auto"/>
        </w:rPr>
        <w:t>Our new equipment sales gross profit for the three months ended March 31, 2023 decreased $2.7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72.0%, to $1.0 million compared to $3.7 million for the same three months in 2022 on new equipment sales revenues which decreased $18.2 million.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 margin on new equipment sales was 13.3% for the three months ended March 31, 2023, compared to 14.2% for the same period last year, a decrease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0.9%. The decrease in gross profit was primarily due to the mix of equipment sold due to the sale of our earthmoving equipment distributorship.</w:t>
      </w:r>
    </w:p>
    <w:p>
      <w:pPr>
        <w:spacing w:after="0" w:line="195"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i w:val="1"/>
          <w:iCs w:val="1"/>
          <w:color w:val="auto"/>
        </w:rPr>
        <w:t xml:space="preserve">Parts Sales Gross Profit. </w:t>
      </w:r>
      <w:r>
        <w:rPr>
          <w:rFonts w:ascii="Arial" w:cs="Arial" w:eastAsia="Arial" w:hAnsi="Arial"/>
          <w:sz w:val="17"/>
          <w:szCs w:val="17"/>
          <w:color w:val="auto"/>
        </w:rPr>
        <w:t>Our parts sales gross profit for the three months ended March 31, 2023 was approximately $3.5 million, a decrease of 19.5%,</w:t>
      </w:r>
      <w:r>
        <w:rPr>
          <w:rFonts w:ascii="Arial" w:cs="Arial" w:eastAsia="Arial" w:hAnsi="Arial"/>
          <w:sz w:val="17"/>
          <w:szCs w:val="17"/>
          <w:i w:val="1"/>
          <w:iCs w:val="1"/>
          <w:color w:val="auto"/>
        </w:rPr>
        <w:t xml:space="preserve"> </w:t>
      </w:r>
      <w:r>
        <w:rPr>
          <w:rFonts w:ascii="Arial" w:cs="Arial" w:eastAsia="Arial" w:hAnsi="Arial"/>
          <w:sz w:val="17"/>
          <w:szCs w:val="17"/>
          <w:color w:val="auto"/>
        </w:rPr>
        <w:t>from gross profit of $4.4 million for the same period last year on parts sales that decreased $3.9 million. Gross profit margin for the three months ended March 31, 2023 was 28.8% compared to 27.1% for the same three months last year, an increase of 1.7%.</w:t>
      </w:r>
    </w:p>
    <w:p>
      <w:pPr>
        <w:spacing w:after="0" w:line="124"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i w:val="1"/>
          <w:iCs w:val="1"/>
          <w:color w:val="auto"/>
        </w:rPr>
        <w:t xml:space="preserve">Services Revenues Gross Profit. </w:t>
      </w:r>
      <w:r>
        <w:rPr>
          <w:rFonts w:ascii="Arial" w:cs="Arial" w:eastAsia="Arial" w:hAnsi="Arial"/>
          <w:sz w:val="17"/>
          <w:szCs w:val="17"/>
          <w:color w:val="auto"/>
        </w:rPr>
        <w:t>For the three months ended March 31, 2023, our services revenues gross profit decreased $0.7 million, or 13.6%, to</w:t>
      </w:r>
      <w:r>
        <w:rPr>
          <w:rFonts w:ascii="Arial" w:cs="Arial" w:eastAsia="Arial" w:hAnsi="Arial"/>
          <w:sz w:val="17"/>
          <w:szCs w:val="17"/>
          <w:i w:val="1"/>
          <w:iCs w:val="1"/>
          <w:color w:val="auto"/>
        </w:rPr>
        <w:t xml:space="preserve"> </w:t>
      </w:r>
      <w:r>
        <w:rPr>
          <w:rFonts w:ascii="Arial" w:cs="Arial" w:eastAsia="Arial" w:hAnsi="Arial"/>
          <w:sz w:val="17"/>
          <w:szCs w:val="17"/>
          <w:color w:val="auto"/>
        </w:rPr>
        <w:t>$4.6 million from $5.3 million for the same three months in 2022 on service revenues that decreased $0.9 million. Gross profit margin for the three months ended March 31, 2023 was 64.0%, a decrease of 1.4% from approximately 65.4% in the same three months in 2022.</w:t>
      </w:r>
    </w:p>
    <w:p>
      <w:pPr>
        <w:spacing w:after="0" w:line="124"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i w:val="1"/>
          <w:iCs w:val="1"/>
          <w:color w:val="auto"/>
        </w:rPr>
        <w:t xml:space="preserve">Non-Segmented Other Revenues Gross Loss. </w:t>
      </w:r>
      <w:r>
        <w:rPr>
          <w:rFonts w:ascii="Arial" w:cs="Arial" w:eastAsia="Arial" w:hAnsi="Arial"/>
          <w:sz w:val="18"/>
          <w:szCs w:val="18"/>
          <w:color w:val="auto"/>
        </w:rPr>
        <w:t>Our non-segmented other revenues relate to equipment support activities that we provide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new and used equipment sales and parts and services revenues and are not generally allocated to reportable segments. For the three months ended March 31, 2023, our other revenues gross loss was $0.9 million compared to a gross loss of $0.3 million, in the same period in 2022, a decrease of $0.6 million.</w:t>
      </w:r>
    </w:p>
    <w:p>
      <w:pPr>
        <w:spacing w:after="0" w:line="158"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increased $17.1 million, or 21.8%, to $95.3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2023 compared to $78.3 million for the three months ended March 31, 2022. Employee salaries, wages, payroll taxes and other employee related expenses increased $10.0 million due to increased commissions, wages, headcount and incentive pay. Legal and professional fees increased $1.8 million, facility expenses increased $1.1 million and liability insurance costs increased $0.7 million. Approximately $7.2 million of comparative incremental SG&amp;A expenses in the three months ended March 31, 2023 was attributable to branches opened since January 1, 2022 with less than three months of comparable operations in either or both of the three months ended March 31, 2023 and 2022. SG&amp;A expenses as a percentage of total revenues for the three months ended March 31, 2023 and 2022 were 29.6% and 28.7%, respectively, an increase of 0.9%.</w:t>
      </w:r>
    </w:p>
    <w:p>
      <w:pPr>
        <w:spacing w:after="0" w:line="140"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For the three months ended March 31, 2023, our net other expenses decreased approximately $0.6 million to $12.0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$12.6 million for the same three months in 2022. Interest expense was $13.7 million and $13.4 million for the three months ended March 31, 2023 and 2022,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4" w:name="page25"/>
    <w:bookmarkEnd w:id="24"/>
    <w:p>
      <w:pPr>
        <w:ind w:left="380"/>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income tax expense of $9.1 million for the three months ended March 31, 2023 compared to an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 million for the three months ended March 31, 2022. Our effective income tax rate for the three months ended March 31, 2023 was 26.1%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26.3% for the same period in 2022. Based on available evidence, both positive and negative, we believe it is more likely than not that our federal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assets at March 31, 2023 are fully realizable through future reversals of existing taxable temporary differences and future taxable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i w:val="1"/>
          <w:iCs w:val="1"/>
          <w:color w:val="auto"/>
        </w:rPr>
        <w:t xml:space="preserve">Cash Flow from Operating Activities. </w:t>
      </w:r>
      <w:r>
        <w:rPr>
          <w:rFonts w:ascii="Arial" w:cs="Arial" w:eastAsia="Arial" w:hAnsi="Arial"/>
          <w:sz w:val="17"/>
          <w:szCs w:val="17"/>
          <w:color w:val="auto"/>
        </w:rPr>
        <w:t>For the three months ended March 31, 2023, the cash provided by our operating activities was $43.2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Our reported net income of $25.7 million, when adjusted for non-cash income and expense items, such as depreciation and amortization (including net amortization (accretion) of note discount (premium)), deferred income taxes, non-cash operating lease expense, provision for losses on accounts receivable, provision for inventory obsolescence, stock-based compensation expense and net gains on the sale of long-lived assets, provided positive cash flows of $113.7 million. These cash flows from operating activities were also positively impacted by a $65.8 million increase in accounts payable, a $7.5 million decrease in receivables, a $0.3 million increase in manufacturing flooring plans payable and a $0.1 million increase in accrued expenses payable and other liabilities. Partially offsetting these positive cash flows were a $138.1 million increase in inventories due to increases in equipment purchases and a $6.0 million increase in prepaid expenses and other assets.</w:t>
      </w:r>
    </w:p>
    <w:p>
      <w:pPr>
        <w:spacing w:after="0" w:line="155" w:lineRule="exact"/>
        <w:rPr>
          <w:sz w:val="20"/>
          <w:szCs w:val="20"/>
          <w:color w:val="auto"/>
        </w:rPr>
      </w:pPr>
    </w:p>
    <w:p>
      <w:pPr>
        <w:ind w:right="160" w:firstLine="374"/>
        <w:spacing w:after="0" w:line="270" w:lineRule="auto"/>
        <w:rPr>
          <w:sz w:val="20"/>
          <w:szCs w:val="20"/>
          <w:color w:val="auto"/>
        </w:rPr>
      </w:pPr>
      <w:r>
        <w:rPr>
          <w:rFonts w:ascii="Arial" w:cs="Arial" w:eastAsia="Arial" w:hAnsi="Arial"/>
          <w:sz w:val="17"/>
          <w:szCs w:val="17"/>
          <w:color w:val="auto"/>
        </w:rPr>
        <w:t>For the three months ended March 31, 2022, the cash provided by our operating activities was $38.5 million. Our reported net income of $16.3 million, when adjusted for non-cash income and expense items, such as depreciation and amortization (including net amortization (accretion) of note discount (premium)), deferred income taxes, non-cash operating lease expense, provision for losses on accounts receivable, provision for inventory obsolescence, stock-based compensation expense and net gains on the sale of long-lived assets, provided positive cash flows of $85.6 million. These cash flows from operating activities were also positively impacted by a $17.3 million increase in accounts payable and a $6.6 million increase in accrued expenses payable and other liabilities. Partially offsetting these positive cash flows were a $59.7 million increase in inventories due to increases in equipment purchases, a $4.5 million increase in receivables, a $5.4 million increase in prepaid expenses and other assets and a $1.4 million decrease in manufacturing flooring plans payable.</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Cash Flow from Investing Activities. </w:t>
      </w:r>
      <w:r>
        <w:rPr>
          <w:rFonts w:ascii="Arial" w:cs="Arial" w:eastAsia="Arial" w:hAnsi="Arial"/>
          <w:sz w:val="17"/>
          <w:szCs w:val="17"/>
          <w:color w:val="auto"/>
        </w:rPr>
        <w:t>For the three months ended March 31, 2023, our net cash used in our investing activities was $56.4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Purchases of rental and non-rental equipment were $89.0 million and proceeds from the sale of rental and non-rental equipment were $32.5 million.</w:t>
      </w:r>
    </w:p>
    <w:p>
      <w:pPr>
        <w:spacing w:after="0" w:line="181"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For the three months ended March 31, 2022, our net cash used in our investing activities was $33.7 million. Purchases of rental and non-rental equipment were $55.0 million and proceeds from the sale of rental and non-rental equipment were $21.3 million.</w:t>
      </w:r>
    </w:p>
    <w:p>
      <w:pPr>
        <w:spacing w:after="0" w:line="14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i w:val="1"/>
          <w:iCs w:val="1"/>
          <w:color w:val="auto"/>
        </w:rPr>
        <w:t xml:space="preserve">Cash Flow from Financing Activities. </w:t>
      </w:r>
      <w:r>
        <w:rPr>
          <w:rFonts w:ascii="Arial" w:cs="Arial" w:eastAsia="Arial" w:hAnsi="Arial"/>
          <w:sz w:val="18"/>
          <w:szCs w:val="18"/>
          <w:color w:val="auto"/>
        </w:rPr>
        <w:t>For the three months ended March 31, 2023, net cash used in our financing activities was $21.8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paid totaled $9.9 million, or $0.275 per common share, and treasury stock purchases totaled $3.2 million. Borrowings on our senior secured credit facility amounted to $408.3 million while payments on the facility amounted to $368.3 million. Payments on deferred financing costs related to the amended and restated credit facility totaled $4.9 million.</w:t>
      </w:r>
    </w:p>
    <w:p>
      <w:pPr>
        <w:spacing w:after="0" w:line="14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For the three months ended March 31, 2022, net cash used in our financing activities was $10.3 million. Dividends paid totaled $9.9 million, or $0.275 per common share, and treasury stock purchases totaled $0.3 million.</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1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On December 14, 2020, we completed the offering of our Senior Unsecured Notes of $1.25 billion. No principal payments on the Senior Unsecured Notes are due until their scheduled maturity date of December 15, 2028.</w:t>
      </w:r>
    </w:p>
    <w:p>
      <w:pPr>
        <w:spacing w:after="0" w:line="129"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and our subsidiaries are parties to a $750.0 million Credit Facility with Wells Fargo Bank, National Association as administrative agent, and the lenders named therein. At March 31, 2023, we had $40.0 million in outstanding borrowings under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Credit Facility and we could borrow up to $699.4 million, which with cash and cash equivalents on hand amounted to a liquidity position of $789.4 million. We did not have any covenant violations related to the Credit Facility. At April 20, 2023, we had $699.4 million of available borrowings under our Credit Facility, net of a $10.6 million outstanding letter of credit.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Requirements Related to Operations</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Our principal sources of liquidity have been from cash provided by operating activities and the sales of used, new and rental fleet equipment, proceeds from the issuance of debt, and borrowings available under the Credit Facility. Our principal uses of cash and cash equivalents historically have been to fund operating activities and working capital (including used and new equipment inventories), purchases of rental fleet equipment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w:t>
      </w:r>
    </w:p>
    <w:p>
      <w:pPr>
        <w:spacing w:after="0" w:line="134"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Our gross rental fleet capital expenditures for the three months ended March 31, 2023 and 2022 were approximately $127.7 million and $76.0 million, respectively, including $51.1 million and $31.6 million, respectively, of non-cash transfers from inventory to rental fleet. This increase in rental fleet capital expenditures reflects our response to improved rental demand and expansion. Our gross property and equipment capital expenditures for the three months ended March 31, 2023 and 2022 were $12.4 million and $10.7 million, respectively.</w:t>
      </w:r>
    </w:p>
    <w:p>
      <w:pPr>
        <w:spacing w:after="0" w:line="136" w:lineRule="exact"/>
        <w:rPr>
          <w:sz w:val="20"/>
          <w:szCs w:val="20"/>
          <w:color w:val="auto"/>
        </w:rPr>
      </w:pPr>
    </w:p>
    <w:p>
      <w:pPr>
        <w:ind w:right="80" w:firstLine="374"/>
        <w:spacing w:after="0" w:line="288" w:lineRule="auto"/>
        <w:rPr>
          <w:sz w:val="20"/>
          <w:szCs w:val="20"/>
          <w:color w:val="auto"/>
        </w:rPr>
      </w:pPr>
      <w:r>
        <w:rPr>
          <w:rFonts w:ascii="Arial" w:cs="Arial" w:eastAsia="Arial" w:hAnsi="Arial"/>
          <w:sz w:val="16"/>
          <w:szCs w:val="16"/>
          <w:color w:val="auto"/>
        </w:rPr>
        <w:t>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cash equivalents and available borrowings under the Credit Facility will be adequate to meet our future liquidity needs for the foreseeable future. At March 31, 2023, we have cash and cash equivalents on hand of approximately $89.9 million. At March 31, 2023, we had available borrowings of $699.4 million, net of $10.6 million of outstanding letters of credit and at March 31, 2022, we had available borrowings of $740.3 million, net of $9.7 million of outstanding letters of credit. At April 20, 2023, we had $699.4 million of available borrowings under the Credit Facility, net of a $10.6 million of outstanding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121"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On February 10, 2023, the Company announced a quarterly dividend of $0.275 per share to stockholders of record, which was paid on March 10, 2023, totaling approximately $10.0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have been no material changes from the information included in our Annual Report on Form 10-K for the year ended December 31, 2022.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spacing w:after="0" w:line="7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With the exception of the above, there have been no significant changes in our exposure to market risk during the three months ended March 31, 2023. For an additional discussion of our exposure to market risk, refer to Item 7A, “Quantitative and Qualitative Disclosures about Market Risk,” contained in our Annual Report on Form 10-K for the fiscal year ended December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Management’s Quarterly Evaluation of Disclosure Controls and Procedures</w:t>
      </w:r>
    </w:p>
    <w:p>
      <w:pPr>
        <w:spacing w:after="0" w:line="117"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the Company files or furnishes under the Securities Exchange Act of 1934, as amended (the “Exchange Act”), is recorded,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right="80"/>
        <w:spacing w:after="0" w:line="263" w:lineRule="auto"/>
        <w:rPr>
          <w:sz w:val="20"/>
          <w:szCs w:val="20"/>
          <w:color w:val="auto"/>
        </w:rPr>
      </w:pPr>
      <w:r>
        <w:rPr>
          <w:rFonts w:ascii="Arial" w:cs="Arial" w:eastAsia="Arial" w:hAnsi="Arial"/>
          <w:sz w:val="18"/>
          <w:szCs w:val="18"/>
          <w:color w:val="auto"/>
        </w:rPr>
        <w:t>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42" w:lineRule="exact"/>
        <w:rPr>
          <w:sz w:val="20"/>
          <w:szCs w:val="20"/>
          <w:color w:val="auto"/>
        </w:rPr>
      </w:pPr>
    </w:p>
    <w:p>
      <w:pPr>
        <w:ind w:firstLine="374"/>
        <w:spacing w:after="0" w:line="220" w:lineRule="exact"/>
        <w:rPr>
          <w:sz w:val="20"/>
          <w:szCs w:val="20"/>
          <w:color w:val="auto"/>
        </w:rPr>
      </w:pPr>
      <w:r>
        <w:rPr>
          <w:rFonts w:ascii="Arial" w:cs="Arial" w:eastAsia="Arial" w:hAnsi="Arial"/>
          <w:sz w:val="17"/>
          <w:szCs w:val="17"/>
          <w:color w:val="auto"/>
        </w:rPr>
        <w:t>Our Chief Executive Officer and Chief Financial Officer (our principal executive officer and principal financial officer, respectively) have evaluated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and 15d-15(e) promulgated under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this evaluation, our principal executive officer and principal financial officer have concluded that, as of March 31, 2023, our current disclosure controls and procedures were effective.</w:t>
      </w:r>
    </w:p>
    <w:p>
      <w:pPr>
        <w:spacing w:after="0" w:line="175" w:lineRule="exact"/>
        <w:rPr>
          <w:sz w:val="20"/>
          <w:szCs w:val="20"/>
          <w:color w:val="auto"/>
        </w:rPr>
      </w:pPr>
    </w:p>
    <w:p>
      <w:pPr>
        <w:jc w:val="both"/>
        <w:ind w:right="220" w:firstLine="374"/>
        <w:spacing w:after="0" w:line="301" w:lineRule="auto"/>
        <w:rPr>
          <w:sz w:val="20"/>
          <w:szCs w:val="20"/>
          <w:color w:val="auto"/>
        </w:rPr>
      </w:pPr>
      <w:r>
        <w:rPr>
          <w:rFonts w:ascii="Arial" w:cs="Arial" w:eastAsia="Arial" w:hAnsi="Arial"/>
          <w:sz w:val="16"/>
          <w:szCs w:val="16"/>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 13a-15(f)) that occurred during the three months ended March 31, 2023 that have materially affected, or are reasonably likely to materially affect, the Company’s internal control over financial reporting.</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 self-insured retentions, or self-insurance. Losses that exceed our deductibles and self-insured retentions are insured through various commercial lines of insurance policies.</w:t>
      </w:r>
    </w:p>
    <w:p>
      <w:pPr>
        <w:spacing w:after="0" w:line="15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We are also involved in various other claims and legal actions arising in the ordinary course of business. In the opinion of management, after consultation with legal counsel, the ultimate disposition of these various matters will not have a material adverse effect on the Company’s consolidated financial position, results of operations or liquidity.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 Item 1A — “Risk Factors,” in our Annual Report on Form 10-K for the year ended December 31, 2022, which could materially affect our business, financial condition or future results.</w:t>
      </w:r>
    </w:p>
    <w:p>
      <w:pPr>
        <w:spacing w:after="0" w:line="156" w:lineRule="exact"/>
        <w:rPr>
          <w:sz w:val="20"/>
          <w:szCs w:val="20"/>
          <w:color w:val="auto"/>
        </w:rPr>
      </w:pPr>
    </w:p>
    <w:p>
      <w:pPr>
        <w:ind w:right="100" w:firstLine="374"/>
        <w:spacing w:after="0" w:line="307" w:lineRule="auto"/>
        <w:rPr>
          <w:sz w:val="20"/>
          <w:szCs w:val="20"/>
          <w:color w:val="auto"/>
        </w:rPr>
      </w:pPr>
      <w:r>
        <w:rPr>
          <w:rFonts w:ascii="Arial" w:cs="Arial" w:eastAsia="Arial" w:hAnsi="Arial"/>
          <w:sz w:val="17"/>
          <w:szCs w:val="17"/>
          <w:color w:val="auto"/>
        </w:rPr>
        <w:t>As of the date of this Quarterly Report on Form 10-Q and other than the risk factors set forth below, there have been no material changes with respect to the Company’s risk factors previously disclosed in our Annual Report on Form 10-K for the year ended December 31, 2022.</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Variable rate indebtedness subjects us to interest rate risk, which could cause our debt service obligations to increase significantly.</w:t>
      </w:r>
    </w:p>
    <w:p>
      <w:pPr>
        <w:spacing w:after="0" w:line="196" w:lineRule="exact"/>
        <w:rPr>
          <w:sz w:val="20"/>
          <w:szCs w:val="20"/>
          <w:color w:val="auto"/>
        </w:rPr>
      </w:pPr>
    </w:p>
    <w:p>
      <w:pPr>
        <w:ind w:right="760" w:firstLine="374"/>
        <w:spacing w:after="0" w:line="341" w:lineRule="auto"/>
        <w:rPr>
          <w:sz w:val="20"/>
          <w:szCs w:val="20"/>
          <w:color w:val="auto"/>
        </w:rPr>
      </w:pPr>
      <w:r>
        <w:rPr>
          <w:rFonts w:ascii="Arial" w:cs="Arial" w:eastAsia="Arial" w:hAnsi="Arial"/>
          <w:sz w:val="16"/>
          <w:szCs w:val="16"/>
          <w:color w:val="auto"/>
        </w:rPr>
        <w:t>Borrowings under the Credit Facility are at variable rates of interest, based on the U.S. prime rate and the Secured Overnight Financing Rate (“SOFR”), and expose us to interest rate risk. As such, our results of operations are sensitive to movements in interest rates.</w:t>
      </w:r>
    </w:p>
    <w:p>
      <w:pPr>
        <w:spacing w:after="0" w:line="9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There are many economic factors outside our control that have in the past impacted, and may in the future impact, rates of interest, including publicly announced indices that underlie our interest obligations related to borrowings under the Credit Facility based on SOFR. SOFR is a broad measure of the cost of borrowing cash overnight collateralized by Treasury securities.</w:t>
      </w:r>
    </w:p>
    <w:p>
      <w:pPr>
        <w:spacing w:after="0" w:line="142"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Factors that also impact interest rates include, among others, governmental monetary policies, inflation, recession, changes in unemployment, the money supply,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conditions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share purchase activity for the three months ended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Average Price Per Share</w:t>
            </w:r>
          </w:p>
        </w:tc>
        <w:tc>
          <w:tcPr>
            <w:tcW w:w="3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38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Plan</w:t>
            </w:r>
          </w:p>
        </w:tc>
        <w:tc>
          <w:tcPr>
            <w:tcW w:w="380" w:type="dxa"/>
            <w:vAlign w:val="bottom"/>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Purchased Under the Plan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1-31, 2023</w:t>
            </w:r>
          </w:p>
        </w:tc>
        <w:tc>
          <w:tcPr>
            <w:tcW w:w="2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78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rPr>
                <w:sz w:val="20"/>
                <w:szCs w:val="20"/>
                <w:color w:val="auto"/>
              </w:rPr>
            </w:pPr>
            <w:r>
              <w:rPr>
                <w:rFonts w:ascii="Arial" w:cs="Arial" w:eastAsia="Arial" w:hAnsi="Arial"/>
                <w:sz w:val="18"/>
                <w:szCs w:val="18"/>
                <w:color w:val="auto"/>
              </w:rPr>
              <w:t>February 1-28, 2023</w:t>
            </w: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780" w:type="dxa"/>
            <w:vAlign w:val="bottom"/>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March 1-31, 2023</w:t>
            </w:r>
          </w:p>
        </w:tc>
        <w:tc>
          <w:tcPr>
            <w:tcW w:w="2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58,211</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55.42</w:t>
            </w:r>
          </w:p>
        </w:tc>
        <w:tc>
          <w:tcPr>
            <w:tcW w:w="3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58,211</w:t>
            </w:r>
          </w:p>
        </w:tc>
        <w:tc>
          <w:tcPr>
            <w:tcW w:w="400" w:type="dxa"/>
            <w:vAlign w:val="bottom"/>
          </w:tcPr>
          <w:p>
            <w:pPr>
              <w:spacing w:after="0"/>
              <w:rPr>
                <w:sz w:val="20"/>
                <w:szCs w:val="20"/>
                <w:color w:val="auto"/>
              </w:rPr>
            </w:pP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320" w:type="dxa"/>
            <w:vAlign w:val="bottom"/>
          </w:tcPr>
          <w:p>
            <w:pPr>
              <w:spacing w:after="0"/>
              <w:rPr>
                <w:sz w:val="20"/>
                <w:szCs w:val="20"/>
                <w:color w:val="auto"/>
              </w:rPr>
            </w:pPr>
          </w:p>
        </w:tc>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-170815</wp:posOffset>
            </wp:positionV>
            <wp:extent cx="7683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-170815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-170815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1020" w:right="80" w:hanging="504"/>
        <w:spacing w:after="0" w:line="25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On December 31, 2022, 119,410 shares of restricted stock units, which were granted in 2020, vested and were subsequently issued on March 6, 2023, at $55.42 per share. Holders of those shares returned an aggregate of 58,211 shares of common stock to the Company during the quarter ended March 31, 2023 as payment for their respective withholding taxes. This resulted in an addition of 58,211 shares to treasury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520" w:type="dxa"/>
            <w:vAlign w:val="bottom"/>
            <w:gridSpan w:val="3"/>
          </w:tcPr>
          <w:p>
            <w:pPr>
              <w:spacing w:after="0"/>
              <w:rPr>
                <w:sz w:val="20"/>
                <w:szCs w:val="20"/>
                <w:color w:val="auto"/>
              </w:rPr>
            </w:pPr>
            <w:r>
              <w:rPr>
                <w:rFonts w:ascii="Arial" w:cs="Arial" w:eastAsia="Arial" w:hAnsi="Arial"/>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gridSpan w:val="3"/>
          </w:tcPr>
          <w:p>
            <w:pPr>
              <w:spacing w:after="0"/>
              <w:rPr>
                <w:sz w:val="20"/>
                <w:szCs w:val="20"/>
                <w:color w:val="auto"/>
              </w:rPr>
            </w:pPr>
            <w:r>
              <w:rPr>
                <w:rFonts w:ascii="Arial" w:cs="Arial" w:eastAsia="Arial" w:hAnsi="Arial"/>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gridSpan w:val="3"/>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 906 of the Sarbanes-Oxley Act of 2002 (furnished</w:t>
            </w: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80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520" w:type="dxa"/>
            <w:vAlign w:val="bottom"/>
            <w:gridSpan w:val="3"/>
          </w:tcPr>
          <w:p>
            <w:pPr>
              <w:spacing w:after="0" w:line="195" w:lineRule="exact"/>
              <w:rPr>
                <w:sz w:val="20"/>
                <w:szCs w:val="20"/>
                <w:color w:val="auto"/>
              </w:rPr>
            </w:pPr>
            <w:r>
              <w:rPr>
                <w:rFonts w:ascii="Arial" w:cs="Arial" w:eastAsia="Arial" w:hAnsi="Arial"/>
                <w:sz w:val="18"/>
                <w:szCs w:val="18"/>
                <w:color w:val="0000FF"/>
              </w:rPr>
              <w:t>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Instance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r>
    </w:tbl>
    <w:p>
      <w:pPr>
        <w:spacing w:after="0" w:line="134" w:lineRule="exact"/>
        <w:rPr>
          <w:sz w:val="20"/>
          <w:szCs w:val="20"/>
          <w:color w:val="auto"/>
        </w:rPr>
      </w:pPr>
    </w:p>
    <w:p>
      <w:pPr>
        <w:ind w:left="5540" w:right="2980" w:hanging="5519"/>
        <w:spacing w:after="0" w:line="792"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553" w:right="879" w:bottom="1440" w:gutter="0" w:footer="0" w:header="0"/>
        </w:sectPr>
      </w:pPr>
    </w:p>
    <w:bookmarkStart w:id="29" w:name="page30"/>
    <w:bookmarkEnd w:id="29"/>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H&amp;E EQUIPMENT SERVICES, INC.</w:t>
      </w:r>
    </w:p>
    <w:p>
      <w:pPr>
        <w:spacing w:after="0" w:line="278"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7"/>
          <w:szCs w:val="17"/>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23495</wp:posOffset>
            </wp:positionV>
            <wp:extent cx="26631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Executive Officer)</w:t>
      </w:r>
    </w:p>
    <w:p>
      <w:pPr>
        <w:spacing w:after="0" w:line="264"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7"/>
          <w:szCs w:val="17"/>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23495</wp:posOffset>
            </wp:positionV>
            <wp:extent cx="26631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Bradley W. Barber,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H&amp;E Equipment Services, Inc.;</w:t>
      </w:r>
    </w:p>
    <w:p>
      <w:pPr>
        <w:spacing w:after="0" w:line="116"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020" w:right="6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6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20" w:hanging="504"/>
        <w:spacing w:after="0" w:line="34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8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7"/>
          <w:szCs w:val="17"/>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23495</wp:posOffset>
            </wp:positionV>
            <wp:extent cx="26028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Leslie S. Magee,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H&amp;E Equipment Services, Inc.;</w:t>
      </w:r>
    </w:p>
    <w:p>
      <w:pPr>
        <w:spacing w:after="0" w:line="116"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020" w:right="6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6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20" w:hanging="504"/>
        <w:spacing w:after="0" w:line="341"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80" w:hanging="503"/>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6"/>
          <w:szCs w:val="16"/>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23495</wp:posOffset>
            </wp:positionV>
            <wp:extent cx="26028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connection with the Quarterly Report of H&amp;E Equipment Services, Inc. (the “Company”) on Form 10-Q for the period ended March 31, 2023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spacing w:after="0" w:line="77"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my knowledge, 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020" w:right="620" w:hanging="504"/>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520" w:val="left"/>
          <w:tab w:leader="none" w:pos="702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23495</wp:posOffset>
            </wp:positionV>
            <wp:extent cx="2671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Executive Officer)</w:t>
      </w:r>
    </w:p>
    <w:p>
      <w:pPr>
        <w:spacing w:after="0" w:line="264" w:lineRule="exact"/>
        <w:rPr>
          <w:sz w:val="20"/>
          <w:szCs w:val="20"/>
          <w:color w:val="auto"/>
        </w:rPr>
      </w:pPr>
    </w:p>
    <w:p>
      <w:pPr>
        <w:ind w:left="20"/>
        <w:spacing w:after="0"/>
        <w:tabs>
          <w:tab w:leader="none" w:pos="6520" w:val="left"/>
          <w:tab w:leader="none" w:pos="7020" w:val="left"/>
        </w:tabs>
        <w:rPr>
          <w:sz w:val="20"/>
          <w:szCs w:val="20"/>
          <w:color w:val="auto"/>
        </w:rPr>
      </w:pPr>
      <w:r>
        <w:rPr>
          <w:rFonts w:ascii="Arial" w:cs="Arial" w:eastAsia="Arial" w:hAnsi="Arial"/>
          <w:sz w:val="18"/>
          <w:szCs w:val="18"/>
          <w:color w:val="auto"/>
        </w:rPr>
        <w:t>Dated: April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23495</wp:posOffset>
            </wp:positionV>
            <wp:extent cx="2671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2023-04-27T15:29:35Z</dcterms:created>
  <dcterms:modified xsi:type="dcterms:W3CDTF">2023-04-27T15:29:35Z</dcterms:modified>
</cp:coreProperties>
</file>