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ees-20230630.htm"/>
      <w:bookmarkStart w:id="1" w:name="kshees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 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60" w:after="0"/>
        <w:jc w:val="center"/>
        <w:rPr>
          <w:rFonts w:ascii="Times New Roman;serif" w:hAnsi="Times New Roman;serif"/>
          <w:b/>
          <w:sz w:val="20"/>
        </w:rPr>
      </w:pPr>
      <w:r>
        <w:rPr>
          <w:rFonts w:ascii="Times New Roman;serif" w:hAnsi="Times New Roman;serif"/>
          <w:b/>
          <w:sz w:val="20"/>
        </w:rPr>
        <w:t>For the quarterly period ended June 30, 2023</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6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60" w:after="0"/>
        <w:jc w:val="center"/>
        <w:rPr>
          <w:rFonts w:ascii="Times New Roman;serif" w:hAnsi="Times New Roman;serif"/>
          <w:b/>
          <w:sz w:val="20"/>
        </w:rPr>
      </w:pPr>
      <w:r>
        <w:rPr>
          <w:rFonts w:ascii="Times New Roman;serif" w:hAnsi="Times New Roman;serif"/>
          <w:b/>
          <w:sz w:val="20"/>
        </w:rPr>
        <w:t>Commission file number: 000-51759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48"/>
        </w:rPr>
      </w:pPr>
      <w:r>
        <w:rPr>
          <w:rFonts w:ascii="Times New Roman;serif" w:hAnsi="Times New Roman;serif"/>
          <w:b/>
          <w:sz w:val="48"/>
        </w:rPr>
        <w:t>H&amp;E Equipment Services,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81-0553291</w:t>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(State or Other Jurisdiction of</w:t>
            </w:r>
            <w:r>
              <w:rPr>
                <w:rFonts w:ascii="Times New Roman" w:hAnsi="Times New Roman"/>
                <w:sz w:val="16"/>
              </w:rPr>
              <w:t xml:space="preserve"> </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(I.R.S. Employer</w:t>
            </w:r>
            <w:r>
              <w:rPr>
                <w:rFonts w:ascii="Times New Roman" w:hAnsi="Times New Roman"/>
                <w:sz w:val="16"/>
              </w:rPr>
              <w:t xml:space="preserve"> </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7500 Pecue Lane,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70809</w:t>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Baton Rouge, Louisiana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(ZIP Code)</w:t>
            </w:r>
          </w:p>
        </w:tc>
      </w:tr>
      <w:tr>
        <w:trPr/>
        <w:tc>
          <w:tcPr>
            <w:tcW w:w="30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 (225) 298-5200</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tbl>
      <w:tblPr>
        <w:tblW w:w="9333" w:type="dxa"/>
        <w:jc w:val="left"/>
        <w:tblInd w:w="0" w:type="dxa"/>
        <w:tblLayout w:type="fixed"/>
        <w:tblCellMar>
          <w:top w:w="28" w:type="dxa"/>
          <w:left w:w="28" w:type="dxa"/>
          <w:bottom w:w="28" w:type="dxa"/>
          <w:right w:w="28" w:type="dxa"/>
        </w:tblCellMar>
      </w:tblPr>
      <w:tblGrid>
        <w:gridCol w:w="3606"/>
        <w:gridCol w:w="1731"/>
        <w:gridCol w:w="3996"/>
      </w:tblGrid>
      <w:tr>
        <w:trPr/>
        <w:tc>
          <w:tcPr>
            <w:tcW w:w="360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r>
      <w:tr>
        <w:trPr/>
        <w:tc>
          <w:tcPr>
            <w:tcW w:w="36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Title of Each Class</w:t>
            </w:r>
          </w:p>
        </w:tc>
        <w:tc>
          <w:tcPr>
            <w:tcW w:w="173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Trading Symbol(s)</w:t>
            </w:r>
          </w:p>
        </w:tc>
        <w:tc>
          <w:tcPr>
            <w:tcW w:w="399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Name of Each Exchange on Which Registered</w:t>
            </w:r>
          </w:p>
        </w:tc>
      </w:tr>
      <w:tr>
        <w:trPr/>
        <w:tc>
          <w:tcPr>
            <w:tcW w:w="36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731" w:type="dxa"/>
            <w:tcBorders>
              <w:bottom w:val="single" w:sz="6" w:space="0" w:color="000000"/>
              <w:right w:val="single" w:sz="6" w:space="0" w:color="000000"/>
            </w:tcBorders>
            <w:tcMar>
              <w:top w:w="0" w:type="dxa"/>
              <w:left w:w="0" w:type="dxa"/>
            </w:tcMar>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HEES</w:t>
            </w:r>
          </w:p>
        </w:tc>
        <w:tc>
          <w:tcPr>
            <w:tcW w:w="3996" w:type="dxa"/>
            <w:tcBorders>
              <w:bottom w:val="single" w:sz="6" w:space="0" w:color="000000"/>
              <w:right w:val="single" w:sz="6" w:space="0" w:color="000000"/>
            </w:tcBorders>
            <w:tcMar>
              <w:top w:w="0" w:type="dxa"/>
              <w:left w:w="0" w:type="dxa"/>
            </w:tcMar>
            <w:vAlign w:val="center"/>
          </w:tcPr>
          <w:p>
            <w:pPr>
              <w:pStyle w:val="TableContents"/>
              <w:bidi w:val="0"/>
              <w:spacing w:before="0" w:after="44"/>
              <w:ind w:left="0" w:right="11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9306" w:type="dxa"/>
        <w:jc w:val="left"/>
        <w:tblInd w:w="0" w:type="dxa"/>
        <w:tblLayout w:type="fixed"/>
        <w:tblCellMar>
          <w:top w:w="28" w:type="dxa"/>
          <w:left w:w="28" w:type="dxa"/>
          <w:bottom w:w="28" w:type="dxa"/>
          <w:right w:w="28" w:type="dxa"/>
        </w:tblCellMar>
      </w:tblPr>
      <w:tblGrid>
        <w:gridCol w:w="2491"/>
        <w:gridCol w:w="316"/>
        <w:gridCol w:w="3931"/>
        <w:gridCol w:w="316"/>
        <w:gridCol w:w="1891"/>
        <w:gridCol w:w="361"/>
      </w:tblGrid>
      <w:tr>
        <w:trPr/>
        <w:tc>
          <w:tcPr>
            <w:tcW w:w="24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Accelerated Filer</w:t>
            </w:r>
            <w:r>
              <w:rPr>
                <w:rFonts w:ascii="Times New Roman" w:hAnsi="Times New Roman"/>
                <w:sz w:val="20"/>
              </w:rPr>
              <w:t xml:space="preserve">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4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4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Smaller Reporting Company</w:t>
            </w:r>
            <w:r>
              <w:rPr>
                <w:rFonts w:ascii="Times New Roman" w:hAnsi="Times New Roman"/>
                <w:sz w:val="20"/>
              </w:rPr>
              <w:t xml:space="preserve">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Emerging Growth Company</w:t>
            </w:r>
            <w:r>
              <w:rPr>
                <w:rFonts w:ascii="Times New Roman" w:hAnsi="Times New Roman"/>
                <w:sz w:val="20"/>
              </w:rPr>
              <w:t xml:space="preserve">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20"/>
        </w:rPr>
        <w:t>As of July 20, 2023, there were 36,378,288</w:t>
      </w:r>
      <w:r>
        <w:rPr>
          <w:rFonts w:ascii="Times New Roman" w:hAnsi="Times New Roman"/>
          <w:sz w:val="20"/>
        </w:rPr>
        <w:t xml:space="preserve"> </w:t>
      </w:r>
      <w:r>
        <w:rPr>
          <w:rFonts w:ascii="Times New Roman;serif" w:hAnsi="Times New Roman;serif"/>
          <w:b w:val="false"/>
          <w:sz w:val="20"/>
        </w:rPr>
        <w:t>shares of H&amp;E Equipment Services, Inc. common stock, $0.01 par value,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center"/>
        <w:rPr>
          <w:rFonts w:ascii="Times New Roman;serif" w:hAnsi="Times New Roman;serif"/>
          <w:b/>
          <w:sz w:val="20"/>
        </w:rPr>
      </w:pPr>
      <w:r>
        <w:rPr>
          <w:rFonts w:ascii="Times New Roman;serif" w:hAnsi="Times New Roman;serif"/>
          <w:b/>
          <w:sz w:val="20"/>
        </w:rPr>
        <w:t>June 30, 2023</w:t>
      </w:r>
    </w:p>
    <w:tbl>
      <w:tblPr>
        <w:tblW w:w="10205" w:type="dxa"/>
        <w:jc w:val="left"/>
        <w:tblInd w:w="0" w:type="dxa"/>
        <w:tblLayout w:type="fixed"/>
        <w:tblCellMar>
          <w:top w:w="28" w:type="dxa"/>
          <w:left w:w="28" w:type="dxa"/>
          <w:bottom w:w="28" w:type="dxa"/>
          <w:right w:w="28" w:type="dxa"/>
        </w:tblCellMar>
      </w:tblPr>
      <w:tblGrid>
        <w:gridCol w:w="9529"/>
        <w:gridCol w:w="146"/>
        <w:gridCol w:w="530"/>
      </w:tblGrid>
      <w:tr>
        <w:trPr/>
        <w:tc>
          <w:tcPr>
            <w:tcW w:w="9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5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5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firstLine="274"/>
              <w:jc w:val="right"/>
              <w:rPr>
                <w:rFonts w:ascii="Times New Roman;serif" w:hAnsi="Times New Roman;serif"/>
                <w:b w:val="false"/>
                <w:sz w:val="20"/>
              </w:rPr>
            </w:pPr>
            <w:r>
              <w:rPr>
                <w:rFonts w:ascii="Times New Roman;serif" w:hAnsi="Times New Roman;serif"/>
                <w:b w:val="false"/>
                <w:sz w:val="20"/>
              </w:rPr>
              <w:t>5</w:t>
            </w:r>
          </w:p>
        </w:tc>
      </w:tr>
      <w:tr>
        <w:trPr/>
        <w:tc>
          <w:tcPr>
            <w:tcW w:w="9529"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June 30, 2023 (Unaudited) and December 31,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firstLine="274"/>
              <w:jc w:val="right"/>
              <w:rPr>
                <w:rFonts w:ascii="Times New Roman;serif" w:hAnsi="Times New Roman;serif"/>
                <w:b w:val="false"/>
                <w:sz w:val="20"/>
              </w:rPr>
            </w:pPr>
            <w:r>
              <w:rPr>
                <w:rFonts w:ascii="Times New Roman;serif" w:hAnsi="Times New Roman;serif"/>
                <w:b w:val="false"/>
                <w:sz w:val="20"/>
              </w:rPr>
              <w:t>5</w:t>
            </w:r>
          </w:p>
        </w:tc>
      </w:tr>
      <w:tr>
        <w:trPr/>
        <w:tc>
          <w:tcPr>
            <w:tcW w:w="9529"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statements_income">
              <w:r>
                <w:rPr>
                  <w:rStyle w:val="InternetLink"/>
                  <w:rFonts w:ascii="Times New Roman;serif" w:hAnsi="Times New Roman;serif"/>
                  <w:b w:val="false"/>
                  <w:sz w:val="20"/>
                  <w:u w:val="single"/>
                </w:rPr>
                <w:t>Condensed Consolidated Statements of Income (Unaudited) for the Three and Six Months Ended June 30,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firstLine="274"/>
              <w:jc w:val="right"/>
              <w:rPr>
                <w:rFonts w:ascii="Times New Roman;serif" w:hAnsi="Times New Roman;serif"/>
                <w:b w:val="false"/>
                <w:sz w:val="20"/>
              </w:rPr>
            </w:pPr>
            <w:r>
              <w:rPr>
                <w:rFonts w:ascii="Times New Roman;serif" w:hAnsi="Times New Roman;serif"/>
                <w:b w:val="false"/>
                <w:sz w:val="20"/>
              </w:rPr>
              <w:t>6</w:t>
            </w:r>
          </w:p>
        </w:tc>
      </w:tr>
      <w:tr>
        <w:trPr/>
        <w:tc>
          <w:tcPr>
            <w:tcW w:w="9529"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(Unaudited) for the Six Months Ended June 30,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firstLine="274"/>
              <w:jc w:val="right"/>
              <w:rPr>
                <w:rFonts w:ascii="Times New Roman;serif" w:hAnsi="Times New Roman;serif"/>
                <w:b w:val="false"/>
                <w:sz w:val="20"/>
              </w:rPr>
            </w:pPr>
            <w:r>
              <w:rPr>
                <w:rFonts w:ascii="Times New Roman;serif" w:hAnsi="Times New Roman;serif"/>
                <w:b w:val="false"/>
                <w:sz w:val="20"/>
              </w:rPr>
              <w:t>8</w:t>
            </w:r>
          </w:p>
        </w:tc>
      </w:tr>
      <w:tr>
        <w:trPr/>
        <w:tc>
          <w:tcPr>
            <w:tcW w:w="9529"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5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5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95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30"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risks related to a global pandemic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general economic conditions and construction and industrial activity in the markets where we operate in North America;</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our ability to forecast trends in our business accurately, and the impact of economic downturns and economic uncertainty on the markets we serve (including as a result of current uncertainty due to inflation and increasing interest rates);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the impact of conditions in the global credit and commodity markets and their effect on construction spending and the economy in general;</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trends in oil and natural gas which could adversely affect the demand for our services and products;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our inability to obtain equipment and other supplies for our business from our key suppliers on acceptable terms or at all, as a result of supply chain disruptions, insolvency, financial difficulties, supplier relationships or other factors;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increased maintenance and repair costs as we age our fleet and decreases in our equipment’s residual value;</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our indebtedness;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risks associated with the expansion of our business and any potential acquisitions we may make, including any related capital expenditures, or our ability to consummate such acquisitions;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our possible inability to integrate any businesses we acquire;</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competitive pressures;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security breaches, cybersecurity attacks, failure to protect personal information, compliance with data protection laws and other disruptions in our information technology systems;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adverse weather events or natural disasters;</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risks related to climate change and climate change regulation;</w:t>
      </w:r>
    </w:p>
    <w:p>
      <w:pPr>
        <w:pStyle w:val="TextBody"/>
        <w:bidi w:val="0"/>
        <w:spacing w:before="80" w:after="0"/>
        <w:jc w:val="left"/>
        <w:rPr/>
      </w:pPr>
      <w:r>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compliance with laws and regulations, including those relating to environmental matters, corporate governance matters and tax matters, as well as any future changes to such laws and regulations; and</w:t>
      </w:r>
    </w:p>
    <w:p>
      <w:pPr>
        <w:pStyle w:val="TextBody"/>
        <w:bidi w:val="0"/>
        <w:spacing w:before="80" w:after="0"/>
        <w:jc w:val="left"/>
        <w:rPr/>
      </w:pPr>
      <w:r>
        <w:rPr/>
        <w:t>•</w:t>
      </w:r>
    </w:p>
    <w:p>
      <w:pPr>
        <w:pStyle w:val="TextBody"/>
        <w:bidi w:val="0"/>
        <w:spacing w:before="80" w:after="283"/>
        <w:jc w:val="left"/>
        <w:rPr>
          <w:rFonts w:ascii="Times New Roman;serif" w:hAnsi="Times New Roman;serif"/>
          <w:b w:val="false"/>
          <w:sz w:val="20"/>
        </w:rPr>
      </w:pPr>
      <w:r>
        <w:rPr>
          <w:rFonts w:ascii="Times New Roman;serif" w:hAnsi="Times New Roman;serif"/>
          <w:b w:val="false"/>
          <w:sz w:val="20"/>
        </w:rPr>
        <w:t>other factors discussed under “Risk Factors” in our Annual Report on Form 10-K for the year ended December 31, 2022 and in Item 1A — “Risk Factors” in this Quarterly Report on Form 10-Q for the quarterly period ended June 30, 2023.</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 forward</w:t>
        <w:noBreakHyphen/>
        <w:t>looking statements and are cautioned not to place undue reliance on such forward</w:t>
        <w:noBreakHyphen/>
        <w:t>looking statements. Although we believe that the expectations reflected in the forward-looking statements are reasonable, we cannot guarantee future results or performance.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For a more detailed discussion of some of the foregoing risks and uncertainties, see Item 1A — “Risk Factors” in our Annual Report on Form 10-K for the year ended December 31, 2022 and in Item 1A — “Risk Factors” in this Quarterly Report on Form 10-Q for the quarterly period ended June 30,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Times New Roman;serif" w:hAnsi="Times New Roman;serif"/>
          <w:b w:val="false"/>
          <w:i/>
          <w:sz w:val="20"/>
        </w:rPr>
        <w:t>www.he-equipment.com</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12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and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Balances at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72" w:type="dxa"/>
            <w:tcBorders/>
            <w:vAlign w:val="center"/>
          </w:tcPr>
          <w:p>
            <w:pPr>
              <w:pStyle w:val="TableContents"/>
              <w:bidi w:val="0"/>
              <w:spacing w:before="0" w:after="0"/>
              <w:ind w:left="0" w:right="0" w:hanging="0"/>
              <w:jc w:val="left"/>
              <w:rPr>
                <w:rFonts w:ascii="Times New Roman" w:hAnsi="Times New Roman"/>
                <w:sz w:val="15"/>
              </w:rPr>
            </w:pPr>
            <w:r>
              <w:rPr>
                <w:rFonts w:ascii="Times New Roman;serif" w:hAnsi="Times New Roman;serif"/>
                <w:b w:val="false"/>
                <w:sz w:val="15"/>
              </w:rPr>
              <w:br/>
            </w:r>
            <w:r>
              <w:rPr>
                <w:rFonts w:ascii="Times New Roman" w:hAnsi="Times New Roman"/>
                <w:sz w:val="15"/>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6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81,330</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Receivables, net of allowance for doubtful accounts of $6,074</w:t>
            </w:r>
            <w:r>
              <w:rPr>
                <w:rFonts w:ascii="Times New Roman" w:hAnsi="Times New Roman"/>
                <w:sz w:val="20"/>
              </w:rPr>
              <w:t> </w:t>
            </w:r>
            <w:r>
              <w:rPr>
                <w:rFonts w:ascii="Times New Roman;serif" w:hAnsi="Times New Roman;serif"/>
                <w:b w:val="false"/>
                <w:sz w:val="20"/>
              </w:rPr>
              <w:t>and $6,637,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225,294</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Inventories, net of reserves for obsolescence of $56</w:t>
            </w:r>
            <w:r>
              <w:rPr>
                <w:rFonts w:ascii="Times New Roman" w:hAnsi="Times New Roman"/>
                <w:sz w:val="20"/>
              </w:rPr>
              <w:t> </w:t>
            </w:r>
            <w:r>
              <w:rPr>
                <w:rFonts w:ascii="Times New Roman;serif" w:hAnsi="Times New Roman;serif"/>
                <w:b w:val="false"/>
                <w:sz w:val="20"/>
              </w:rPr>
              <w:t>and $54,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107,842</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21,455</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Rental equipment, net of accumulated depreciation of $960,044</w:t>
            </w:r>
            <w:r>
              <w:rPr>
                <w:rFonts w:ascii="Times New Roman" w:hAnsi="Times New Roman"/>
                <w:sz w:val="20"/>
              </w:rPr>
              <w:t> </w:t>
            </w:r>
            <w:r>
              <w:rPr>
                <w:rFonts w:ascii="Times New Roman;serif" w:hAnsi="Times New Roman;serif"/>
                <w:b w:val="false"/>
                <w:sz w:val="20"/>
              </w:rPr>
              <w:t>and $884,740,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1,418,951</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Property and equipment, net of accumulated depreciation and amortization of $186,965</w:t>
            </w:r>
            <w:r>
              <w:rPr>
                <w:rFonts w:ascii="Times New Roman" w:hAnsi="Times New Roman"/>
                <w:sz w:val="20"/>
              </w:rPr>
              <w:t> </w:t>
            </w:r>
            <w:r>
              <w:rPr>
                <w:rFonts w:ascii="Times New Roman;serif" w:hAnsi="Times New Roman;serif"/>
                <w:b w:val="false"/>
                <w:sz w:val="20"/>
              </w:rPr>
              <w:t>and $177,017,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134,637</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Operating lease right-of-use assets, net of accumulated amortization of $60,623</w:t>
            </w:r>
            <w:r>
              <w:rPr>
                <w:rFonts w:ascii="Times New Roman" w:hAnsi="Times New Roman"/>
                <w:sz w:val="20"/>
              </w:rPr>
              <w:t> </w:t>
            </w:r>
            <w:r>
              <w:rPr>
                <w:rFonts w:ascii="Times New Roman;serif" w:hAnsi="Times New Roman;serif"/>
                <w:b w:val="false"/>
                <w:sz w:val="20"/>
              </w:rPr>
              <w:t>and $51,419,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164,566</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Finance lease right-of-use assets, net of accumulated amortization of $186</w:t>
            </w:r>
            <w:r>
              <w:rPr>
                <w:rFonts w:ascii="Times New Roman" w:hAnsi="Times New Roman"/>
                <w:sz w:val="20"/>
              </w:rPr>
              <w:t> </w:t>
            </w:r>
            <w:r>
              <w:rPr>
                <w:rFonts w:ascii="Times New Roman;serif" w:hAnsi="Times New Roman;serif"/>
                <w:b w:val="false"/>
                <w:sz w:val="20"/>
              </w:rPr>
              <w:t>and $105,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Deferred financing costs, net of accumulated amortization of $17,042</w:t>
            </w:r>
            <w:r>
              <w:rPr>
                <w:rFonts w:ascii="Times New Roman" w:hAnsi="Times New Roman"/>
                <w:sz w:val="20"/>
              </w:rPr>
              <w:t> </w:t>
            </w:r>
            <w:r>
              <w:rPr>
                <w:rFonts w:ascii="Times New Roman;serif" w:hAnsi="Times New Roman;serif"/>
                <w:b w:val="false"/>
                <w:sz w:val="20"/>
              </w:rPr>
              <w:t>and $16,518,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Intangible assets, net of accumulated amortization of $22,734</w:t>
            </w:r>
            <w:r>
              <w:rPr>
                <w:rFonts w:ascii="Times New Roman" w:hAnsi="Times New Roman"/>
                <w:sz w:val="20"/>
              </w:rPr>
              <w:t> </w:t>
            </w:r>
            <w:r>
              <w:rPr>
                <w:rFonts w:ascii="Times New Roman;serif" w:hAnsi="Times New Roman;serif"/>
                <w:b w:val="false"/>
                <w:sz w:val="20"/>
              </w:rPr>
              <w:t>and $19,369,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32,631</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102,690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2,560,198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2,291,699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Senior secured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129,482</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Manufacturer flooring plans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payable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77,142</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Senior unsecured notes, net of unaccreted discount of $6,393</w:t>
            </w:r>
            <w:r>
              <w:rPr>
                <w:rFonts w:ascii="Times New Roman" w:hAnsi="Times New Roman"/>
                <w:sz w:val="20"/>
              </w:rPr>
              <w:t> </w:t>
            </w:r>
            <w:r>
              <w:rPr>
                <w:rFonts w:ascii="Times New Roman;serif" w:hAnsi="Times New Roman;serif"/>
                <w:b w:val="false"/>
                <w:sz w:val="20"/>
              </w:rPr>
              <w:t>and $6,979</w:t>
            </w:r>
            <w:r>
              <w:rPr>
                <w:rFonts w:ascii="Times New Roman" w:hAnsi="Times New Roman"/>
                <w:sz w:val="20"/>
              </w:rPr>
              <w:t> </w:t>
            </w:r>
            <w:r>
              <w:rPr>
                <w:rFonts w:ascii="Times New Roman;serif" w:hAnsi="Times New Roman;serif"/>
                <w:b w:val="false"/>
                <w:sz w:val="20"/>
              </w:rPr>
              <w:t>and deferred financing costs of $1,476</w:t>
            </w:r>
            <w:r>
              <w:rPr>
                <w:rFonts w:ascii="Times New Roman" w:hAnsi="Times New Roman"/>
                <w:sz w:val="20"/>
              </w:rPr>
              <w:t> </w:t>
            </w:r>
            <w:r>
              <w:rPr>
                <w:rFonts w:ascii="Times New Roman;serif" w:hAnsi="Times New Roman;serif"/>
                <w:b w:val="false"/>
                <w:sz w:val="20"/>
              </w:rPr>
              <w:t>and $1,612,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1,241,409</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169,069</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2,110,302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1,890,657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25,000,000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 175,000,000</w:t>
            </w:r>
            <w:r>
              <w:rPr>
                <w:rFonts w:ascii="Times New Roman" w:hAnsi="Times New Roman"/>
                <w:sz w:val="20"/>
              </w:rPr>
              <w:t> </w:t>
            </w:r>
            <w:r>
              <w:rPr>
                <w:rFonts w:ascii="Times New Roman;serif" w:hAnsi="Times New Roman;serif"/>
                <w:b w:val="false"/>
                <w:sz w:val="20"/>
              </w:rPr>
              <w:t>shares authorized; 40,695,054</w:t>
            </w:r>
            <w:r>
              <w:rPr>
                <w:rFonts w:ascii="Times New Roman" w:hAnsi="Times New Roman"/>
                <w:sz w:val="20"/>
              </w:rPr>
              <w:t> </w:t>
            </w:r>
            <w:r>
              <w:rPr>
                <w:rFonts w:ascii="Times New Roman;serif" w:hAnsi="Times New Roman;serif"/>
                <w:b w:val="false"/>
                <w:sz w:val="20"/>
              </w:rPr>
              <w:t>and 40,567,876</w:t>
            </w:r>
            <w:r>
              <w:rPr>
                <w:rFonts w:ascii="Times New Roman" w:hAnsi="Times New Roman"/>
                <w:sz w:val="20"/>
              </w:rPr>
              <w:t> </w:t>
            </w:r>
            <w:r>
              <w:rPr>
                <w:rFonts w:ascii="Times New Roman;serif" w:hAnsi="Times New Roman;serif"/>
                <w:b w:val="false"/>
                <w:sz w:val="20"/>
              </w:rPr>
              <w:t>shares issued at June 30, 2023 and December 31, 2022, respectively, and 36,378,288</w:t>
            </w:r>
            <w:r>
              <w:rPr>
                <w:rFonts w:ascii="Times New Roman" w:hAnsi="Times New Roman"/>
                <w:sz w:val="20"/>
              </w:rPr>
              <w:t> </w:t>
            </w:r>
            <w:r>
              <w:rPr>
                <w:rFonts w:ascii="Times New Roman;serif" w:hAnsi="Times New Roman;serif"/>
                <w:b w:val="false"/>
                <w:sz w:val="20"/>
              </w:rPr>
              <w:t>and 36,309,321</w:t>
            </w:r>
            <w:r>
              <w:rPr>
                <w:rFonts w:ascii="Times New Roman" w:hAnsi="Times New Roman"/>
                <w:sz w:val="20"/>
              </w:rPr>
              <w:t> </w:t>
            </w:r>
            <w:r>
              <w:rPr>
                <w:rFonts w:ascii="Times New Roman;serif" w:hAnsi="Times New Roman;serif"/>
                <w:b w:val="false"/>
                <w:sz w:val="20"/>
              </w:rPr>
              <w:t>shares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256,930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251,901</w:t>
            </w:r>
          </w:p>
        </w:tc>
        <w:tc>
          <w:tcPr>
            <w:tcW w:w="591" w:type="dxa"/>
            <w:tcBorders/>
            <w:vAlign w:val="center"/>
          </w:tcPr>
          <w:p>
            <w:pPr>
              <w:pStyle w:val="TableContents"/>
              <w:bidi w:val="0"/>
              <w:spacing w:before="0" w:after="0"/>
              <w:ind w:left="0" w:right="0" w:firstLine="200"/>
              <w:jc w:val="left"/>
              <w:rPr/>
            </w:pPr>
            <w:r>
              <w:rPr/>
              <w:t> </w:t>
            </w:r>
          </w:p>
        </w:tc>
      </w:tr>
      <w:tr>
        <w:trPr/>
        <w:tc>
          <w:tcPr>
            <w:tcW w:w="687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stock at cost, 4,316,766</w:t>
            </w:r>
            <w:r>
              <w:rPr>
                <w:rFonts w:ascii="Times New Roman" w:hAnsi="Times New Roman"/>
                <w:sz w:val="20"/>
              </w:rPr>
              <w:t> </w:t>
            </w:r>
            <w:r>
              <w:rPr>
                <w:rFonts w:ascii="Times New Roman;serif" w:hAnsi="Times New Roman;serif"/>
                <w:b w:val="false"/>
                <w:sz w:val="20"/>
              </w:rPr>
              <w:t>and 4,258,555</w:t>
            </w:r>
            <w:r>
              <w:rPr>
                <w:rFonts w:ascii="Times New Roman" w:hAnsi="Times New Roman"/>
                <w:sz w:val="20"/>
              </w:rPr>
              <w:t> </w:t>
            </w:r>
            <w:r>
              <w:rPr>
                <w:rFonts w:ascii="Times New Roman;serif" w:hAnsi="Times New Roman;serif"/>
                <w:b w:val="false"/>
                <w:sz w:val="20"/>
              </w:rPr>
              <w:t>shares of common stock held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(69,964</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449,896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401,042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7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2,560,198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2,291,699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bookmarkStart w:id="5" w:name="condensed_consolidated_statements_income"/>
      <w:bookmarkEnd w:id="5"/>
      <w:r>
        <w:rPr>
          <w:rFonts w:ascii="Times New Roman;serif" w:hAnsi="Times New Roman;serif"/>
          <w:b/>
          <w:sz w:val="20"/>
        </w:rPr>
        <w:t>CONDENSED CONSOLIDATED STATEMENTS OF INCOME</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4544"/>
        <w:gridCol w:w="146"/>
        <w:gridCol w:w="211"/>
        <w:gridCol w:w="781"/>
        <w:gridCol w:w="166"/>
        <w:gridCol w:w="146"/>
        <w:gridCol w:w="211"/>
        <w:gridCol w:w="781"/>
        <w:gridCol w:w="166"/>
        <w:gridCol w:w="146"/>
        <w:gridCol w:w="211"/>
        <w:gridCol w:w="781"/>
        <w:gridCol w:w="166"/>
        <w:gridCol w:w="146"/>
        <w:gridCol w:w="211"/>
        <w:gridCol w:w="781"/>
        <w:gridCol w:w="611"/>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426,802</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40,359</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47,522</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32,231</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17,023</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567,121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Rental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122,309</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Rental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59,574</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Rental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116,976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226,669</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22,419</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40,600</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23,536</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5,957</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323,207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243,914</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160,942</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sales of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85,354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(26,947</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(25,174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 before 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60,180</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discontinued operations before 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 from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4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righ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INCOME (Continued)</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per share amounts)</w:t>
      </w:r>
    </w:p>
    <w:p>
      <w:pPr>
        <w:pStyle w:val="TextBody"/>
        <w:bidi w:val="0"/>
        <w:spacing w:before="0" w:after="0"/>
        <w:jc w:val="left"/>
        <w:rPr/>
      </w:pPr>
      <w:r>
        <w:rPr/>
        <w:t> </w:t>
      </w:r>
    </w:p>
    <w:tbl>
      <w:tblPr>
        <w:tblW w:w="10092" w:type="dxa"/>
        <w:jc w:val="left"/>
        <w:tblInd w:w="0" w:type="dxa"/>
        <w:tblLayout w:type="fixed"/>
        <w:tblCellMar>
          <w:top w:w="28" w:type="dxa"/>
          <w:left w:w="28" w:type="dxa"/>
          <w:bottom w:w="28" w:type="dxa"/>
          <w:right w:w="28" w:type="dxa"/>
        </w:tblCellMar>
      </w:tblPr>
      <w:tblGrid>
        <w:gridCol w:w="4891"/>
        <w:gridCol w:w="146"/>
        <w:gridCol w:w="211"/>
        <w:gridCol w:w="676"/>
        <w:gridCol w:w="146"/>
        <w:gridCol w:w="146"/>
        <w:gridCol w:w="211"/>
        <w:gridCol w:w="676"/>
        <w:gridCol w:w="166"/>
        <w:gridCol w:w="146"/>
        <w:gridCol w:w="211"/>
        <w:gridCol w:w="676"/>
        <w:gridCol w:w="146"/>
        <w:gridCol w:w="146"/>
        <w:gridCol w:w="211"/>
        <w:gridCol w:w="676"/>
        <w:gridCol w:w="6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48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 per common share: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per common share: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per common share: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36,373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declared per common share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bookmarkStart w:id="6" w:name="condensed_consolidated_statements_cash_f"/>
      <w:bookmarkEnd w:id="6"/>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w:t>
      </w:r>
    </w:p>
    <w:tbl>
      <w:tblPr>
        <w:tblW w:w="10094"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841"/>
        <w:gridCol w:w="8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811" w:type="dxa"/>
            <w:tcBorders/>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42,642</w:t>
            </w:r>
          </w:p>
        </w:tc>
        <w:tc>
          <w:tcPr>
            <w:tcW w:w="8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13,881</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of rental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122,309</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finance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1,985</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 of note discount, net of premium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operating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6,794</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losses on 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inventory obsolescence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13,811</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2,989</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sale of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from sales of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from sales of rental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(17,341</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(27,252</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(87,557</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(6,737</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41,270</w:t>
            </w:r>
          </w:p>
        </w:tc>
        <w:tc>
          <w:tcPr>
            <w:tcW w:w="811" w:type="dxa"/>
            <w:tcBorders/>
            <w:vAlign w:val="center"/>
          </w:tcPr>
          <w:p>
            <w:pPr>
              <w:pStyle w:val="TableContents"/>
              <w:bidi w:val="0"/>
              <w:spacing w:before="0" w:after="0"/>
              <w:ind w:left="0" w:right="0" w:firstLine="400"/>
              <w:jc w:val="left"/>
              <w:rPr/>
            </w:pPr>
            <w:r>
              <w:rPr/>
              <w:t> </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Manufacturer flooring plans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811" w:type="dxa"/>
            <w:tcBorders/>
            <w:vAlign w:val="center"/>
          </w:tcPr>
          <w:p>
            <w:pPr>
              <w:pStyle w:val="TableContents"/>
              <w:bidi w:val="0"/>
              <w:spacing w:before="0" w:after="0"/>
              <w:ind w:left="0" w:right="0" w:firstLine="400"/>
              <w:jc w:val="left"/>
              <w:rPr/>
            </w:pPr>
            <w:r>
              <w:rPr/>
              <w:t> </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payable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104,189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Closing adjustment on sale of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(24,457</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rental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(174,775</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2,794</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sales of rental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36,293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21"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(162,401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 on senior secured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573,197</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senior secured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(748,653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(573,197</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(19,886</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treasury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finance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(78,465</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357,296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278,831</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CASH FLOWS (Continued)</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w:t>
      </w:r>
    </w:p>
    <w:tbl>
      <w:tblPr>
        <w:tblW w:w="10205" w:type="dxa"/>
        <w:jc w:val="left"/>
        <w:tblInd w:w="0" w:type="dxa"/>
        <w:tblLayout w:type="fixed"/>
        <w:tblCellMar>
          <w:top w:w="28" w:type="dxa"/>
          <w:left w:w="28" w:type="dxa"/>
          <w:bottom w:w="28" w:type="dxa"/>
          <w:right w:w="28" w:type="dxa"/>
        </w:tblCellMar>
      </w:tblPr>
      <w:tblGrid>
        <w:gridCol w:w="7382"/>
        <w:gridCol w:w="146"/>
        <w:gridCol w:w="211"/>
        <w:gridCol w:w="676"/>
        <w:gridCol w:w="146"/>
        <w:gridCol w:w="146"/>
        <w:gridCol w:w="211"/>
        <w:gridCol w:w="676"/>
        <w:gridCol w:w="611"/>
      </w:tblGrid>
      <w:tr>
        <w:trPr/>
        <w:tc>
          <w:tcPr>
            <w:tcW w:w="7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8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738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schedule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3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asset purchases: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3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Assets transferred from used and new inventory to rental fleet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40,808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3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accrued expenses payable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3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cash flow information: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3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during the period for:</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3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30,426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3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taxes paid, net of refunds received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H&amp;E EQUIPMENT SERVICES, INC. AND SUBSIDIARIES</w:t>
      </w:r>
    </w:p>
    <w:p>
      <w:pPr>
        <w:pStyle w:val="TextBody"/>
        <w:bidi w:val="0"/>
        <w:spacing w:before="0" w:after="0"/>
        <w:jc w:val="center"/>
        <w:rPr>
          <w:rFonts w:ascii="Times New Roman;serif" w:hAnsi="Times New Roman;serif"/>
          <w:b/>
          <w:sz w:val="20"/>
        </w:rPr>
      </w:pPr>
      <w:bookmarkStart w:id="7" w:name="notes_to_condensed_consolidated_financia"/>
      <w:bookmarkEnd w:id="7"/>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serif" w:hAnsi="Times New Roman;serif"/>
          <w:b/>
          <w:sz w:val="20"/>
        </w:rPr>
      </w:pPr>
      <w:r>
        <w:rPr>
          <w:rFonts w:ascii="Times New Roman;serif" w:hAnsi="Times New Roman;serif"/>
          <w:b/>
          <w:sz w:val="20"/>
        </w:rPr>
        <w:t>(1) Organization and Nature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pStyle w:val="TextBody"/>
        <w:bidi w:val="0"/>
        <w:spacing w:before="200" w:after="0"/>
        <w:jc w:val="left"/>
        <w:rPr>
          <w:rFonts w:ascii="Times New Roman" w:hAnsi="Times New Roman"/>
          <w:sz w:val="20"/>
        </w:rPr>
      </w:pPr>
      <w:r>
        <w:rPr>
          <w:rFonts w:ascii="Times New Roman;serif" w:hAnsi="Times New Roman;serif"/>
          <w:b w:val="false"/>
          <w:sz w:val="20"/>
        </w:rPr>
        <w:t>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and six months ended June 30, 2023 are not necessarily indicative of the results that may be expected for the year ending December 31, 2023,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2022, from which the consolidated balance sheet amounts as of December 31, 2022 were derived. All significant intercompany accounts and transactions have been eliminated in these condensed consolidated financial statements.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On October 1, 2021, the Company sold its crane business (the “Crane Sale”) and during June 2022, closing adjustments were finalized. The results of operations of the Crane Sale are reported in discontinued operations in the Condensed Consolidated Statements of Income for the 2022 period presented. All results and information in the consolidated financial statements are presented as continuing operations and exclude the Crane Sale unless otherwise noted specifically as discontinued operations. The Condensed Consolidated Statements of Cash Flows include cash flows related to the discontinued operations and accordingly, cash flow amounts for discontinued operations are disclosed in Note 3 “Acquisitions and Dispositions”. For additional information, refer to Note 3.</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nature of our business is such that short-term obligations are typically met by cash flows generated from long-term assets. Consequently, the accompanying condensed consolidated balance sheets are presented on an unclassified basis.</w:t>
      </w:r>
    </w:p>
    <w:p>
      <w:pPr>
        <w:pStyle w:val="TextBody"/>
        <w:bidi w:val="0"/>
        <w:spacing w:before="240" w:after="0"/>
        <w:jc w:val="left"/>
        <w:rPr>
          <w:rFonts w:ascii="Times New Roman;serif" w:hAnsi="Times New Roman;serif"/>
          <w:b/>
          <w:sz w:val="20"/>
        </w:rPr>
      </w:pPr>
      <w:r>
        <w:rPr>
          <w:rFonts w:ascii="Times New Roman;serif" w:hAnsi="Times New Roman;serif"/>
          <w:b/>
          <w:sz w:val="20"/>
        </w:rPr>
        <w:t>Nature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Founded in 1961, H&amp;E Equipment Services, Inc. is one of the largest rental equipment companies in the nation, serving customers at our 126</w:t>
      </w:r>
      <w:r>
        <w:rPr>
          <w:rFonts w:ascii="Times New Roman" w:hAnsi="Times New Roman"/>
          <w:sz w:val="20"/>
        </w:rPr>
        <w:t xml:space="preserve"> </w:t>
      </w:r>
      <w:r>
        <w:rPr>
          <w:rFonts w:ascii="Times New Roman;serif" w:hAnsi="Times New Roman;serif"/>
          <w:b w:val="false"/>
          <w:sz w:val="20"/>
        </w:rPr>
        <w:t>branch locations across 29</w:t>
      </w:r>
      <w:r>
        <w:rPr>
          <w:rFonts w:ascii="Times New Roman" w:hAnsi="Times New Roman"/>
          <w:sz w:val="20"/>
        </w:rPr>
        <w:t xml:space="preserve"> </w:t>
      </w:r>
      <w:r>
        <w:rPr>
          <w:rFonts w:ascii="Times New Roman;serif" w:hAnsi="Times New Roman;serif"/>
          <w:b w:val="false"/>
          <w:sz w:val="20"/>
        </w:rPr>
        <w:t>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pStyle w:val="TextBody"/>
        <w:bidi w:val="0"/>
        <w:spacing w:before="360" w:after="0"/>
        <w:jc w:val="left"/>
        <w:rPr>
          <w:rFonts w:ascii="Times New Roman;serif" w:hAnsi="Times New Roman;serif"/>
          <w:b/>
          <w:sz w:val="20"/>
        </w:rPr>
      </w:pPr>
      <w:r>
        <w:rPr>
          <w:rFonts w:ascii="Times New Roman;serif" w:hAnsi="Times New Roman;serif"/>
          <w:b/>
          <w:sz w:val="20"/>
        </w:rPr>
        <w:t>(2) 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describe our significant accounting policies in Note 2 of the notes to Consolidated Financial Statements in our Annual Report on Form 10-K for the year ended December 31, 2022. During the three and six months ended June 30, 2023, there were no significant changes to those accounting policies.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and Cash Equivalents</w:t>
      </w:r>
    </w:p>
    <w:p>
      <w:pPr>
        <w:pStyle w:val="TextBody"/>
        <w:bidi w:val="0"/>
        <w:spacing w:before="120" w:after="0"/>
        <w:jc w:val="left"/>
        <w:rPr>
          <w:rFonts w:ascii="Times New Roman" w:hAnsi="Times New Roman"/>
          <w:sz w:val="20"/>
        </w:rPr>
      </w:pPr>
      <w:r>
        <w:rPr>
          <w:rFonts w:ascii="Times New Roman;serif" w:hAnsi="Times New Roman;serif"/>
          <w:b w:val="false"/>
          <w:sz w:val="20"/>
        </w:rPr>
        <w:t>Cash and cash equivalents include cash on hand and highly liquid investments with an original maturity of three months or less.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recognize revenue in accordance with two different Financial Accounting Standards Board (“FASB”) Accounting Standards Codification (“ASC”) standards: 1) Topic 606 and 2) Topic 842.</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the table below, revenues as presented in our condensed consolidated statements of income for the three and six months ended June 30, 2023 and 2022 are summarized by type and by the applicable accounting standard.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11"/>
        <w:gridCol w:w="676"/>
        <w:gridCol w:w="146"/>
        <w:gridCol w:w="146"/>
        <w:gridCol w:w="211"/>
        <w:gridCol w:w="781"/>
        <w:gridCol w:w="146"/>
        <w:gridCol w:w="146"/>
        <w:gridCol w:w="211"/>
        <w:gridCol w:w="781"/>
        <w:gridCol w:w="146"/>
        <w:gridCol w:w="146"/>
        <w:gridCol w:w="211"/>
        <w:gridCol w:w="676"/>
        <w:gridCol w:w="146"/>
        <w:gridCol w:w="146"/>
        <w:gridCol w:w="211"/>
        <w:gridCol w:w="781"/>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606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606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Rental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Owned 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193,781</w:t>
            </w:r>
          </w:p>
        </w:tc>
        <w:tc>
          <w:tcPr>
            <w:tcW w:w="391" w:type="dxa"/>
            <w:tcBorders/>
            <w:vAlign w:val="center"/>
          </w:tcPr>
          <w:p>
            <w:pPr>
              <w:pStyle w:val="TableContents"/>
              <w:bidi w:val="0"/>
              <w:spacing w:before="0" w:after="0"/>
              <w:ind w:left="0" w:right="0" w:firstLine="200"/>
              <w:jc w:val="left"/>
              <w:rPr/>
            </w:pPr>
            <w:r>
              <w:rPr/>
              <w:t> </w:t>
            </w:r>
          </w:p>
        </w:tc>
      </w:tr>
      <w:tr>
        <w:trPr/>
        <w:tc>
          <w:tcPr>
            <w:tcW w:w="2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Re-rent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7,462</w:t>
            </w:r>
          </w:p>
        </w:tc>
        <w:tc>
          <w:tcPr>
            <w:tcW w:w="3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Ancillary and other rental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Delivery and pick-up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13,899</w:t>
            </w:r>
          </w:p>
        </w:tc>
        <w:tc>
          <w:tcPr>
            <w:tcW w:w="391" w:type="dxa"/>
            <w:tcBorders/>
            <w:vAlign w:val="center"/>
          </w:tcPr>
          <w:p>
            <w:pPr>
              <w:pStyle w:val="TableContents"/>
              <w:bidi w:val="0"/>
              <w:spacing w:before="0" w:after="0"/>
              <w:ind w:left="0" w:right="0" w:firstLine="200"/>
              <w:jc w:val="left"/>
              <w:rPr/>
            </w:pPr>
            <w:r>
              <w:rPr/>
              <w:t> </w:t>
            </w:r>
          </w:p>
        </w:tc>
      </w:tr>
      <w:tr>
        <w:trPr/>
        <w:tc>
          <w:tcPr>
            <w:tcW w:w="2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ancillary rental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equipment rental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227,577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18,833</w:t>
            </w:r>
          </w:p>
        </w:tc>
        <w:tc>
          <w:tcPr>
            <w:tcW w:w="3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21,486</w:t>
            </w:r>
          </w:p>
        </w:tc>
        <w:tc>
          <w:tcPr>
            <w:tcW w:w="3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3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3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294,671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391"/>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1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606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Topic 606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Rental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Owned 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364,619</w:t>
            </w:r>
          </w:p>
        </w:tc>
        <w:tc>
          <w:tcPr>
            <w:tcW w:w="391" w:type="dxa"/>
            <w:tcBorders/>
            <w:vAlign w:val="center"/>
          </w:tcPr>
          <w:p>
            <w:pPr>
              <w:pStyle w:val="TableContents"/>
              <w:bidi w:val="0"/>
              <w:spacing w:before="0" w:after="0"/>
              <w:ind w:left="0" w:right="0" w:firstLine="200"/>
              <w:jc w:val="left"/>
              <w:rPr/>
            </w:pPr>
            <w:r>
              <w:rPr/>
              <w:t> </w:t>
            </w:r>
          </w:p>
        </w:tc>
      </w:tr>
      <w:tr>
        <w:trPr/>
        <w:tc>
          <w:tcPr>
            <w:tcW w:w="2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Re-rent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13,806</w:t>
            </w:r>
          </w:p>
        </w:tc>
        <w:tc>
          <w:tcPr>
            <w:tcW w:w="391" w:type="dxa"/>
            <w:tcBorders/>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Ancillary and other rental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Delivery and pick-up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24,999</w:t>
            </w:r>
          </w:p>
        </w:tc>
        <w:tc>
          <w:tcPr>
            <w:tcW w:w="391" w:type="dxa"/>
            <w:tcBorders/>
            <w:vAlign w:val="center"/>
          </w:tcPr>
          <w:p>
            <w:pPr>
              <w:pStyle w:val="TableContents"/>
              <w:bidi w:val="0"/>
              <w:spacing w:before="0" w:after="0"/>
              <w:ind w:left="0" w:right="0" w:firstLine="200"/>
              <w:jc w:val="left"/>
              <w:rPr/>
            </w:pPr>
            <w:r>
              <w:rPr/>
              <w:t> </w:t>
            </w:r>
          </w:p>
        </w:tc>
      </w:tr>
      <w:tr>
        <w:trPr/>
        <w:tc>
          <w:tcPr>
            <w:tcW w:w="2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ancillary rental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48,377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equipment rental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520,052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401,617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426,802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40,359</w:t>
            </w:r>
          </w:p>
        </w:tc>
        <w:tc>
          <w:tcPr>
            <w:tcW w:w="391" w:type="dxa"/>
            <w:tcBorders/>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47,522</w:t>
            </w:r>
          </w:p>
        </w:tc>
        <w:tc>
          <w:tcPr>
            <w:tcW w:w="391" w:type="dxa"/>
            <w:tcBorders/>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32,231</w:t>
            </w:r>
          </w:p>
        </w:tc>
        <w:tc>
          <w:tcPr>
            <w:tcW w:w="391" w:type="dxa"/>
            <w:tcBorders/>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17,023</w:t>
            </w:r>
          </w:p>
        </w:tc>
        <w:tc>
          <w:tcPr>
            <w:tcW w:w="391" w:type="dxa"/>
            <w:tcBorders/>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682,714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401,617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567,121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Revenues by reporting segment are presented in Note 11 of our Condensed Consolidated Financial Statements, using the revenue captions reflected in our Consolidated Statements of Income.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2022.</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Receivables and contract assets and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pStyle w:val="TextBody"/>
        <w:bidi w:val="0"/>
        <w:spacing w:before="200" w:after="0"/>
        <w:jc w:val="left"/>
        <w:rPr>
          <w:rFonts w:ascii="Times New Roman" w:hAnsi="Times New Roman"/>
          <w:sz w:val="20"/>
        </w:rPr>
      </w:pPr>
      <w:r>
        <w:rPr>
          <w:rFonts w:ascii="Times New Roman;serif" w:hAnsi="Times New Roman;serif"/>
          <w:b w:val="false"/>
          <w:sz w:val="20"/>
        </w:rPr>
        <w:t>We believe concentration of credit risk with respect to our receivables is limited because our customer base is comprised of a large number of geographically diverse customers. No</w:t>
      </w:r>
      <w:r>
        <w:rPr>
          <w:rFonts w:ascii="Times New Roman" w:hAnsi="Times New Roman"/>
          <w:sz w:val="20"/>
        </w:rPr>
        <w:t xml:space="preserve"> </w:t>
      </w:r>
      <w:r>
        <w:rPr>
          <w:rFonts w:ascii="Times New Roman;serif" w:hAnsi="Times New Roman;serif"/>
          <w:b w:val="false"/>
          <w:sz w:val="20"/>
        </w:rPr>
        <w:t>single customer accounted for more than 10% of our revenues on an overall or segment basis for any of the periods presented in this Quarterly Report on Form 10-Q. We manage credit risk through credit approvals, credit limits and other monitoring procedures.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our rental operations, which as discussed above is accounted for under Topic 842 and as of June 30, 2023 represents 81.1%</w:t>
      </w:r>
      <w:r>
        <w:rPr>
          <w:rFonts w:ascii="Times New Roman" w:hAnsi="Times New Roman"/>
          <w:sz w:val="20"/>
        </w:rPr>
        <w:t xml:space="preserve"> </w:t>
      </w:r>
      <w:r>
        <w:rPr>
          <w:rFonts w:ascii="Times New Roman;serif" w:hAnsi="Times New Roman;serif"/>
          <w:b w:val="false"/>
          <w:sz w:val="20"/>
        </w:rPr>
        <w:t>of our total revenues and an approximate corresponding percentage of our receivables, net and associated allowance for doubtful accounts.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both the six months ended June 30, 2023 and 2022</w:t>
      </w:r>
      <w:r>
        <w:rPr>
          <w:rFonts w:ascii="Times New Roman" w:hAnsi="Times New Roman"/>
          <w:sz w:val="20"/>
        </w:rPr>
        <w:t xml:space="preserve"> </w:t>
      </w:r>
      <w:r>
        <w:rPr>
          <w:rFonts w:ascii="Times New Roman;serif" w:hAnsi="Times New Roman;serif"/>
          <w:b w:val="false"/>
          <w:sz w:val="20"/>
        </w:rPr>
        <w:t>were approximately 0.3%.</w:t>
      </w:r>
    </w:p>
    <w:p>
      <w:pPr>
        <w:pStyle w:val="TextBody"/>
        <w:bidi w:val="0"/>
        <w:spacing w:before="200" w:after="0"/>
        <w:jc w:val="left"/>
        <w:rPr>
          <w:rFonts w:ascii="Times New Roman" w:hAnsi="Times New Roman"/>
          <w:sz w:val="20"/>
        </w:rPr>
      </w:pPr>
      <w:r>
        <w:rPr>
          <w:rFonts w:ascii="Times New Roman;serif" w:hAnsi="Times New Roman;serif"/>
          <w:b w:val="false"/>
          <w:sz w:val="20"/>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months ended June 30, 2023 and 2022</w:t>
      </w:r>
      <w:r>
        <w:rPr>
          <w:rFonts w:ascii="Times New Roman" w:hAnsi="Times New Roman"/>
          <w:sz w:val="20"/>
        </w:rPr>
        <w:t xml:space="preserve"> </w:t>
      </w:r>
      <w:r>
        <w:rPr>
          <w:rFonts w:ascii="Times New Roman;serif" w:hAnsi="Times New Roman;serif"/>
          <w:b w:val="false"/>
          <w:sz w:val="20"/>
        </w:rPr>
        <w:t>that was included in the contract liability balance as of the beginning of such periods.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Goodwill</w:t>
      </w:r>
    </w:p>
    <w:p>
      <w:pPr>
        <w:pStyle w:val="TextBody"/>
        <w:bidi w:val="0"/>
        <w:spacing w:before="120" w:after="200"/>
        <w:jc w:val="left"/>
        <w:rPr>
          <w:rFonts w:ascii="Times New Roman" w:hAnsi="Times New Roman"/>
          <w:sz w:val="20"/>
        </w:rPr>
      </w:pPr>
      <w:r>
        <w:rPr>
          <w:rFonts w:ascii="Times New Roman;serif" w:hAnsi="Times New Roman;serif"/>
          <w:b w:val="false"/>
          <w:sz w:val="20"/>
        </w:rPr>
        <w:t>The change to the carrying amount of goodwill for the period ended June 30, 2023 is as follows (amounts in thousands):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198"/>
        <w:gridCol w:w="146"/>
        <w:gridCol w:w="301"/>
        <w:gridCol w:w="967"/>
        <w:gridCol w:w="146"/>
        <w:gridCol w:w="146"/>
        <w:gridCol w:w="273"/>
        <w:gridCol w:w="742"/>
        <w:gridCol w:w="146"/>
        <w:gridCol w:w="146"/>
        <w:gridCol w:w="347"/>
        <w:gridCol w:w="571"/>
        <w:gridCol w:w="146"/>
        <w:gridCol w:w="146"/>
        <w:gridCol w:w="231"/>
        <w:gridCol w:w="627"/>
        <w:gridCol w:w="146"/>
        <w:gridCol w:w="146"/>
        <w:gridCol w:w="435"/>
        <w:gridCol w:w="717"/>
        <w:gridCol w:w="146"/>
        <w:gridCol w:w="146"/>
        <w:gridCol w:w="211"/>
        <w:gridCol w:w="781"/>
        <w:gridCol w:w="198"/>
      </w:tblGrid>
      <w:tr>
        <w:trPr/>
        <w:tc>
          <w:tcPr>
            <w:tcW w:w="2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9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Equipment Rentals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Used Eq.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 Eq.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Parts Sales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 Revenues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 (1)</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63,137</w:t>
            </w:r>
          </w:p>
        </w:tc>
        <w:tc>
          <w:tcPr>
            <w:tcW w:w="198" w:type="dxa"/>
            <w:tcBorders/>
            <w:vAlign w:val="center"/>
          </w:tcPr>
          <w:p>
            <w:pPr>
              <w:pStyle w:val="TableContents"/>
              <w:bidi w:val="0"/>
              <w:spacing w:before="0" w:after="0"/>
              <w:ind w:left="0" w:right="0" w:hanging="0"/>
              <w:jc w:val="left"/>
              <w:rPr/>
            </w:pPr>
            <w:r>
              <w:rPr/>
              <w:t> </w:t>
            </w:r>
          </w:p>
        </w:tc>
      </w:tr>
      <w:tr>
        <w:trPr/>
        <w:tc>
          <w:tcPr>
            <w:tcW w:w="2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(2)</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39,553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 (1)</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9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3"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7"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5"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102,690</w:t>
            </w:r>
          </w:p>
        </w:tc>
        <w:tc>
          <w:tcPr>
            <w:tcW w:w="198" w:type="dxa"/>
            <w:tcBorders/>
            <w:vAlign w:val="center"/>
          </w:tcPr>
          <w:p>
            <w:pPr>
              <w:pStyle w:val="TableContents"/>
              <w:bidi w:val="0"/>
              <w:spacing w:before="0" w:after="0"/>
              <w:ind w:left="0" w:right="0" w:hanging="0"/>
              <w:jc w:val="left"/>
              <w:rPr/>
            </w:pPr>
            <w:r>
              <w:rPr/>
              <w:t> </w:t>
            </w:r>
          </w:p>
        </w:tc>
      </w:tr>
      <w:tr>
        <w:trPr/>
        <w:tc>
          <w:tcPr>
            <w:tcW w:w="2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(3)</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 (1)</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102,719</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60" w:after="0"/>
        <w:jc w:val="left"/>
        <w:rPr>
          <w:rFonts w:ascii="Times New Roman" w:hAnsi="Times New Roman"/>
          <w:b w:val="false"/>
          <w:sz w:val="20"/>
        </w:rPr>
      </w:pPr>
      <w:r>
        <w:rPr>
          <w:rFonts w:ascii="Times New Roman" w:hAnsi="Times New Roman"/>
          <w:b w:val="false"/>
          <w:sz w:val="20"/>
        </w:rPr>
        <w:t>(1)</w:t>
      </w:r>
    </w:p>
    <w:p>
      <w:pPr>
        <w:pStyle w:val="TextBody"/>
        <w:bidi w:val="0"/>
        <w:spacing w:before="160" w:after="0"/>
        <w:jc w:val="left"/>
        <w:rPr>
          <w:rFonts w:ascii="Times New Roman;serif" w:hAnsi="Times New Roman;serif"/>
          <w:sz w:val="20"/>
        </w:rPr>
      </w:pPr>
      <w:r>
        <w:rPr>
          <w:rFonts w:ascii="Times New Roman;serif" w:hAnsi="Times New Roman;serif"/>
          <w:b w:val="false"/>
          <w:sz w:val="20"/>
        </w:rPr>
        <w:t>The total carrying amount of goodwill as of December 31, 2021, December 31, 2022 and June 30, 2023</w:t>
      </w:r>
      <w:r>
        <w:rPr>
          <w:rFonts w:ascii="Times New Roman;serif" w:hAnsi="Times New Roman;serif"/>
          <w:sz w:val="20"/>
        </w:rPr>
        <w:t xml:space="preserve"> </w:t>
      </w:r>
      <w:r>
        <w:rPr>
          <w:rFonts w:ascii="Times New Roman;serif" w:hAnsi="Times New Roman;serif"/>
          <w:b w:val="false"/>
          <w:sz w:val="20"/>
        </w:rPr>
        <w:t>in the table above is reflected net of $92.7</w:t>
      </w:r>
      <w:r>
        <w:rPr>
          <w:rFonts w:ascii="Times New Roman;serif" w:hAnsi="Times New Roman;serif"/>
          <w:sz w:val="20"/>
        </w:rPr>
        <w:t xml:space="preserve"> </w:t>
      </w:r>
      <w:r>
        <w:rPr>
          <w:rFonts w:ascii="Times New Roman;serif" w:hAnsi="Times New Roman;serif"/>
          <w:b w:val="false"/>
          <w:sz w:val="20"/>
        </w:rPr>
        <w:t>million of accumulated impairment charges.</w:t>
      </w:r>
    </w:p>
    <w:p>
      <w:pPr>
        <w:pStyle w:val="TextBody"/>
        <w:bidi w:val="0"/>
        <w:spacing w:before="60" w:after="0"/>
        <w:jc w:val="left"/>
        <w:rPr>
          <w:rFonts w:ascii="Times New Roman" w:hAnsi="Times New Roman"/>
          <w:b w:val="false"/>
          <w:sz w:val="20"/>
        </w:rPr>
      </w:pPr>
      <w:r>
        <w:rPr>
          <w:rFonts w:ascii="Times New Roman" w:hAnsi="Times New Roman"/>
          <w:b w:val="false"/>
          <w:sz w:val="20"/>
        </w:rPr>
        <w:t>(2)</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Increase due to the OSR Acquisition.</w:t>
      </w:r>
    </w:p>
    <w:p>
      <w:pPr>
        <w:pStyle w:val="TextBody"/>
        <w:bidi w:val="0"/>
        <w:spacing w:before="60" w:after="0"/>
        <w:jc w:val="left"/>
        <w:rPr>
          <w:rFonts w:ascii="Times New Roman" w:hAnsi="Times New Roman"/>
          <w:b w:val="false"/>
          <w:sz w:val="20"/>
        </w:rPr>
      </w:pPr>
      <w:r>
        <w:rPr>
          <w:rFonts w:ascii="Times New Roman" w:hAnsi="Times New Roman"/>
          <w:b w:val="false"/>
          <w:sz w:val="20"/>
        </w:rPr>
        <w:t>(3)</w:t>
      </w:r>
    </w:p>
    <w:p>
      <w:pPr>
        <w:pStyle w:val="TextBody"/>
        <w:bidi w:val="0"/>
        <w:spacing w:before="60" w:after="283"/>
        <w:jc w:val="left"/>
        <w:rPr>
          <w:rFonts w:ascii="Times New Roman;serif" w:hAnsi="Times New Roman;serif"/>
          <w:b w:val="false"/>
          <w:sz w:val="20"/>
        </w:rPr>
      </w:pPr>
      <w:r>
        <w:rPr>
          <w:rFonts w:ascii="Times New Roman;serif" w:hAnsi="Times New Roman;serif"/>
          <w:b w:val="false"/>
          <w:sz w:val="20"/>
        </w:rPr>
        <w:t>Increase is related to the closing adjustments of the OSR Acquisition during the first quarter of 2023.</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Recently Adopted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2023</w:t>
      </w:r>
      <w:r>
        <w:rPr>
          <w:rFonts w:ascii="Times New Roman" w:hAnsi="Times New Roman"/>
          <w:sz w:val="20"/>
        </w:rPr>
        <w:t xml:space="preserve"> </w:t>
      </w:r>
      <w:r>
        <w:rPr>
          <w:rFonts w:ascii="Times New Roman;serif" w:hAnsi="Times New Roman;serif"/>
          <w:b w:val="false"/>
          <w:sz w:val="20"/>
        </w:rPr>
        <w:t>we adopted</w:t>
      </w:r>
      <w:r>
        <w:rPr>
          <w:rFonts w:ascii="Times New Roman" w:hAnsi="Times New Roman"/>
          <w:sz w:val="20"/>
        </w:rPr>
        <w:t xml:space="preserve"> </w:t>
      </w:r>
      <w:r>
        <w:rPr>
          <w:rFonts w:ascii="Times New Roman;serif" w:hAnsi="Times New Roman;serif"/>
          <w:b w:val="false"/>
          <w:sz w:val="20"/>
        </w:rPr>
        <w:t>Accounting Standards Update (“ASU”) No. 2020-04, Reference Rate Reform (Topic 848): Facilitation of the Effects of Reference Rate Reform on Financial Reporting, which provided optional guidance for a limited time to ease the potential burden in accounting for or recognizing the effects of reference rate reform, particularly, the risk of cessation of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London Interbank Offered Rate (“LIBOR”) on financial reporting. Our exposure related to the expected cessation of LIBOR was limited to the interest expense and certain fees we incur on balances outstanding under our Senior Secured Credit Facility (the “Credit Facility”). We amended and restated our Credit Facility to transition to Secured Overnight Financing Rate (“SOFR”) as of February 2, 2023. The impact from the cessation of LIBOR as a reference rate did not have a material impact on our consolidated financial statements.</w:t>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(3) Acquisitions and Dispositions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2022 Acquisition</w:t>
      </w:r>
    </w:p>
    <w:p>
      <w:pPr>
        <w:pStyle w:val="TextBody"/>
        <w:bidi w:val="0"/>
        <w:spacing w:before="120" w:after="0"/>
        <w:jc w:val="left"/>
        <w:rPr>
          <w:rFonts w:ascii="Times New Roman;serif" w:hAnsi="Times New Roman;serif"/>
          <w:b/>
          <w:sz w:val="20"/>
        </w:rPr>
      </w:pPr>
      <w:r>
        <w:rPr>
          <w:rFonts w:ascii="Times New Roman;serif" w:hAnsi="Times New Roman;serif"/>
          <w:b/>
          <w:sz w:val="20"/>
        </w:rPr>
        <w:t>One Source Equipment Rentals,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cash consideration paid was approximately $136.7</w:t>
      </w:r>
      <w:r>
        <w:rPr>
          <w:rFonts w:ascii="Times New Roman" w:hAnsi="Times New Roman"/>
          <w:sz w:val="20"/>
        </w:rPr>
        <w:t xml:space="preserve"> </w:t>
      </w:r>
      <w:r>
        <w:rPr>
          <w:rFonts w:ascii="Times New Roman;serif" w:hAnsi="Times New Roman;serif"/>
          <w:b w:val="false"/>
          <w:sz w:val="20"/>
        </w:rPr>
        <w:t xml:space="preserve">million. The acquisition and related fees and expenses were funded from available cash. Customary closing adjustments were finalized during the first quarter of 2023. The following table summarizes the fair value of the assets acquired and liabilities assumed as of the acquisition date. </w:t>
      </w:r>
    </w:p>
    <w:p>
      <w:pPr>
        <w:pStyle w:val="TextBody"/>
        <w:bidi w:val="0"/>
        <w:spacing w:before="120" w:after="0"/>
        <w:jc w:val="left"/>
        <w:rPr/>
      </w:pPr>
      <w:r>
        <w:rPr/>
        <w:t> </w:t>
      </w:r>
    </w:p>
    <w:tbl>
      <w:tblPr>
        <w:tblW w:w="4683" w:type="dxa"/>
        <w:jc w:val="left"/>
        <w:tblInd w:w="0" w:type="dxa"/>
        <w:tblLayout w:type="fixed"/>
        <w:tblCellMar>
          <w:top w:w="28" w:type="dxa"/>
          <w:left w:w="28" w:type="dxa"/>
          <w:bottom w:w="28" w:type="dxa"/>
          <w:right w:w="28" w:type="dxa"/>
        </w:tblCellMar>
      </w:tblPr>
      <w:tblGrid>
        <w:gridCol w:w="2881"/>
        <w:gridCol w:w="146"/>
        <w:gridCol w:w="265"/>
        <w:gridCol w:w="980"/>
        <w:gridCol w:w="4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 in thousands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Accounts receivable </w:t>
            </w: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11,163</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Rental equipment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102,436</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4,216</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Intangible assets </w:t>
            </w: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identifiable assets acquired</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133,546</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payable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(27,653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(36,438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identifiable assets acquired</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97,108</w:t>
            </w:r>
          </w:p>
        </w:tc>
        <w:tc>
          <w:tcPr>
            <w:tcW w:w="41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Goodwill </w:t>
            </w: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39,582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136,690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sz w:val="20"/>
        </w:rPr>
      </w:pPr>
      <w:r>
        <w:rPr>
          <w:rFonts w:ascii="Times New Roman;serif" w:hAnsi="Times New Roman;serif"/>
          <w:b w:val="false"/>
          <w:sz w:val="20"/>
        </w:rPr>
        <w:t>Includes an indemnification receivable of $0.7</w:t>
      </w:r>
      <w:r>
        <w:rPr>
          <w:rFonts w:ascii="Times New Roman;serif" w:hAnsi="Times New Roman;serif"/>
          <w:sz w:val="20"/>
        </w:rPr>
        <w:t xml:space="preserve"> </w:t>
      </w:r>
      <w:r>
        <w:rPr>
          <w:rFonts w:ascii="Times New Roman;serif" w:hAnsi="Times New Roman;serif"/>
          <w:b w:val="false"/>
          <w:sz w:val="20"/>
        </w:rPr>
        <w:t>million related to an unrecognized tax benefit.</w:t>
      </w:r>
      <w:r>
        <w:rPr>
          <w:rFonts w:ascii="Times New Roman;serif" w:hAnsi="Times New Roman;serif"/>
          <w:sz w:val="20"/>
        </w:rPr>
        <w:t xml:space="preserve"> </w:t>
      </w:r>
    </w:p>
    <w:p>
      <w:pPr>
        <w:pStyle w:val="TextBody"/>
        <w:bidi w:val="0"/>
        <w:spacing w:before="80" w:after="0"/>
        <w:jc w:val="left"/>
        <w:rPr>
          <w:rFonts w:ascii="Times New Roman" w:hAnsi="Times New Roman"/>
          <w:b w:val="false"/>
          <w:sz w:val="20"/>
        </w:rPr>
      </w:pPr>
      <w:r>
        <w:rPr>
          <w:rFonts w:ascii="Times New Roman" w:hAnsi="Times New Roman"/>
          <w:b w:val="false"/>
          <w:sz w:val="20"/>
        </w:rPr>
        <w:t>(2)</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The following table reflects the estimated fair values and useful lives of the acquired intangible assets identified based on our purchase accounting assessments:</w:t>
      </w:r>
    </w:p>
    <w:tbl>
      <w:tblPr>
        <w:tblW w:w="4950" w:type="dxa"/>
        <w:jc w:val="left"/>
        <w:tblInd w:w="0" w:type="dxa"/>
        <w:tblLayout w:type="fixed"/>
        <w:tblCellMar>
          <w:top w:w="28" w:type="dxa"/>
          <w:left w:w="28" w:type="dxa"/>
          <w:bottom w:w="28" w:type="dxa"/>
          <w:right w:w="28" w:type="dxa"/>
        </w:tblCellMar>
      </w:tblPr>
      <w:tblGrid>
        <w:gridCol w:w="2416"/>
        <w:gridCol w:w="146"/>
        <w:gridCol w:w="228"/>
        <w:gridCol w:w="732"/>
        <w:gridCol w:w="146"/>
        <w:gridCol w:w="146"/>
        <w:gridCol w:w="297"/>
        <w:gridCol w:w="648"/>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(amounts in</w:t>
              <w:br/>
              <w:t>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Life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Noncompetition agreements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pPr>
      <w:r>
        <w:rPr>
          <w:rFonts w:ascii="Times New Roman;serif" w:hAnsi="Times New Roman;serif"/>
          <w:b w:val="false"/>
          <w:sz w:val="20"/>
        </w:rPr>
        <w:t>The acquired goodwill has been allocated to the equipment rentals reporting unit.</w:t>
      </w:r>
      <w:r>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Included in the total goodwill amount of $39.6</w:t>
      </w:r>
      <w:r>
        <w:rPr>
          <w:rFonts w:ascii="Times New Roman" w:hAnsi="Times New Roman"/>
          <w:sz w:val="20"/>
        </w:rPr>
        <w:t xml:space="preserve"> </w:t>
      </w:r>
      <w:r>
        <w:rPr>
          <w:rFonts w:ascii="Times New Roman;serif" w:hAnsi="Times New Roman;serif"/>
          <w:b w:val="false"/>
          <w:sz w:val="20"/>
        </w:rPr>
        <w:t>million is approximately $0.8</w:t>
      </w:r>
      <w:r>
        <w:rPr>
          <w:rFonts w:ascii="Times New Roman" w:hAnsi="Times New Roman"/>
          <w:sz w:val="20"/>
        </w:rPr>
        <w:t xml:space="preserve"> </w:t>
      </w:r>
      <w:r>
        <w:rPr>
          <w:rFonts w:ascii="Times New Roman;serif" w:hAnsi="Times New Roman;serif"/>
          <w:b w:val="false"/>
          <w:sz w:val="20"/>
        </w:rPr>
        <w:t>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Total acquisition costs were $0.8</w:t>
      </w:r>
      <w:r>
        <w:rPr>
          <w:rFonts w:ascii="Times New Roman" w:hAnsi="Times New Roman"/>
          <w:sz w:val="20"/>
        </w:rPr>
        <w:t xml:space="preserve"> </w:t>
      </w:r>
      <w:r>
        <w:rPr>
          <w:rFonts w:ascii="Times New Roman;serif" w:hAnsi="Times New Roman;serif"/>
          <w:b w:val="false"/>
          <w:sz w:val="20"/>
        </w:rPr>
        <w:t>million and included within selling, general and administrative (</w:t>
      </w:r>
      <w:r>
        <w:rPr>
          <w:rFonts w:ascii="Times New Roman" w:hAnsi="Times New Roman"/>
          <w:sz w:val="20"/>
        </w:rPr>
        <w:t>“</w:t>
      </w:r>
      <w:r>
        <w:rPr>
          <w:rFonts w:ascii="Times New Roman;serif" w:hAnsi="Times New Roman;serif"/>
          <w:b w:val="false"/>
          <w:sz w:val="20"/>
        </w:rPr>
        <w:t>SG&amp;A”) expenses on the Consolidated Statement of Operations during the year ended December 31, 2022. Since our acquisition of OSR on October 1, 2022, significant amounts of equipment rental fleet have been moved between H&amp;E locations and the acquired locations, and it is impractical to reasonably estimate the amount of OSR revenues and earnings since the acquisition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assets and liabilities were recorded as of October 1, 2022 and the results of operations are included in the Company's consolidated results as of that date.</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Pro forma financial information (unaudited)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completed the OSR acquisition effective October 1, 2022. Therefore, our reported Condensed Consolidated Statement of Income for the quarter ended June 30, 2022 does not include OSR.</w:t>
      </w:r>
    </w:p>
    <w:p>
      <w:pPr>
        <w:pStyle w:val="TextBody"/>
        <w:bidi w:val="0"/>
        <w:spacing w:before="120" w:after="200"/>
        <w:jc w:val="left"/>
        <w:rPr>
          <w:rFonts w:ascii="Times New Roman;serif" w:hAnsi="Times New Roman;serif"/>
          <w:b w:val="false"/>
          <w:sz w:val="20"/>
        </w:rPr>
      </w:pPr>
      <w:r>
        <w:rPr>
          <w:rFonts w:ascii="Times New Roman;serif" w:hAnsi="Times New Roman;serif"/>
          <w:b w:val="false"/>
          <w:sz w:val="20"/>
        </w:rPr>
        <w:t>The pro forma information for the three and six months ended June 30, 2022 in the table below (amounts in thousands) are for informational purposes only and gives effect to the OSR acquisition as if it had been completed on January 1, 2022 (the “pro forma acquisition date”). The pro forma information is not necessarily indicative of our results of operations had the acquisition been completed on the pro forma acquisition date, nor is it necessarily indicative of our future results. The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tbl>
      <w:tblPr>
        <w:tblW w:w="5055" w:type="dxa"/>
        <w:jc w:val="left"/>
        <w:tblInd w:w="0" w:type="dxa"/>
        <w:tblLayout w:type="fixed"/>
        <w:tblCellMar>
          <w:top w:w="28" w:type="dxa"/>
          <w:left w:w="28" w:type="dxa"/>
          <w:bottom w:w="28" w:type="dxa"/>
          <w:right w:w="28" w:type="dxa"/>
        </w:tblCellMar>
      </w:tblPr>
      <w:tblGrid>
        <w:gridCol w:w="1321"/>
        <w:gridCol w:w="146"/>
        <w:gridCol w:w="351"/>
        <w:gridCol w:w="1299"/>
        <w:gridCol w:w="146"/>
        <w:gridCol w:w="146"/>
        <w:gridCol w:w="309"/>
        <w:gridCol w:w="1146"/>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 Forma</w:t>
              <w:b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 Forma</w:t>
              <w:br/>
              <w:t xml:space="preserve">Six Months Ended </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597,179</w:t>
            </w:r>
          </w:p>
        </w:tc>
        <w:tc>
          <w:tcPr>
            <w:tcW w:w="19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45,261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2022 Disposition</w:t>
      </w:r>
    </w:p>
    <w:p>
      <w:pPr>
        <w:pStyle w:val="TextBody"/>
        <w:bidi w:val="0"/>
        <w:spacing w:before="120" w:after="0"/>
        <w:jc w:val="left"/>
        <w:rPr>
          <w:rFonts w:ascii="Times New Roman;serif" w:hAnsi="Times New Roman;serif"/>
          <w:b/>
          <w:sz w:val="20"/>
        </w:rPr>
      </w:pPr>
      <w:r>
        <w:rPr>
          <w:rFonts w:ascii="Times New Roman;serif" w:hAnsi="Times New Roman;serif"/>
          <w:b/>
          <w:sz w:val="20"/>
        </w:rPr>
        <w:t>Komatsu Earthmoving Distributorship</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15, 2022, we sold our Komatsu earthmoving distribution business to Houston, Texas based Waukesha-Pearce Industries, LLC (“WPI”) for $29.2</w:t>
      </w:r>
      <w:r>
        <w:rPr>
          <w:rFonts w:ascii="Times New Roman" w:hAnsi="Times New Roman"/>
          <w:sz w:val="20"/>
        </w:rPr>
        <w:t xml:space="preserve"> </w:t>
      </w:r>
      <w:r>
        <w:rPr>
          <w:rFonts w:ascii="Times New Roman;serif" w:hAnsi="Times New Roman;serif"/>
          <w:b w:val="false"/>
          <w:sz w:val="20"/>
        </w:rPr>
        <w:t>million, subject to customary closing adjustments. The WPI sale included the rights to the distribution of Komatsu earthmoving equipment in the state of Louisiana and counties located in southwestern Arkansas, a branch location and its associated property, plant and equipment in Kenner, LA, Komatsu new equipment inventory, assets at a leased facility in Bossier City, LA and certain other equipment, parts and supplies with a net book value of approximately $14.7</w:t>
      </w:r>
      <w:r>
        <w:rPr>
          <w:rFonts w:ascii="Times New Roman" w:hAnsi="Times New Roman"/>
          <w:sz w:val="20"/>
        </w:rPr>
        <w:t xml:space="preserve"> </w:t>
      </w:r>
      <w:r>
        <w:rPr>
          <w:rFonts w:ascii="Times New Roman;serif" w:hAnsi="Times New Roman;serif"/>
          <w:b w:val="false"/>
          <w:sz w:val="20"/>
        </w:rPr>
        <w:t>million. We recorded a gain from sales of property and equipment, net of $12.9</w:t>
      </w:r>
      <w:r>
        <w:rPr>
          <w:rFonts w:ascii="Times New Roman" w:hAnsi="Times New Roman"/>
          <w:sz w:val="20"/>
        </w:rPr>
        <w:t xml:space="preserve"> </w:t>
      </w:r>
      <w:r>
        <w:rPr>
          <w:rFonts w:ascii="Times New Roman;serif" w:hAnsi="Times New Roman;serif"/>
          <w:b w:val="false"/>
          <w:sz w:val="20"/>
        </w:rPr>
        <w:t>million and a gain of $2.5</w:t>
      </w:r>
      <w:r>
        <w:rPr>
          <w:rFonts w:ascii="Times New Roman" w:hAnsi="Times New Roman"/>
          <w:sz w:val="20"/>
        </w:rPr>
        <w:t xml:space="preserve"> </w:t>
      </w:r>
      <w:r>
        <w:rPr>
          <w:rFonts w:ascii="Times New Roman;serif" w:hAnsi="Times New Roman;serif"/>
          <w:b w:val="false"/>
          <w:sz w:val="20"/>
        </w:rPr>
        <w:t>million within other income on the Consolidated Statement of Operations for the year ended December 31, 2022. The WPI sale did not qualify for discontinued operations as the divestiture does not meet the definition of a component.</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2021 Disposition</w:t>
      </w:r>
    </w:p>
    <w:p>
      <w:pPr>
        <w:pStyle w:val="TextBody"/>
        <w:bidi w:val="0"/>
        <w:spacing w:before="120" w:after="0"/>
        <w:jc w:val="left"/>
        <w:rPr>
          <w:rFonts w:ascii="Times New Roman;serif" w:hAnsi="Times New Roman;serif"/>
          <w:b/>
          <w:sz w:val="20"/>
        </w:rPr>
      </w:pPr>
      <w:r>
        <w:rPr>
          <w:rFonts w:ascii="Times New Roman;serif" w:hAnsi="Times New Roman;serif"/>
          <w:b/>
          <w:sz w:val="20"/>
        </w:rPr>
        <w:t>Crane Sale</w:t>
      </w:r>
    </w:p>
    <w:p>
      <w:pPr>
        <w:pStyle w:val="TextBody"/>
        <w:bidi w:val="0"/>
        <w:spacing w:before="120" w:after="0"/>
        <w:jc w:val="left"/>
        <w:rPr>
          <w:rFonts w:ascii="Times New Roman" w:hAnsi="Times New Roman"/>
          <w:sz w:val="20"/>
        </w:rPr>
      </w:pPr>
      <w:r>
        <w:rPr>
          <w:rFonts w:ascii="Times New Roman;serif" w:hAnsi="Times New Roman;serif"/>
          <w:b w:val="false"/>
          <w:sz w:val="20"/>
        </w:rPr>
        <w:t>On July 19, 2021, the Company entered into a definitive agreement to sell its crane business to a wholly-owned subsidiary of The Manitowoc Company, Inc. for $130.0</w:t>
      </w:r>
      <w:r>
        <w:rPr>
          <w:rFonts w:ascii="Times New Roman" w:hAnsi="Times New Roman"/>
          <w:sz w:val="20"/>
        </w:rPr>
        <w:t xml:space="preserve"> </w:t>
      </w:r>
      <w:r>
        <w:rPr>
          <w:rFonts w:ascii="Times New Roman;serif" w:hAnsi="Times New Roman;serif"/>
          <w:b w:val="false"/>
          <w:sz w:val="20"/>
        </w:rPr>
        <w:t>million in cash, which was subject to adjustment based on actual amounts of net working capital and crane rental fleet net book value delivered at transaction closing. The Company executed the transaction closing on October 1, 2021 subject to customary closing conditions, including regulatory approval under the Hart-Scott-Rodino Act, resulting in proceeds of $135.9</w:t>
      </w:r>
      <w:r>
        <w:rPr>
          <w:rFonts w:ascii="Times New Roman" w:hAnsi="Times New Roman"/>
          <w:sz w:val="20"/>
        </w:rPr>
        <w:t xml:space="preserve"> </w:t>
      </w:r>
      <w:r>
        <w:rPr>
          <w:rFonts w:ascii="Times New Roman;serif" w:hAnsi="Times New Roman;serif"/>
          <w:b w:val="false"/>
          <w:sz w:val="20"/>
        </w:rPr>
        <w:t>million, which was subject to the finalization of adjustments. During June 2022, closing adjustments of $1.9</w:t>
      </w:r>
      <w:r>
        <w:rPr>
          <w:rFonts w:ascii="Times New Roman" w:hAnsi="Times New Roman"/>
          <w:sz w:val="20"/>
        </w:rPr>
        <w:t xml:space="preserve"> </w:t>
      </w:r>
      <w:r>
        <w:rPr>
          <w:rFonts w:ascii="Times New Roman;serif" w:hAnsi="Times New Roman;serif"/>
          <w:b w:val="false"/>
          <w:sz w:val="20"/>
        </w:rPr>
        <w:t>million were finalized and recorded as discontinued operations on the consolidated statement of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disposition represents the Company’s strategic shift to a pure-play rental business. In accordance with ASC 360, Property, Plant, and Equipment, the Company ceased recording depreciation and amortization for Crane Sale related rental fleet, property, plant and equipment, and right of use lease assets upon qualifying as held for sale. In accordance with ASC 205-20, the Company determined that discontinued operations presentation was met during the third quarter of fiscal year 2021. As part of the divestiture, we entered into a transition services agreement with the buyer to assist them in the transition of certain functions, including, but not limited to, information technology, accounting and human resources for a period of sixty days</w:t>
      </w:r>
      <w:r>
        <w:rPr>
          <w:rFonts w:ascii="Times New Roman" w:hAnsi="Times New Roman"/>
          <w:sz w:val="20"/>
        </w:rPr>
        <w:t xml:space="preserve"> </w:t>
      </w:r>
      <w:r>
        <w:rPr>
          <w:rFonts w:ascii="Times New Roman;serif" w:hAnsi="Times New Roman;serif"/>
          <w:b w:val="false"/>
          <w:sz w:val="20"/>
        </w:rPr>
        <w:t>up to six months. Aside from these customary transition services, there will be no continuing involvement with the crane business after its disposal.</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reported financial results of the crane business within all of our segments: equipment rentals, used equipment sales, new equipment sales, parts sales and service revenues. Additionally, the crane business was included within the equipment rental component 2, used equipment sales, new equipment sales, parts sales and service revenues goodwill reporting units.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As a result of the agreement to sell the Company’s crane business, its results are reported separately as discontinued operations in our consolidated statements of income for all periods presented. As permitted, the Company elected not to adjust the consolidated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statements of cash flows to exclude cash flows attributable to discontinued operations. Accordingly, we disclosed the depreciation, capital expenditures and significant operating and investing non-cash items related to the Crane Sale below.</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tables (amounts in thousands) present the Crane Sale results as reported in loss from discontinued operations within our condensed consolidated statements of income.</w:t>
      </w:r>
    </w:p>
    <w:p>
      <w:pPr>
        <w:pStyle w:val="TextBody"/>
        <w:bidi w:val="0"/>
        <w:spacing w:before="0" w:after="0"/>
        <w:jc w:val="left"/>
        <w:rPr/>
      </w:pPr>
      <w:r>
        <w:rPr/>
        <w:t> </w:t>
      </w:r>
    </w:p>
    <w:tbl>
      <w:tblPr>
        <w:tblW w:w="7620" w:type="dxa"/>
        <w:jc w:val="left"/>
        <w:tblInd w:w="0" w:type="dxa"/>
        <w:tblLayout w:type="fixed"/>
        <w:tblCellMar>
          <w:top w:w="28" w:type="dxa"/>
          <w:left w:w="28" w:type="dxa"/>
          <w:bottom w:w="28" w:type="dxa"/>
          <w:right w:w="28" w:type="dxa"/>
        </w:tblCellMar>
      </w:tblPr>
      <w:tblGrid>
        <w:gridCol w:w="3736"/>
        <w:gridCol w:w="146"/>
        <w:gridCol w:w="402"/>
        <w:gridCol w:w="1203"/>
        <w:gridCol w:w="166"/>
        <w:gridCol w:w="146"/>
        <w:gridCol w:w="353"/>
        <w:gridCol w:w="1057"/>
        <w:gridCol w:w="4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cost of revenues</w:t>
            </w:r>
          </w:p>
        </w:tc>
        <w:tc>
          <w:tcPr>
            <w:tcW w:w="146" w:type="dxa"/>
            <w:tcBorders/>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Merger and other</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41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sales of property and equipment, net</w:t>
            </w:r>
          </w:p>
        </w:tc>
        <w:tc>
          <w:tcPr>
            <w:tcW w:w="146" w:type="dxa"/>
            <w:tcBorders/>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Loss from discontinued operations</w:t>
            </w:r>
          </w:p>
        </w:tc>
        <w:tc>
          <w:tcPr>
            <w:tcW w:w="146" w:type="dxa"/>
            <w:tcBorders/>
            <w:vAlign w:val="center"/>
          </w:tcPr>
          <w:p>
            <w:pPr>
              <w:pStyle w:val="TableContents"/>
              <w:bidi w:val="0"/>
              <w:spacing w:before="0" w:after="0"/>
              <w:ind w:left="20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Loss before benefit from income taxes</w:t>
            </w:r>
          </w:p>
        </w:tc>
        <w:tc>
          <w:tcPr>
            <w:tcW w:w="146" w:type="dxa"/>
            <w:tcBorders/>
            <w:vAlign w:val="center"/>
          </w:tcPr>
          <w:p>
            <w:pPr>
              <w:pStyle w:val="TableContents"/>
              <w:bidi w:val="0"/>
              <w:spacing w:before="0" w:after="0"/>
              <w:ind w:left="20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vAlign w:val="center"/>
          </w:tcPr>
          <w:p>
            <w:pPr>
              <w:pStyle w:val="TableContents"/>
              <w:bidi w:val="0"/>
              <w:spacing w:before="0" w:after="0"/>
              <w:ind w:left="20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from discontinued operations</w:t>
            </w:r>
          </w:p>
        </w:tc>
        <w:tc>
          <w:tcPr>
            <w:tcW w:w="146" w:type="dxa"/>
            <w:tcBorders/>
            <w:vAlign w:val="center"/>
          </w:tcPr>
          <w:p>
            <w:pPr>
              <w:pStyle w:val="TableContents"/>
              <w:bidi w:val="0"/>
              <w:spacing w:before="0" w:after="0"/>
              <w:ind w:left="200" w:right="0" w:hanging="0"/>
              <w:jc w:val="left"/>
              <w:rPr/>
            </w:pPr>
            <w:r>
              <w:rPr/>
              <w:t> </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60" w:after="100"/>
        <w:jc w:val="left"/>
        <w:rPr>
          <w:rFonts w:ascii="Times New Roman;serif" w:hAnsi="Times New Roman;serif"/>
          <w:b w:val="false"/>
          <w:sz w:val="20"/>
        </w:rPr>
      </w:pPr>
      <w:r>
        <w:rPr>
          <w:rFonts w:ascii="Times New Roman;serif" w:hAnsi="Times New Roman;serif"/>
          <w:b w:val="false"/>
          <w:sz w:val="20"/>
        </w:rPr>
        <w:t>Cash flows from discontinued operations was as follows (amounts in thousands):</w:t>
      </w:r>
    </w:p>
    <w:tbl>
      <w:tblPr>
        <w:tblW w:w="5753" w:type="dxa"/>
        <w:jc w:val="left"/>
        <w:tblInd w:w="0" w:type="dxa"/>
        <w:tblLayout w:type="fixed"/>
        <w:tblCellMar>
          <w:top w:w="28" w:type="dxa"/>
          <w:left w:w="28" w:type="dxa"/>
          <w:bottom w:w="28" w:type="dxa"/>
          <w:right w:w="28" w:type="dxa"/>
        </w:tblCellMar>
      </w:tblPr>
      <w:tblGrid>
        <w:gridCol w:w="4006"/>
        <w:gridCol w:w="146"/>
        <w:gridCol w:w="287"/>
        <w:gridCol w:w="1123"/>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Operating activities of discontinued operations: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sale of discontinued operations</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(4) Fair Value of Financial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 Quoted prices (unadjusted) in active markets for identical assets or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 – Quoted prices for similar assets and liabilities in active markets or inputs that are observable for the asset or liability, either directly or indirectly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 – Unobservable inputs for which little or no market data exists, therefore requiring a company to develop its own assumptions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carrying value of financial instruments reported in the accompanying condensed consolidated balance sheets for cash and cash equivalents, accounts receivable, accounts payable and accrued expenses payable and other liabilities approximate fair value due to the immediate or short-term nature or maturity of these financial instruments. The carrying amounts and fair values of our other financial instruments subject to fair value disclosures as of June 30, 2023 and December 31, 2022 are presented in the table below (amounts in thousands).</w:t>
      </w:r>
    </w:p>
    <w:tbl>
      <w:tblPr>
        <w:tblW w:w="9349" w:type="dxa"/>
        <w:jc w:val="left"/>
        <w:tblInd w:w="0" w:type="dxa"/>
        <w:tblLayout w:type="fixed"/>
        <w:tblCellMar>
          <w:top w:w="28" w:type="dxa"/>
          <w:left w:w="28" w:type="dxa"/>
          <w:bottom w:w="28" w:type="dxa"/>
          <w:right w:w="28" w:type="dxa"/>
        </w:tblCellMar>
      </w:tblPr>
      <w:tblGrid>
        <w:gridCol w:w="6436"/>
        <w:gridCol w:w="146"/>
        <w:gridCol w:w="211"/>
        <w:gridCol w:w="931"/>
        <w:gridCol w:w="146"/>
        <w:gridCol w:w="146"/>
        <w:gridCol w:w="211"/>
        <w:gridCol w:w="931"/>
        <w:gridCol w:w="19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Manufacturer flooring plans payable with interest computed at 8.5% (Level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Senior Unsecured Notes due 2028</w:t>
            </w:r>
            <w:r>
              <w:rPr>
                <w:rFonts w:ascii="Times New Roman" w:hAnsi="Times New Roman"/>
                <w:sz w:val="20"/>
              </w:rPr>
              <w:t> </w:t>
            </w:r>
            <w:r>
              <w:rPr>
                <w:rFonts w:ascii="Times New Roman;serif" w:hAnsi="Times New Roman;serif"/>
                <w:b w:val="false"/>
                <w:sz w:val="20"/>
              </w:rPr>
              <w:t>with interest computed at 3.875% (Level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1,085,625</w:t>
            </w:r>
          </w:p>
        </w:tc>
        <w:tc>
          <w:tcPr>
            <w:tcW w:w="191" w:type="dxa"/>
            <w:tcBorders/>
            <w:vAlign w:val="center"/>
          </w:tcPr>
          <w:p>
            <w:pPr>
              <w:pStyle w:val="TableContents"/>
              <w:bidi w:val="0"/>
              <w:spacing w:before="0" w:after="0"/>
              <w:ind w:left="0" w:right="0" w:hanging="0"/>
              <w:jc w:val="left"/>
              <w:rPr/>
            </w:pPr>
            <w:r>
              <w:rPr/>
              <w:t> </w:t>
            </w:r>
          </w:p>
        </w:tc>
      </w:tr>
    </w:tbl>
    <w:tbl>
      <w:tblPr>
        <w:tblW w:w="9454" w:type="dxa"/>
        <w:jc w:val="left"/>
        <w:tblInd w:w="0" w:type="dxa"/>
        <w:tblLayout w:type="fixed"/>
        <w:tblCellMar>
          <w:top w:w="28" w:type="dxa"/>
          <w:left w:w="28" w:type="dxa"/>
          <w:bottom w:w="28" w:type="dxa"/>
          <w:right w:w="28" w:type="dxa"/>
        </w:tblCellMar>
      </w:tblPr>
      <w:tblGrid>
        <w:gridCol w:w="6541"/>
        <w:gridCol w:w="146"/>
        <w:gridCol w:w="211"/>
        <w:gridCol w:w="931"/>
        <w:gridCol w:w="146"/>
        <w:gridCol w:w="146"/>
        <w:gridCol w:w="211"/>
        <w:gridCol w:w="93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Manufacturer flooring plans payable with interest computed at 7.75% (Level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91" w:type="dxa"/>
            <w:tcBorders/>
            <w:vAlign w:val="center"/>
          </w:tcPr>
          <w:p>
            <w:pPr>
              <w:pStyle w:val="TableContents"/>
              <w:bidi w:val="0"/>
              <w:spacing w:before="0" w:after="0"/>
              <w:ind w:left="0" w:right="0" w:hanging="0"/>
              <w:jc w:val="left"/>
              <w:rPr/>
            </w:pPr>
            <w:r>
              <w:rPr/>
              <w:t> </w:t>
            </w:r>
          </w:p>
        </w:tc>
      </w:tr>
      <w:tr>
        <w:trPr/>
        <w:tc>
          <w:tcPr>
            <w:tcW w:w="65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Senior Unsecured Notes due 2028</w:t>
            </w:r>
            <w:r>
              <w:rPr>
                <w:rFonts w:ascii="Times New Roman" w:hAnsi="Times New Roman"/>
                <w:sz w:val="20"/>
              </w:rPr>
              <w:t> </w:t>
            </w:r>
            <w:r>
              <w:rPr>
                <w:rFonts w:ascii="Times New Roman;serif" w:hAnsi="Times New Roman;serif"/>
                <w:b w:val="false"/>
                <w:sz w:val="20"/>
              </w:rPr>
              <w:t>with interest computed at 3.875% (Level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1,070,088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sz w:val="20"/>
        </w:rPr>
        <w:t>At June 30, 2023 and December 31, 2022, the fair value of our senior unsecured notes due</w:t>
      </w:r>
      <w:r>
        <w:rPr>
          <w:rFonts w:ascii="Times New Roman" w:hAnsi="Times New Roman"/>
          <w:sz w:val="20"/>
        </w:rPr>
        <w:t xml:space="preserve"> </w:t>
      </w:r>
      <w:r>
        <w:rPr>
          <w:rFonts w:ascii="Times New Roman;serif" w:hAnsi="Times New Roman;serif"/>
          <w:b w:val="false"/>
          <w:sz w:val="20"/>
        </w:rPr>
        <w:t>2028</w:t>
      </w:r>
      <w:r>
        <w:rPr>
          <w:rFonts w:ascii="Times New Roman" w:hAnsi="Times New Roman"/>
          <w:sz w:val="20"/>
        </w:rPr>
        <w:t xml:space="preserve"> </w:t>
      </w:r>
      <w:r>
        <w:rPr>
          <w:rFonts w:ascii="Times New Roman;serif" w:hAnsi="Times New Roman;serif"/>
          <w:b w:val="false"/>
          <w:sz w:val="20"/>
        </w:rPr>
        <w:t xml:space="preserve">(the </w:t>
      </w:r>
      <w:r>
        <w:rPr>
          <w:rFonts w:ascii="Times New Roman" w:hAnsi="Times New Roman"/>
          <w:sz w:val="20"/>
        </w:rPr>
        <w:t>“</w:t>
      </w:r>
      <w:r>
        <w:rPr>
          <w:rFonts w:ascii="Times New Roman;serif" w:hAnsi="Times New Roman;serif"/>
          <w:b w:val="false"/>
          <w:sz w:val="20"/>
        </w:rPr>
        <w:t>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three and six months ended June 30, 2023</w:t>
      </w:r>
      <w:r>
        <w:rPr>
          <w:rFonts w:ascii="Times New Roman" w:hAnsi="Times New Roman"/>
          <w:sz w:val="20"/>
        </w:rPr>
        <w:t xml:space="preserve"> </w:t>
      </w:r>
      <w:r>
        <w:rPr>
          <w:rFonts w:ascii="Times New Roman;serif" w:hAnsi="Times New Roman;serif"/>
          <w:b w:val="false"/>
          <w:sz w:val="20"/>
        </w:rPr>
        <w:t>and 2022, there were no</w:t>
      </w:r>
      <w:r>
        <w:rPr>
          <w:rFonts w:ascii="Times New Roman" w:hAnsi="Times New Roman"/>
          <w:sz w:val="20"/>
        </w:rPr>
        <w:t xml:space="preserve"> </w:t>
      </w:r>
      <w:r>
        <w:rPr>
          <w:rFonts w:ascii="Times New Roman;serif" w:hAnsi="Times New Roman;serif"/>
          <w:b w:val="false"/>
          <w:sz w:val="20"/>
        </w:rPr>
        <w:t>transfers of financial assets or liabilities in or out of Level 3 of the fair value hierarchy.</w:t>
      </w:r>
      <w:r>
        <w:rPr>
          <w:rFonts w:ascii="Times New Roman" w:hAnsi="Times New Roman"/>
          <w:sz w:val="20"/>
        </w:rPr>
        <w:t xml:space="preserve"> </w:t>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(5) Stockholders’ Equity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activity in Stockholders’ Equity for the three and six months ended June 30, 2023 and 2022, respectively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295"/>
        <w:gridCol w:w="146"/>
        <w:gridCol w:w="146"/>
        <w:gridCol w:w="1036"/>
        <w:gridCol w:w="166"/>
        <w:gridCol w:w="146"/>
        <w:gridCol w:w="230"/>
        <w:gridCol w:w="461"/>
        <w:gridCol w:w="146"/>
        <w:gridCol w:w="146"/>
        <w:gridCol w:w="211"/>
        <w:gridCol w:w="781"/>
        <w:gridCol w:w="146"/>
        <w:gridCol w:w="146"/>
        <w:gridCol w:w="211"/>
        <w:gridCol w:w="736"/>
        <w:gridCol w:w="166"/>
        <w:gridCol w:w="146"/>
        <w:gridCol w:w="236"/>
        <w:gridCol w:w="876"/>
        <w:gridCol w:w="166"/>
        <w:gridCol w:w="146"/>
        <w:gridCol w:w="235"/>
        <w:gridCol w:w="872"/>
        <w:gridCol w:w="213"/>
      </w:tblGrid>
      <w:tr>
        <w:trPr/>
        <w:tc>
          <w:tcPr>
            <w:tcW w:w="2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Shares </w:t>
              <w:br/>
              <w:t>Issued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Paid-in </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Treasury </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 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Stockholders’ </w:t>
              <w:b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40,567,876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401,042</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2,990</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dividends declared on common stock ($0.275</w:t>
            </w:r>
            <w:r>
              <w:rPr>
                <w:rFonts w:ascii="Times New Roman" w:hAnsi="Times New Roman"/>
                <w:sz w:val="20"/>
              </w:rPr>
              <w:t> </w:t>
            </w:r>
            <w:r>
              <w:rPr>
                <w:rFonts w:ascii="Times New Roman;serif" w:hAnsi="Times New Roman;serif"/>
                <w:b w:val="false"/>
                <w:sz w:val="20"/>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(9,794</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Repurchase of 58,211</w:t>
            </w:r>
            <w:r>
              <w:rPr>
                <w:rFonts w:ascii="Times New Roman" w:hAnsi="Times New Roman"/>
                <w:sz w:val="20"/>
              </w:rPr>
              <w:t> </w:t>
            </w:r>
            <w:r>
              <w:rPr>
                <w:rFonts w:ascii="Times New Roman;serif" w:hAnsi="Times New Roman;serif"/>
                <w:b w:val="false"/>
                <w:sz w:val="20"/>
              </w:rPr>
              <w:t>shares of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25,674</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40,700,377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234,580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416,687</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2,039</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dividends declared on common stock ($0.275</w:t>
            </w:r>
            <w:r>
              <w:rPr>
                <w:rFonts w:ascii="Times New Roman" w:hAnsi="Times New Roman"/>
                <w:sz w:val="20"/>
              </w:rPr>
              <w:t> </w:t>
            </w:r>
            <w:r>
              <w:rPr>
                <w:rFonts w:ascii="Times New Roman;serif" w:hAnsi="Times New Roman;serif"/>
                <w:b w:val="false"/>
                <w:sz w:val="20"/>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(10,046</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40,695,054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256,930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265,750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449,896</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40,353,299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303,382</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dividends declared on common stock ($0.275</w:t>
            </w:r>
            <w:r>
              <w:rPr>
                <w:rFonts w:ascii="Times New Roman" w:hAnsi="Times New Roman"/>
                <w:sz w:val="20"/>
              </w:rPr>
              <w:t> </w:t>
            </w:r>
            <w:r>
              <w:rPr>
                <w:rFonts w:ascii="Times New Roman;serif" w:hAnsi="Times New Roman;serif"/>
                <w:b w:val="false"/>
                <w:sz w:val="20"/>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 of restricted stock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Repurchase of 8,938</w:t>
            </w:r>
            <w:r>
              <w:rPr>
                <w:rFonts w:ascii="Times New Roman" w:hAnsi="Times New Roman"/>
                <w:sz w:val="20"/>
              </w:rPr>
              <w:t> </w:t>
            </w:r>
            <w:r>
              <w:rPr>
                <w:rFonts w:ascii="Times New Roman;serif" w:hAnsi="Times New Roman;serif"/>
                <w:b w:val="false"/>
                <w:sz w:val="20"/>
              </w:rPr>
              <w:t>shares of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40,382,124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311,162</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Cash dividends declared on common stock ($0.275</w:t>
            </w:r>
            <w:r>
              <w:rPr>
                <w:rFonts w:ascii="Times New Roman" w:hAnsi="Times New Roman"/>
                <w:sz w:val="20"/>
              </w:rPr>
              <w:t> </w:t>
            </w:r>
            <w:r>
              <w:rPr>
                <w:rFonts w:ascii="Times New Roman;serif" w:hAnsi="Times New Roman;serif"/>
                <w:b w:val="false"/>
                <w:sz w:val="20"/>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(9,964</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40,380,308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328,855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(6)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account for our stock-based compensation plans using the fair value recognition provisions of ASC 718, </w:t>
      </w:r>
      <w:r>
        <w:rPr>
          <w:rFonts w:ascii="Times New Roman;serif" w:hAnsi="Times New Roman;serif"/>
          <w:b w:val="false"/>
          <w:i/>
          <w:sz w:val="20"/>
        </w:rPr>
        <w:t>Stock Compensation</w:t>
      </w:r>
      <w:r>
        <w:rPr>
          <w:rFonts w:ascii="Times New Roman;serif" w:hAnsi="Times New Roman;serif"/>
          <w:b w:val="false"/>
          <w:sz w:val="20"/>
        </w:rPr>
        <w:t>. 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 There were 872,198</w:t>
      </w:r>
      <w:r>
        <w:rPr>
          <w:rFonts w:ascii="Times New Roman" w:hAnsi="Times New Roman"/>
          <w:sz w:val="20"/>
        </w:rPr>
        <w:t xml:space="preserve"> </w:t>
      </w:r>
      <w:r>
        <w:rPr>
          <w:rFonts w:ascii="Times New Roman;serif" w:hAnsi="Times New Roman;serif"/>
          <w:b w:val="false"/>
          <w:sz w:val="20"/>
        </w:rPr>
        <w:t>shares available for future stock-based payment awards under our 2016 Stock-Based Incentive Compensation Plan as of June 30, 2023.</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Non-vested Stock</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non-vested stock activity for the six months ended June 30, 2023:</w:t>
      </w:r>
      <w:r>
        <w:rPr>
          <w:rFonts w:ascii="Times New Roman" w:hAnsi="Times New Roman"/>
          <w:sz w:val="20"/>
        </w:rPr>
        <w:t xml:space="preserve"> </w:t>
      </w:r>
    </w:p>
    <w:tbl>
      <w:tblPr>
        <w:tblW w:w="6257" w:type="dxa"/>
        <w:jc w:val="left"/>
        <w:tblInd w:w="0" w:type="dxa"/>
        <w:tblLayout w:type="fixed"/>
        <w:tblCellMar>
          <w:top w:w="28" w:type="dxa"/>
          <w:left w:w="28" w:type="dxa"/>
          <w:bottom w:w="28" w:type="dxa"/>
          <w:right w:w="28" w:type="dxa"/>
        </w:tblCellMar>
      </w:tblPr>
      <w:tblGrid>
        <w:gridCol w:w="3346"/>
        <w:gridCol w:w="146"/>
        <w:gridCol w:w="146"/>
        <w:gridCol w:w="841"/>
        <w:gridCol w:w="166"/>
        <w:gridCol w:w="146"/>
        <w:gridCol w:w="343"/>
        <w:gridCol w:w="932"/>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Weighted</w:t>
              <w:br/>
              <w:t>Average Grant</w:t>
              <w:br/>
              <w:t>Date Fair</w:t>
            </w:r>
            <w:r>
              <w:rPr>
                <w:rFonts w:ascii="Times New Roman" w:hAnsi="Times New Roman"/>
                <w:sz w:val="16"/>
              </w:rPr>
              <w:t xml:space="preserve"> </w:t>
            </w:r>
            <w:r>
              <w:rPr>
                <w:rFonts w:ascii="Times New Roman;serif" w:hAnsi="Times New Roman;serif"/>
                <w:b/>
                <w:sz w:val="16"/>
              </w:rP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stock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30.02</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35.53</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30.70</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stock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As of June 30, 2023, we had unrecognized compensation expense of approximately $9.3</w:t>
      </w:r>
      <w:r>
        <w:rPr>
          <w:rFonts w:ascii="Times New Roman" w:hAnsi="Times New Roman"/>
          <w:sz w:val="20"/>
        </w:rPr>
        <w:t xml:space="preserve"> </w:t>
      </w:r>
      <w:r>
        <w:rPr>
          <w:rFonts w:ascii="Times New Roman;serif" w:hAnsi="Times New Roman;serif"/>
          <w:b w:val="false"/>
          <w:sz w:val="20"/>
        </w:rPr>
        <w:t>million related to non-vested stock that we expect to be recognized over a weighted-average period of approximately 1.6</w:t>
      </w:r>
      <w:r>
        <w:rPr>
          <w:rFonts w:ascii="Times New Roman" w:hAnsi="Times New Roman"/>
          <w:sz w:val="20"/>
        </w:rPr>
        <w:t xml:space="preserve"> </w:t>
      </w:r>
      <w:r>
        <w:rPr>
          <w:rFonts w:ascii="Times New Roman;serif" w:hAnsi="Times New Roman;serif"/>
          <w:b w:val="false"/>
          <w:sz w:val="20"/>
        </w:rPr>
        <w:t xml:space="preserve">years. The following table summarizes compensation expense related to non-vested stock, which is included in selling, general and administrative expenses in the accompanying condensed consolidated statements of income for the three and six months ended June 30, 2023 and 2022 (amounts in thousands): </w:t>
      </w:r>
    </w:p>
    <w:p>
      <w:pPr>
        <w:pStyle w:val="TextBody"/>
        <w:bidi w:val="0"/>
        <w:spacing w:before="0" w:after="0"/>
        <w:jc w:val="left"/>
        <w:rPr/>
      </w:pPr>
      <w:r>
        <w:rPr/>
        <w:t> </w:t>
      </w:r>
    </w:p>
    <w:tbl>
      <w:tblPr>
        <w:tblW w:w="6352" w:type="dxa"/>
        <w:jc w:val="left"/>
        <w:tblInd w:w="0" w:type="dxa"/>
        <w:tblLayout w:type="fixed"/>
        <w:tblCellMar>
          <w:top w:w="28" w:type="dxa"/>
          <w:left w:w="28" w:type="dxa"/>
          <w:bottom w:w="28" w:type="dxa"/>
          <w:right w:w="28" w:type="dxa"/>
        </w:tblCellMar>
      </w:tblPr>
      <w:tblGrid>
        <w:gridCol w:w="2011"/>
        <w:gridCol w:w="146"/>
        <w:gridCol w:w="211"/>
        <w:gridCol w:w="571"/>
        <w:gridCol w:w="146"/>
        <w:gridCol w:w="146"/>
        <w:gridCol w:w="211"/>
        <w:gridCol w:w="571"/>
        <w:gridCol w:w="146"/>
        <w:gridCol w:w="146"/>
        <w:gridCol w:w="211"/>
        <w:gridCol w:w="571"/>
        <w:gridCol w:w="146"/>
        <w:gridCol w:w="146"/>
        <w:gridCol w:w="211"/>
        <w:gridCol w:w="57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(7) Income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per common share for the three and six months ended June 30, 2023 and 2022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pStyle w:val="TextBody"/>
        <w:bidi w:val="0"/>
        <w:spacing w:before="200" w:after="0"/>
        <w:jc w:val="left"/>
        <w:rPr>
          <w:rFonts w:ascii="Times New Roman" w:hAnsi="Times New Roman"/>
          <w:sz w:val="20"/>
        </w:rPr>
      </w:pPr>
      <w:r>
        <w:rPr>
          <w:rFonts w:ascii="Times New Roman;serif" w:hAnsi="Times New Roman;serif"/>
          <w:b w:val="false"/>
          <w:sz w:val="20"/>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and six months ended June 30, 2023 and 2022</w:t>
      </w:r>
      <w:r>
        <w:rPr>
          <w:rFonts w:ascii="Times New Roman" w:hAnsi="Times New Roman"/>
          <w:sz w:val="20"/>
        </w:rPr>
        <w:t xml:space="preserve"> </w:t>
      </w:r>
      <w:r>
        <w:rPr>
          <w:rFonts w:ascii="Times New Roman;serif" w:hAnsi="Times New Roman;serif"/>
          <w:b w:val="false"/>
          <w:sz w:val="20"/>
        </w:rPr>
        <w:t>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and six months ended June 30, 2023 and 2022 (amounts in thousands, except per share amounts):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204"/>
        <w:gridCol w:w="146"/>
        <w:gridCol w:w="211"/>
        <w:gridCol w:w="676"/>
        <w:gridCol w:w="146"/>
        <w:gridCol w:w="146"/>
        <w:gridCol w:w="211"/>
        <w:gridCol w:w="676"/>
        <w:gridCol w:w="166"/>
        <w:gridCol w:w="146"/>
        <w:gridCol w:w="211"/>
        <w:gridCol w:w="676"/>
        <w:gridCol w:w="146"/>
        <w:gridCol w:w="146"/>
        <w:gridCol w:w="211"/>
        <w:gridCol w:w="676"/>
        <w:gridCol w:w="411"/>
      </w:tblGrid>
      <w:tr>
        <w:trPr/>
        <w:tc>
          <w:tcPr>
            <w:tcW w:w="5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1" w:type="dxa"/>
            <w:tcBorders/>
            <w:vAlign w:val="center"/>
          </w:tcPr>
          <w:p>
            <w:pPr>
              <w:pStyle w:val="TableContents"/>
              <w:bidi w:val="0"/>
              <w:spacing w:before="0" w:after="0"/>
              <w:ind w:left="0" w:right="0" w:hanging="0"/>
              <w:jc w:val="center"/>
              <w:rPr/>
            </w:pPr>
            <w:r>
              <w:rPr/>
              <w:t> </w:t>
            </w:r>
          </w:p>
        </w:tc>
      </w:tr>
      <w:tr>
        <w:trPr/>
        <w:tc>
          <w:tcPr>
            <w:tcW w:w="52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04"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br/>
            </w:r>
            <w:r>
              <w:rPr>
                <w:rFonts w:ascii="Times New Roman" w:hAnsi="Times New Roman"/>
                <w:sz w:val="16"/>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44,166</w:t>
            </w:r>
          </w:p>
        </w:tc>
        <w:tc>
          <w:tcPr>
            <w:tcW w:w="411" w:type="dxa"/>
            <w:tcBorders/>
            <w:vAlign w:val="center"/>
          </w:tcPr>
          <w:p>
            <w:pPr>
              <w:pStyle w:val="TableContents"/>
              <w:bidi w:val="0"/>
              <w:spacing w:before="0" w:after="0"/>
              <w:ind w:left="0" w:right="0" w:hanging="0"/>
              <w:jc w:val="lef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outstanding:</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36,373</w:t>
            </w:r>
          </w:p>
        </w:tc>
        <w:tc>
          <w:tcPr>
            <w:tcW w:w="411" w:type="dxa"/>
            <w:tcBorders/>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dilutive non-vested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per share: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11" w:type="dxa"/>
            <w:tcBorders/>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11" w:type="dxa"/>
            <w:tcBorders/>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20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2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 excluded from the denominator as anti-dilutive: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2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Non-vested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(8) Senior Secured 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2, 2023, we amended, extended and restated the $750.0</w:t>
      </w:r>
      <w:r>
        <w:rPr>
          <w:rFonts w:ascii="Times New Roman" w:hAnsi="Times New Roman"/>
          <w:sz w:val="20"/>
        </w:rPr>
        <w:t xml:space="preserve"> </w:t>
      </w:r>
      <w:r>
        <w:rPr>
          <w:rFonts w:ascii="Times New Roman;serif" w:hAnsi="Times New Roman;serif"/>
          <w:b w:val="false"/>
          <w:sz w:val="20"/>
        </w:rPr>
        <w:t>million Credit Facility by entering into the Sixth Amended and Restated Credit Agreement by and among the Company, Great Northern Equipment, Inc., H&amp;E Equipment Services (California), LLC, H&amp;E Equipment Services (Mid-Atlantic), LLC, H&amp;E Equipment Services (Midwest), LLC, the other credit parties named therein, the lenders named therein, Wells Fargo Bank, National Association, as administrative agent, the other credit parties named therein, the lenders named therein, and the joint lead arrangers, joint book runners, co-syndication agents and documentation agent named therein.</w:t>
      </w:r>
    </w:p>
    <w:p>
      <w:pPr>
        <w:pStyle w:val="TextBody"/>
        <w:bidi w:val="0"/>
        <w:spacing w:before="200" w:after="0"/>
        <w:jc w:val="left"/>
        <w:rPr>
          <w:rFonts w:ascii="Times New Roman" w:hAnsi="Times New Roman"/>
          <w:sz w:val="20"/>
        </w:rPr>
      </w:pPr>
      <w:r>
        <w:rPr>
          <w:rFonts w:ascii="Times New Roman;serif" w:hAnsi="Times New Roman;serif"/>
          <w:b w:val="false"/>
          <w:sz w:val="20"/>
        </w:rPr>
        <w:t>The Sixth Amended and Restated Credit Agreement, among other things, (i) extended the maturity date of the credit facility to February 2, 2028</w:t>
      </w:r>
      <w:r>
        <w:rPr>
          <w:rFonts w:ascii="Times New Roman" w:hAnsi="Times New Roman"/>
          <w:sz w:val="20"/>
        </w:rPr>
        <w:t xml:space="preserve"> </w:t>
      </w:r>
      <w:r>
        <w:rPr>
          <w:rFonts w:ascii="Times New Roman;serif" w:hAnsi="Times New Roman;serif"/>
          <w:b w:val="false"/>
          <w:sz w:val="20"/>
        </w:rPr>
        <w:t>and (ii) amended the interest rate to SOFR plus a credit spread adjustment plus an applicable margin of 1.25% to 1.75%, depending on the Average Availability (as defined in the Amended and Restated Credit Agreement).</w:t>
      </w:r>
    </w:p>
    <w:p>
      <w:pPr>
        <w:pStyle w:val="TextBody"/>
        <w:bidi w:val="0"/>
        <w:spacing w:before="200" w:after="0"/>
        <w:jc w:val="left"/>
        <w:rPr>
          <w:rFonts w:ascii="Times New Roman" w:hAnsi="Times New Roman"/>
          <w:sz w:val="20"/>
        </w:rPr>
      </w:pPr>
      <w:r>
        <w:rPr>
          <w:rFonts w:ascii="Times New Roman;serif" w:hAnsi="Times New Roman;serif"/>
          <w:b w:val="false"/>
          <w:sz w:val="20"/>
        </w:rPr>
        <w:t>As of June 30, 2023, we were in compliance with our financial covenants under the Sixth Amended and Restated Credit Agreement. At June 30, 2023, we had $127.8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borrowings outstanding under the Credit Facility and could borrow up to approximately $611.6</w:t>
      </w:r>
      <w:r>
        <w:rPr>
          <w:rFonts w:ascii="Times New Roman" w:hAnsi="Times New Roman"/>
          <w:sz w:val="20"/>
        </w:rPr>
        <w:t xml:space="preserve"> </w:t>
      </w:r>
      <w:r>
        <w:rPr>
          <w:rFonts w:ascii="Times New Roman;serif" w:hAnsi="Times New Roman;serif"/>
          <w:b w:val="false"/>
          <w:sz w:val="20"/>
        </w:rPr>
        <w:t>million, net of a $10.6</w:t>
      </w:r>
      <w:r>
        <w:rPr>
          <w:rFonts w:ascii="Times New Roman" w:hAnsi="Times New Roman"/>
          <w:sz w:val="20"/>
        </w:rPr>
        <w:t xml:space="preserve"> </w:t>
      </w:r>
      <w:r>
        <w:rPr>
          <w:rFonts w:ascii="Times New Roman;serif" w:hAnsi="Times New Roman;serif"/>
          <w:b w:val="false"/>
          <w:sz w:val="20"/>
        </w:rPr>
        <w:t>million outstanding letter of credit, and remain in compliance with the debt covenants under the Credit Facility.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(9) Senior Unsecured Note</w:t>
      </w:r>
      <w:r>
        <w:rPr>
          <w:rFonts w:ascii="Times New Roman;serif" w:hAnsi="Times New Roman;serif"/>
          <w:b w:val="false"/>
          <w:sz w:val="20"/>
        </w:rPr>
        <w: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14, 2020, we completed the offering of our $1.25</w:t>
      </w:r>
      <w:r>
        <w:rPr>
          <w:rFonts w:ascii="Times New Roman" w:hAnsi="Times New Roman"/>
          <w:sz w:val="20"/>
        </w:rPr>
        <w:t xml:space="preserve"> </w:t>
      </w:r>
      <w:r>
        <w:rPr>
          <w:rFonts w:ascii="Times New Roman;serif" w:hAnsi="Times New Roman;serif"/>
          <w:b w:val="false"/>
          <w:sz w:val="20"/>
        </w:rPr>
        <w:t>billion, 3.875% Senior Unsecured Notes due 2028. For further information related to significant terms of the Senior Unsecured Notes, see Note 9 to the Company’s Consolidated Financial Statements included as Item 8 in the Company’s Annual Report on Form 10-K for the year ended December 31, 2022. As of June 30, 2023, we were in compliance with the covenants governing our notes.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reconciles our Senior Unsecured Notes to our Condensed Consolidated Balance Sheets (amounts in thousands):</w:t>
      </w:r>
    </w:p>
    <w:p>
      <w:pPr>
        <w:pStyle w:val="TextBody"/>
        <w:bidi w:val="0"/>
        <w:spacing w:before="0" w:after="0"/>
        <w:jc w:val="left"/>
        <w:rPr/>
      </w:pPr>
      <w:r>
        <w:rPr/>
        <w:t> </w:t>
      </w:r>
    </w:p>
    <w:tbl>
      <w:tblPr>
        <w:tblW w:w="7180" w:type="dxa"/>
        <w:jc w:val="left"/>
        <w:tblInd w:w="0" w:type="dxa"/>
        <w:tblLayout w:type="fixed"/>
        <w:tblCellMar>
          <w:top w:w="28" w:type="dxa"/>
          <w:left w:w="28" w:type="dxa"/>
          <w:bottom w:w="28" w:type="dxa"/>
          <w:right w:w="28" w:type="dxa"/>
        </w:tblCellMar>
      </w:tblPr>
      <w:tblGrid>
        <w:gridCol w:w="5701"/>
        <w:gridCol w:w="146"/>
        <w:gridCol w:w="211"/>
        <w:gridCol w:w="931"/>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1,239,967</w:t>
            </w:r>
          </w:p>
        </w:tc>
        <w:tc>
          <w:tcPr>
            <w:tcW w:w="191" w:type="dxa"/>
            <w:tcBorders/>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discount through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w:t>
            </w:r>
          </w:p>
        </w:tc>
        <w:tc>
          <w:tcPr>
            <w:tcW w:w="191" w:type="dxa"/>
            <w:tcBorders/>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 through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1,241,409</w:t>
            </w:r>
          </w:p>
        </w:tc>
        <w:tc>
          <w:tcPr>
            <w:tcW w:w="191" w:type="dxa"/>
            <w:tcBorders/>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discount through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91" w:type="dxa"/>
            <w:tcBorders/>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 through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1,242,131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sz w:val="20"/>
        </w:rPr>
      </w:pPr>
      <w:r>
        <w:rPr>
          <w:rFonts w:ascii="Times New Roman;serif" w:hAnsi="Times New Roman;serif"/>
          <w:b/>
          <w:sz w:val="20"/>
        </w:rPr>
        <w:t>(10) 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 discussion of Topic 842 and related disclosures, see Note 2 and Note 11 to the Consolidated Financial Statements in our Annual Report on Form 10-K for the year ended December 31, 2022.</w:t>
      </w:r>
    </w:p>
    <w:p>
      <w:pPr>
        <w:pStyle w:val="TextBody"/>
        <w:bidi w:val="0"/>
        <w:spacing w:before="200" w:after="0"/>
        <w:jc w:val="left"/>
        <w:rPr>
          <w:rFonts w:ascii="Times New Roman" w:hAnsi="Times New Roman"/>
          <w:sz w:val="20"/>
        </w:rPr>
      </w:pPr>
      <w:r>
        <w:rPr>
          <w:rFonts w:ascii="Times New Roman;serif" w:hAnsi="Times New Roman;serif"/>
          <w:b w:val="false"/>
          <w:sz w:val="20"/>
        </w:rPr>
        <w:t>At June 30, 2023, the weighted average remaining lease term for operating leases was approximately 7.8</w:t>
      </w:r>
      <w:r>
        <w:rPr>
          <w:rFonts w:ascii="Times New Roman" w:hAnsi="Times New Roman"/>
          <w:sz w:val="20"/>
        </w:rPr>
        <w:t xml:space="preserve"> </w:t>
      </w:r>
      <w:r>
        <w:rPr>
          <w:rFonts w:ascii="Times New Roman;serif" w:hAnsi="Times New Roman;serif"/>
          <w:b w:val="false"/>
          <w:sz w:val="20"/>
        </w:rPr>
        <w:t>years and for finance leases was approximately 9.0</w:t>
      </w:r>
      <w:r>
        <w:rPr>
          <w:rFonts w:ascii="Times New Roman" w:hAnsi="Times New Roman"/>
          <w:sz w:val="20"/>
        </w:rPr>
        <w:t xml:space="preserve"> </w:t>
      </w:r>
      <w:r>
        <w:rPr>
          <w:rFonts w:ascii="Times New Roman;serif" w:hAnsi="Times New Roman;serif"/>
          <w:b w:val="false"/>
          <w:sz w:val="20"/>
        </w:rPr>
        <w:t>years. The weighted average discount rate for operating leases and finance leases was approximately 6.2% and 5.0%, respectively at June 30, 2023.</w:t>
      </w:r>
    </w:p>
    <w:p>
      <w:pPr>
        <w:pStyle w:val="TextBody"/>
        <w:bidi w:val="0"/>
        <w:spacing w:before="200" w:after="0"/>
        <w:jc w:val="left"/>
        <w:rPr>
          <w:rFonts w:ascii="Times New Roman" w:hAnsi="Times New Roman"/>
          <w:sz w:val="20"/>
        </w:rPr>
      </w:pPr>
      <w:r>
        <w:rPr>
          <w:rFonts w:ascii="Times New Roman;serif" w:hAnsi="Times New Roman;serif"/>
          <w:b w:val="false"/>
          <w:sz w:val="20"/>
        </w:rPr>
        <w:t>The future minimum lease payments of operating leases executed but not commenced as of June 30, 2023</w:t>
      </w:r>
      <w:r>
        <w:rPr>
          <w:rFonts w:ascii="Times New Roman" w:hAnsi="Times New Roman"/>
          <w:sz w:val="20"/>
        </w:rPr>
        <w:t xml:space="preserve"> </w:t>
      </w:r>
      <w:r>
        <w:rPr>
          <w:rFonts w:ascii="Times New Roman;serif" w:hAnsi="Times New Roman;serif"/>
          <w:b w:val="false"/>
          <w:sz w:val="20"/>
        </w:rPr>
        <w:t>are estimated to be $0.5</w:t>
      </w:r>
      <w:r>
        <w:rPr>
          <w:rFonts w:ascii="Times New Roman" w:hAnsi="Times New Roman"/>
          <w:sz w:val="20"/>
        </w:rPr>
        <w:t xml:space="preserve"> </w:t>
      </w:r>
      <w:r>
        <w:rPr>
          <w:rFonts w:ascii="Times New Roman;serif" w:hAnsi="Times New Roman;serif"/>
          <w:b w:val="false"/>
          <w:sz w:val="20"/>
        </w:rPr>
        <w:t>million, $2.3</w:t>
      </w:r>
      <w:r>
        <w:rPr>
          <w:rFonts w:ascii="Times New Roman" w:hAnsi="Times New Roman"/>
          <w:sz w:val="20"/>
        </w:rPr>
        <w:t xml:space="preserve"> </w:t>
      </w:r>
      <w:r>
        <w:rPr>
          <w:rFonts w:ascii="Times New Roman;serif" w:hAnsi="Times New Roman;serif"/>
          <w:b w:val="false"/>
          <w:sz w:val="20"/>
        </w:rPr>
        <w:t>million, $2.6</w:t>
      </w:r>
      <w:r>
        <w:rPr>
          <w:rFonts w:ascii="Times New Roman" w:hAnsi="Times New Roman"/>
          <w:sz w:val="20"/>
        </w:rPr>
        <w:t xml:space="preserve"> </w:t>
      </w:r>
      <w:r>
        <w:rPr>
          <w:rFonts w:ascii="Times New Roman;serif" w:hAnsi="Times New Roman;serif"/>
          <w:b w:val="false"/>
          <w:sz w:val="20"/>
        </w:rPr>
        <w:t>million, $2.6</w:t>
      </w:r>
      <w:r>
        <w:rPr>
          <w:rFonts w:ascii="Times New Roman" w:hAnsi="Times New Roman"/>
          <w:sz w:val="20"/>
        </w:rPr>
        <w:t xml:space="preserve"> </w:t>
      </w:r>
      <w:r>
        <w:rPr>
          <w:rFonts w:ascii="Times New Roman;serif" w:hAnsi="Times New Roman;serif"/>
          <w:b w:val="false"/>
          <w:sz w:val="20"/>
        </w:rPr>
        <w:t>million and $2.7</w:t>
      </w:r>
      <w:r>
        <w:rPr>
          <w:rFonts w:ascii="Times New Roman" w:hAnsi="Times New Roman"/>
          <w:sz w:val="20"/>
        </w:rPr>
        <w:t xml:space="preserve"> </w:t>
      </w:r>
      <w:r>
        <w:rPr>
          <w:rFonts w:ascii="Times New Roman;serif" w:hAnsi="Times New Roman;serif"/>
          <w:b w:val="false"/>
          <w:sz w:val="20"/>
        </w:rPr>
        <w:t>million for the years ended December 31, 2023, 2024, 2025, 2026 and 2027, respectively, and $19.4</w:t>
      </w:r>
      <w:r>
        <w:rPr>
          <w:rFonts w:ascii="Times New Roman" w:hAnsi="Times New Roman"/>
          <w:sz w:val="20"/>
        </w:rPr>
        <w:t xml:space="preserve"> </w:t>
      </w:r>
      <w:r>
        <w:rPr>
          <w:rFonts w:ascii="Times New Roman;serif" w:hAnsi="Times New Roman;serif"/>
          <w:b w:val="false"/>
          <w:sz w:val="20"/>
        </w:rPr>
        <w:t>million thereafter. It is expected that these leases will commence during 2023 and 2024.</w:t>
      </w:r>
    </w:p>
    <w:p>
      <w:pPr>
        <w:pStyle w:val="TextBody"/>
        <w:bidi w:val="0"/>
        <w:spacing w:before="360" w:after="0"/>
        <w:jc w:val="left"/>
        <w:rPr>
          <w:rFonts w:ascii="Times New Roman;serif" w:hAnsi="Times New Roman;serif"/>
          <w:b/>
          <w:sz w:val="20"/>
        </w:rPr>
      </w:pPr>
      <w:r>
        <w:rPr>
          <w:rFonts w:ascii="Times New Roman;serif" w:hAnsi="Times New Roman;serif"/>
          <w:b/>
          <w:sz w:val="20"/>
        </w:rPr>
        <w:t>(11) Segment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We have identified five</w:t>
      </w:r>
      <w:r>
        <w:rPr>
          <w:rFonts w:ascii="Times New Roman" w:hAnsi="Times New Roman"/>
          <w:sz w:val="20"/>
        </w:rPr>
        <w:t xml:space="preserve"> </w:t>
      </w:r>
      <w:r>
        <w:rPr>
          <w:rFonts w:ascii="Times New Roman;serif" w:hAnsi="Times New Roman;serif"/>
          <w:b w:val="false"/>
          <w:sz w:val="20"/>
        </w:rPr>
        <w:t>reportable segments: equipment rentals, used equipment sales, new equipment sales, parts sales and services revenues. These segments are based upon revenue streams and how management of the Company allocates resources and assesses performance. Our non-segmented revenues and costs relate primarily to ancillary charges associated with equipment repair services, and are not generally allocated to the segments. There were no sales between segments for any of the periods presented. Selling, general and administrative expenses as well as all other income and expense items below gross profit are not generally allocated to reportable segments.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do not compile discrete financial information by segments other than the information presented below. The following table presents information about our reportable segments (amounts in thousands):</w:t>
      </w:r>
    </w:p>
    <w:tbl>
      <w:tblPr>
        <w:tblW w:w="8092" w:type="dxa"/>
        <w:jc w:val="left"/>
        <w:tblInd w:w="0" w:type="dxa"/>
        <w:tblLayout w:type="fixed"/>
        <w:tblCellMar>
          <w:top w:w="28" w:type="dxa"/>
          <w:left w:w="28" w:type="dxa"/>
          <w:bottom w:w="28" w:type="dxa"/>
          <w:right w:w="28" w:type="dxa"/>
        </w:tblCellMar>
      </w:tblPr>
      <w:tblGrid>
        <w:gridCol w:w="2431"/>
        <w:gridCol w:w="146"/>
        <w:gridCol w:w="211"/>
        <w:gridCol w:w="781"/>
        <w:gridCol w:w="166"/>
        <w:gridCol w:w="146"/>
        <w:gridCol w:w="211"/>
        <w:gridCol w:w="781"/>
        <w:gridCol w:w="166"/>
        <w:gridCol w:w="146"/>
        <w:gridCol w:w="211"/>
        <w:gridCol w:w="781"/>
        <w:gridCol w:w="166"/>
        <w:gridCol w:w="146"/>
        <w:gridCol w:w="211"/>
        <w:gridCol w:w="781"/>
        <w:gridCol w:w="61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426,802</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40,359</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47,522</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32,231</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segmented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563,937</w:t>
            </w:r>
          </w:p>
        </w:tc>
        <w:tc>
          <w:tcPr>
            <w:tcW w:w="611" w:type="dxa"/>
            <w:tcBorders/>
            <w:vAlign w:val="center"/>
          </w:tcPr>
          <w:p>
            <w:pPr>
              <w:pStyle w:val="TableContents"/>
              <w:bidi w:val="0"/>
              <w:spacing w:before="0" w:after="0"/>
              <w:ind w:left="0" w:right="0" w:firstLine="400"/>
              <w:jc w:val="left"/>
              <w:rPr/>
            </w:pPr>
            <w:r>
              <w:rPr/>
              <w:t> </w:t>
            </w:r>
          </w:p>
        </w:tc>
      </w:tr>
      <w:tr>
        <w:trPr/>
        <w:tc>
          <w:tcPr>
            <w:tcW w:w="24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Non-segmented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682,714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567,121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Gross Profit: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200,133</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17,940</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6,922</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8,695</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segmented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244,756</w:t>
            </w:r>
          </w:p>
        </w:tc>
        <w:tc>
          <w:tcPr>
            <w:tcW w:w="61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Non-segmented gross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4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243,914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6139" w:type="dxa"/>
        <w:jc w:val="left"/>
        <w:tblInd w:w="0" w:type="dxa"/>
        <w:tblLayout w:type="fixed"/>
        <w:tblCellMar>
          <w:top w:w="28" w:type="dxa"/>
          <w:left w:w="28" w:type="dxa"/>
          <w:bottom w:w="28" w:type="dxa"/>
          <w:right w:w="28" w:type="dxa"/>
        </w:tblCellMar>
      </w:tblPr>
      <w:tblGrid>
        <w:gridCol w:w="2626"/>
        <w:gridCol w:w="146"/>
        <w:gridCol w:w="211"/>
        <w:gridCol w:w="931"/>
        <w:gridCol w:w="146"/>
        <w:gridCol w:w="146"/>
        <w:gridCol w:w="211"/>
        <w:gridCol w:w="931"/>
        <w:gridCol w:w="7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Balances at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79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identified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6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94,918</w:t>
            </w:r>
          </w:p>
        </w:tc>
        <w:tc>
          <w:tcPr>
            <w:tcW w:w="791" w:type="dxa"/>
            <w:tcBorders/>
            <w:vAlign w:val="center"/>
          </w:tcPr>
          <w:p>
            <w:pPr>
              <w:pStyle w:val="TableContents"/>
              <w:bidi w:val="0"/>
              <w:spacing w:before="0" w:after="0"/>
              <w:ind w:left="0" w:right="0" w:firstLine="200"/>
              <w:jc w:val="left"/>
              <w:rPr/>
            </w:pPr>
            <w:r>
              <w:rPr/>
              <w:t> </w:t>
            </w:r>
          </w:p>
        </w:tc>
      </w:tr>
      <w:tr>
        <w:trPr/>
        <w:tc>
          <w:tcPr>
            <w:tcW w:w="26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1,418,951</w:t>
            </w:r>
          </w:p>
        </w:tc>
        <w:tc>
          <w:tcPr>
            <w:tcW w:w="791" w:type="dxa"/>
            <w:tcBorders/>
            <w:vAlign w:val="center"/>
          </w:tcPr>
          <w:p>
            <w:pPr>
              <w:pStyle w:val="TableContents"/>
              <w:bidi w:val="0"/>
              <w:spacing w:before="0" w:after="0"/>
              <w:ind w:left="0" w:right="0" w:firstLine="200"/>
              <w:jc w:val="left"/>
              <w:rPr/>
            </w:pPr>
            <w:r>
              <w:rPr/>
              <w:t> </w:t>
            </w:r>
          </w:p>
        </w:tc>
      </w:tr>
      <w:tr>
        <w:trPr/>
        <w:tc>
          <w:tcPr>
            <w:tcW w:w="26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6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segment identified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1,526,793</w:t>
            </w:r>
          </w:p>
        </w:tc>
        <w:tc>
          <w:tcPr>
            <w:tcW w:w="791" w:type="dxa"/>
            <w:tcBorders/>
            <w:vAlign w:val="center"/>
          </w:tcPr>
          <w:p>
            <w:pPr>
              <w:pStyle w:val="TableContents"/>
              <w:bidi w:val="0"/>
              <w:spacing w:before="0" w:after="0"/>
              <w:ind w:left="0" w:right="0" w:firstLine="200"/>
              <w:jc w:val="left"/>
              <w:rPr/>
            </w:pPr>
            <w:r>
              <w:rPr/>
              <w:t> </w:t>
            </w:r>
          </w:p>
        </w:tc>
      </w:tr>
      <w:tr>
        <w:trPr/>
        <w:tc>
          <w:tcPr>
            <w:tcW w:w="26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Non-segment identified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767,360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764,906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62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2,560,198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2,291,699</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Company operates primarily in the United States. Our sales to international customers for both the three months ended June 30, 2023 and 2022</w:t>
      </w:r>
      <w:r>
        <w:rPr>
          <w:rFonts w:ascii="Times New Roman" w:hAnsi="Times New Roman"/>
          <w:sz w:val="20"/>
        </w:rPr>
        <w:t xml:space="preserve"> </w:t>
      </w:r>
      <w:r>
        <w:rPr>
          <w:rFonts w:ascii="Times New Roman;serif" w:hAnsi="Times New Roman;serif"/>
          <w:b w:val="false"/>
          <w:sz w:val="20"/>
        </w:rPr>
        <w:t>were 0.1% of total revenues and for the six months ended June 30, 2023 and 2022</w:t>
      </w:r>
      <w:r>
        <w:rPr>
          <w:rFonts w:ascii="Times New Roman" w:hAnsi="Times New Roman"/>
          <w:sz w:val="20"/>
        </w:rPr>
        <w:t xml:space="preserve"> </w:t>
      </w:r>
      <w:r>
        <w:rPr>
          <w:rFonts w:ascii="Times New Roman;serif" w:hAnsi="Times New Roman;serif"/>
          <w:b w:val="false"/>
          <w:sz w:val="20"/>
        </w:rPr>
        <w:t>were 0.1% and 0.5% of total revenues, respectively. No</w:t>
      </w:r>
      <w:r>
        <w:rPr>
          <w:rFonts w:ascii="Times New Roman" w:hAnsi="Times New Roman"/>
          <w:sz w:val="20"/>
        </w:rPr>
        <w:t xml:space="preserve"> </w:t>
      </w:r>
      <w:r>
        <w:rPr>
          <w:rFonts w:ascii="Times New Roman;serif" w:hAnsi="Times New Roman;serif"/>
          <w:b w:val="false"/>
          <w:sz w:val="20"/>
        </w:rPr>
        <w:t>one customer accounted for more than 10% of our revenues on an overall or segment basis for any of the periods presented.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8" w:name="item_2_managements_discussion_analysis_f"/>
      <w:bookmarkEnd w:id="8"/>
      <w:r>
        <w:rPr>
          <w:rFonts w:ascii="Times New Roman;serif" w:hAnsi="Times New Roman;serif"/>
          <w:b/>
          <w:sz w:val="20"/>
        </w:rPr>
        <w:t>ITEM 2. — MANAGEMENT’S DISCUSSION AND ANALYSIS OF FINANCIAL CONDITION AND RESULTS OF OPERATIONS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The following discussion summarizes the financial position of H&amp;E Equipment Services, Inc. and its subsidiaries as of June 30, 2023, and its results of operations for the three and six months ended June 30, 2023,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2022.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2022 and in Item 1A – “Risk Factors” in this Quarterly Report on Form 10-Q for the quarterly period ended June 30, 2023.</w:t>
      </w:r>
    </w:p>
    <w:p>
      <w:pPr>
        <w:pStyle w:val="TextBody"/>
        <w:bidi w:val="0"/>
        <w:spacing w:before="240" w:after="0"/>
        <w:jc w:val="left"/>
        <w:rPr>
          <w:rFonts w:ascii="Times New Roman;serif" w:hAnsi="Times New Roman;serif"/>
          <w:b/>
          <w:sz w:val="20"/>
        </w:rPr>
      </w:pPr>
      <w:r>
        <w:rPr>
          <w:rFonts w:ascii="Times New Roman;serif" w:hAnsi="Times New Roman;serif"/>
          <w:b/>
          <w:sz w:val="20"/>
        </w:rPr>
        <w:t>Overview</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Background</w:t>
      </w:r>
    </w:p>
    <w:p>
      <w:pPr>
        <w:pStyle w:val="TextBody"/>
        <w:bidi w:val="0"/>
        <w:spacing w:before="120" w:after="0"/>
        <w:jc w:val="left"/>
        <w:rPr>
          <w:rFonts w:ascii="Times New Roman" w:hAnsi="Times New Roman"/>
          <w:sz w:val="20"/>
        </w:rPr>
      </w:pPr>
      <w:r>
        <w:rPr>
          <w:rFonts w:ascii="Times New Roman;serif" w:hAnsi="Times New Roman;serif"/>
          <w:b w:val="false"/>
          <w:sz w:val="20"/>
        </w:rPr>
        <w:t>Founded in 1961 through our predecessor companies, we have been in the equipment services business for approximately 62 years and are one of the largest rental equipment companies in the nation. H&amp;E Equipment Services L.L.C. (“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H&amp;E serves a diverse set of end markets in many high-growth geographies including branches throughout the Pacific Northwest, West Coast, Intermountain, Southwest, Gulf Coast, Southeast, Midwest and Mid-Atlantic regions. As of June 30, 2023, we operated 126 branch locations across 29 states throughout the United States.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While focusing primarily on equipment rentals, we additionally engage in used equipment sales, new equipment sales,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Effective October 1, 2021, the Company sold its crane business to a wholly-owned subsidiary of The Manitowoc Company, Inc. for $130 million in cash (“the Crane Sale”). The Crane Sale met the criteria for discontinued operations presentation and as such, the results of operations of the Crane Sale are reported in discontinued operations in the Consolidated Statements of Income for the 2022 period presented. The financial results and information below are presented on a continuing operations basis and exclude the Crane Sale, unless otherwise noted specifically as discontinued operations.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Effective October 1, 2022, the Company completed the acquisition of One Source Equipment Rentals, Inc. (“OSR”), a privately-held equipment rentals company with 10 branch locations primarily in the Midwest.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Effective December 15, 2022, the Company sold its Komatsu distributorship in Louisiana. The sale included a branch location in Kenner, LA, a branch in Shreveport, LA and accompanying new equipment inventory, parts and supplies.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Critical Accounting Policies</w:t>
      </w:r>
    </w:p>
    <w:p>
      <w:pPr>
        <w:pStyle w:val="TextBody"/>
        <w:bidi w:val="0"/>
        <w:spacing w:before="120" w:after="0"/>
        <w:jc w:val="left"/>
        <w:rPr>
          <w:rFonts w:ascii="Times New Roman" w:hAnsi="Times New Roman"/>
          <w:sz w:val="20"/>
        </w:rPr>
      </w:pPr>
      <w:r>
        <w:rPr>
          <w:rFonts w:ascii="Times New Roman;serif" w:hAnsi="Times New Roman;serif"/>
          <w:b w:val="false"/>
          <w:sz w:val="20"/>
        </w:rPr>
        <w:t>Item 7, included in Part II of our Annual Report on Form 10-K for the year ended December 31, 2022, presents the accounting policies and related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policies and estimates during the three and six months ended June 30, 2023. Our critical accounting policies include, among others, useful lives of rental equipment and property and equipment, acquisition accounting, goodwill, long-lived assets and income taxes.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Information regarding our other significant accounting policies is included in Note 2 to our Consolidated Financial Statements in Item 8 of Part II of our Annual Report on Form 10-K for the year ended December 31, 2022 and in Note 2 to the Condensed Consolidated Financial Statements in this Quarterly Report on Form 10-Q.</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Business Segments</w:t>
      </w:r>
    </w:p>
    <w:p>
      <w:pPr>
        <w:pStyle w:val="TextBody"/>
        <w:bidi w:val="0"/>
        <w:spacing w:before="120" w:after="0"/>
        <w:jc w:val="left"/>
        <w:rPr>
          <w:rFonts w:ascii="Times New Roman" w:hAnsi="Times New Roman"/>
          <w:sz w:val="20"/>
        </w:rPr>
      </w:pPr>
      <w:r>
        <w:rPr>
          <w:rFonts w:ascii="Times New Roman;serif" w:hAnsi="Times New Roman;serif"/>
          <w:b w:val="false"/>
          <w:sz w:val="20"/>
        </w:rPr>
        <w:t>We have five reportable segments because we derive our revenues from five business activities: (1) equipment rentals; (2) used equipment sales; (3) new equipment sales; (4) parts sales; and (5) repair and maintenance services. Our primary segment is equipment rentals. In addition, we also have non-segmented revenues and costs that relate to equipment support activities. These segments are based upon how we allocate resources and assess performance.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Equipment Rentals.</w:t>
      </w:r>
      <w:r>
        <w:rPr/>
        <w:t xml:space="preserve"> </w:t>
      </w:r>
      <w:r>
        <w:rPr>
          <w:rFonts w:ascii="Times New Roman;serif" w:hAnsi="Times New Roman;serif"/>
          <w:b w:val="false"/>
          <w:sz w:val="20"/>
        </w:rPr>
        <w:t xml:space="preserve">Our rental operation is our principal focus and we primarily rent our core types of construction and industrial equipment (aerial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total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Used Equipment Sales.</w:t>
      </w:r>
      <w:r>
        <w:rPr/>
        <w:t xml:space="preserve"> </w:t>
      </w:r>
      <w:r>
        <w:rPr>
          <w:rFonts w:ascii="Times New Roman;serif" w:hAnsi="Times New Roman;serif"/>
          <w:b w:val="false"/>
          <w:sz w:val="20"/>
        </w:rPr>
        <w:t>Our used equipment sales are generated primarily from sales from our rental fleet. Sales of our rental fleet equipment allow us to manage the size, quality, composition and age of our rental fleet, and provide us with a profitable distribution channel for the disposal of rental equipment.</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New Equipment Sales.</w:t>
      </w:r>
      <w:r>
        <w:rPr/>
        <w:t xml:space="preserve"> </w:t>
      </w:r>
      <w:r>
        <w:rPr>
          <w:rFonts w:ascii="Times New Roman;serif" w:hAnsi="Times New Roman;serif"/>
          <w:b w:val="false"/>
          <w:sz w:val="20"/>
        </w:rPr>
        <w:t xml:space="preserve">We sell equipment through a professional sales force. While sales of new equipment are impacted by the availability of equipment from the manufacturer, we believe our relationship with some of our key suppliers improves our ability to obtain equipment.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Parts Sales.</w:t>
      </w:r>
      <w:r>
        <w:rPr/>
        <w:t xml:space="preserve"> </w:t>
      </w:r>
      <w:r>
        <w:rPr>
          <w:rFonts w:ascii="Times New Roman;serif" w:hAnsi="Times New Roman;serif"/>
          <w:b w:val="false"/>
          <w:sz w:val="20"/>
        </w:rPr>
        <w:t>Our parts business provides parts to our own rental fleet and sells parts for the equipment we sell. In order to provide timely parts and services support to our rental fleet as well as our customers, we maintain a parts inventory.</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Services.</w:t>
      </w:r>
      <w:r>
        <w:rPr/>
        <w:t xml:space="preserve"> </w:t>
      </w:r>
      <w:r>
        <w:rPr>
          <w:rFonts w:ascii="Times New Roman;serif" w:hAnsi="Times New Roman;serif"/>
          <w:b w:val="false"/>
          <w:sz w:val="20"/>
        </w:rPr>
        <w:t>Our services operation provides maintenance and repair services to our own rental fleet and for our customers’ equipment at our facilities as well as at our customers’ locations.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non-segmented revenues and costs relate primarily to ancillary charges associated with equipment maintenance and repair services, and are not generally allocated to reportable segments.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additional information about our business segments, see Note 11 to the Condensed Consolidated Financial Statements in this Quarterly Report on Form 10-Q.</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Revenue 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generate all of our total revenues from our five business segments and our non-segmented equipment support activities. Equipment rentals account for the majority of our total revenues. For the six months ended June 30, 2023, of our total revenues, approximately 81.1% were attributable to equipment rentals, 10.5% were attributable to used equipment sales, 2.4% were attributable to new equipment sales, 3.5% were attributable to parts sales, 2.1% were attributable to our services revenues and 0.4% were attributable to our non-segmented other revenues.</w:t>
      </w:r>
    </w:p>
    <w:p>
      <w:pPr>
        <w:pStyle w:val="TextBody"/>
        <w:bidi w:val="0"/>
        <w:spacing w:before="200" w:after="0"/>
        <w:jc w:val="left"/>
        <w:rPr>
          <w:rFonts w:ascii="Times New Roman" w:hAnsi="Times New Roman"/>
          <w:sz w:val="20"/>
        </w:rPr>
      </w:pPr>
      <w:r>
        <w:rPr>
          <w:rFonts w:ascii="Times New Roman;serif" w:hAnsi="Times New Roman;serif"/>
          <w:b w:val="false"/>
          <w:sz w:val="20"/>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and general economic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Equipment Rentals.</w:t>
      </w:r>
      <w:r>
        <w:rPr>
          <w:rFonts w:ascii="Times New Roman" w:hAnsi="Times New Roman"/>
          <w:sz w:val="20"/>
        </w:rPr>
        <w:t xml:space="preserve"> </w:t>
      </w:r>
      <w:r>
        <w:rPr>
          <w:rFonts w:ascii="Times New Roman;serif" w:hAnsi="Times New Roman;serif"/>
          <w:b w:val="false"/>
          <w:sz w:val="20"/>
        </w:rPr>
        <w:t>Our rental operation primarily represents revenues from renting owned equipment of our core types of construction and industrial 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Used Equipment Sales.</w:t>
      </w:r>
      <w:r>
        <w:rPr>
          <w:rFonts w:ascii="Times New Roman" w:hAnsi="Times New Roman"/>
          <w:sz w:val="20"/>
        </w:rPr>
        <w:t xml:space="preserve"> </w:t>
      </w:r>
      <w:r>
        <w:rPr>
          <w:rFonts w:ascii="Times New Roman;serif" w:hAnsi="Times New Roman;serif"/>
          <w:b w:val="false"/>
          <w:sz w:val="20"/>
        </w:rPr>
        <w:t>We generate the majority of our used equipment sales revenues by selling equipment from our rental fleet.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New Equipment Sales.</w:t>
      </w:r>
      <w:r>
        <w:rPr>
          <w:rFonts w:ascii="Times New Roman" w:hAnsi="Times New Roman"/>
          <w:sz w:val="20"/>
        </w:rPr>
        <w:t xml:space="preserve"> </w:t>
      </w:r>
      <w:r>
        <w:rPr>
          <w:rFonts w:ascii="Times New Roman;serif" w:hAnsi="Times New Roman;serif"/>
          <w:b w:val="false"/>
          <w:sz w:val="20"/>
        </w:rPr>
        <w:t>Our new equipment sales operation sells new equipment across all of our core categories of equipment, primarily in our earthmoving product category.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Parts Sales.</w:t>
      </w:r>
      <w:r>
        <w:rPr>
          <w:rFonts w:ascii="Times New Roman" w:hAnsi="Times New Roman"/>
          <w:sz w:val="20"/>
        </w:rPr>
        <w:t xml:space="preserve"> </w:t>
      </w:r>
      <w:r>
        <w:rPr>
          <w:rFonts w:ascii="Times New Roman;serif" w:hAnsi="Times New Roman;serif"/>
          <w:b w:val="false"/>
          <w:sz w:val="20"/>
        </w:rPr>
        <w:t>We primarily generate revenues from the sale of parts for equipment that we rent or sell.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Services.</w:t>
      </w:r>
      <w:r>
        <w:rPr>
          <w:rFonts w:ascii="Times New Roman" w:hAnsi="Times New Roman"/>
          <w:sz w:val="20"/>
        </w:rPr>
        <w:t xml:space="preserve"> </w:t>
      </w:r>
      <w:r>
        <w:rPr>
          <w:rFonts w:ascii="Times New Roman;serif" w:hAnsi="Times New Roman;serif"/>
          <w:b w:val="false"/>
          <w:sz w:val="20"/>
        </w:rPr>
        <w:t>We primarily derive our services revenues from maintenance and repair services for equipment that we rent or sell and from customers' owned equipment.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non-segmented revenues for the periods presented in this Quarterly Report on Form 10-Q relate primarily to ancillary charges associated with equipment maintenance and repair services, and are not generally allocated to reportable segments.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Principal Costs and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largest expenses are rental expenses, rental depreciation, the costs to purchase new equipment, the costs associated with the used equipment we sell, and costs associated with parts sales and services, all of which are included in cost of revenues. For the six months ended June 30, 2023, our total cost of revenues was $373.0 million. Our operating expenses consist principally of selling, general and administrative (“SG&amp;A”) expenses. For the six months ended June 30, 2023, our SG&amp;A expenses were $194.6 million. In addition, we have interest expense related to our debt instruments. Operating expenses and all other income and expense items below the gross profit line of our consolidated statements of income are not generally allocated to our reportable segments.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are also subject to federal and state income taxes. Future income tax examinations by state and federal agencies could result in additional income tax expense based on potential outcomes of such matters.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Cost of Revenues</w:t>
      </w:r>
    </w:p>
    <w:p>
      <w:pPr>
        <w:pStyle w:val="TextBody"/>
        <w:bidi w:val="0"/>
        <w:spacing w:before="120" w:after="0"/>
        <w:jc w:val="left"/>
        <w:rPr>
          <w:rFonts w:ascii="Times New Roman" w:hAnsi="Times New Roman"/>
          <w:sz w:val="20"/>
        </w:rPr>
      </w:pPr>
      <w:r>
        <w:rPr>
          <w:rFonts w:ascii="Times New Roman;serif" w:hAnsi="Times New Roman;serif"/>
          <w:b w:val="false"/>
          <w:i/>
          <w:sz w:val="20"/>
        </w:rPr>
        <w:t>Rental Depreciation.</w:t>
      </w:r>
      <w:r>
        <w:rPr>
          <w:rFonts w:ascii="Times New Roman" w:hAnsi="Times New Roman"/>
          <w:sz w:val="20"/>
        </w:rPr>
        <w:t xml:space="preserve"> </w:t>
      </w:r>
      <w:r>
        <w:rPr>
          <w:rFonts w:ascii="Times New Roman;serif" w:hAnsi="Times New Roman;serif"/>
          <w:b w:val="false"/>
          <w:sz w:val="20"/>
        </w:rPr>
        <w:t>Depreciation of rental equipment represents the depreciation costs attributable to rental equipment. Estimated useful lives vary 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pStyle w:val="TextBody"/>
        <w:bidi w:val="0"/>
        <w:spacing w:before="160" w:after="0"/>
        <w:jc w:val="left"/>
        <w:rPr>
          <w:rFonts w:ascii="Times New Roman" w:hAnsi="Times New Roman"/>
          <w:sz w:val="20"/>
        </w:rPr>
      </w:pPr>
      <w:r>
        <w:rPr>
          <w:rFonts w:ascii="Times New Roman;serif" w:hAnsi="Times New Roman;serif"/>
          <w:b w:val="false"/>
          <w:i/>
          <w:sz w:val="20"/>
        </w:rPr>
        <w:t>Rental Expense.</w:t>
      </w:r>
      <w:r>
        <w:rPr>
          <w:rFonts w:ascii="Times New Roman" w:hAnsi="Times New Roman"/>
          <w:sz w:val="20"/>
        </w:rPr>
        <w:t xml:space="preserve"> </w:t>
      </w:r>
      <w:r>
        <w:rPr>
          <w:rFonts w:ascii="Times New Roman;serif" w:hAnsi="Times New Roman;serif"/>
          <w:b w:val="false"/>
          <w:sz w:val="20"/>
        </w:rPr>
        <w:t>Rental expense represents the costs associated with rental equipment, including, among other things, the cost of repairing and maintaining our rental equipment, property taxes on our fleet and other miscellaneous costs of owning rental equipment.</w:t>
      </w:r>
    </w:p>
    <w:p>
      <w:pPr>
        <w:pStyle w:val="TextBody"/>
        <w:bidi w:val="0"/>
        <w:spacing w:before="160" w:after="0"/>
        <w:jc w:val="left"/>
        <w:rPr>
          <w:rFonts w:ascii="Times New Roman" w:hAnsi="Times New Roman"/>
          <w:sz w:val="20"/>
        </w:rPr>
      </w:pPr>
      <w:r>
        <w:rPr>
          <w:rFonts w:ascii="Times New Roman;serif" w:hAnsi="Times New Roman;serif"/>
          <w:b w:val="false"/>
          <w:i/>
          <w:sz w:val="20"/>
        </w:rPr>
        <w:t xml:space="preserve">Rental Other. </w:t>
      </w:r>
      <w:r>
        <w:rPr>
          <w:rFonts w:ascii="Times New Roman;serif" w:hAnsi="Times New Roman;serif"/>
          <w:b w:val="false"/>
          <w:sz w:val="20"/>
        </w:rPr>
        <w:t>Rental other expenses consist primarily of equipment support activities that we provide our customers in connection with renting equipment, such as hauling services, damage waiver policies, environmental fees and other recovery fees.</w:t>
      </w:r>
    </w:p>
    <w:p>
      <w:pPr>
        <w:pStyle w:val="TextBody"/>
        <w:bidi w:val="0"/>
        <w:spacing w:before="160" w:after="0"/>
        <w:jc w:val="left"/>
        <w:rPr>
          <w:rFonts w:ascii="Times New Roman" w:hAnsi="Times New Roman"/>
          <w:sz w:val="20"/>
        </w:rPr>
      </w:pPr>
      <w:r>
        <w:rPr>
          <w:rFonts w:ascii="Times New Roman;serif" w:hAnsi="Times New Roman;serif"/>
          <w:b w:val="false"/>
          <w:i/>
          <w:sz w:val="20"/>
        </w:rPr>
        <w:t>Used Equipment Sales.</w:t>
      </w:r>
      <w:r>
        <w:rPr>
          <w:rFonts w:ascii="Times New Roman" w:hAnsi="Times New Roman"/>
          <w:sz w:val="20"/>
        </w:rPr>
        <w:t xml:space="preserve"> </w:t>
      </w:r>
      <w:r>
        <w:rPr>
          <w:rFonts w:ascii="Times New Roman;serif" w:hAnsi="Times New Roman;serif"/>
          <w:b w:val="false"/>
          <w:sz w:val="20"/>
        </w:rPr>
        <w:t>Cost of used equipment sold primarily consists of the net book value of rental equipment for used equipment sold from our rental fleet.</w:t>
      </w:r>
    </w:p>
    <w:p>
      <w:pPr>
        <w:pStyle w:val="TextBody"/>
        <w:bidi w:val="0"/>
        <w:spacing w:before="160" w:after="0"/>
        <w:jc w:val="left"/>
        <w:rPr>
          <w:rFonts w:ascii="Times New Roman" w:hAnsi="Times New Roman"/>
          <w:sz w:val="20"/>
        </w:rPr>
      </w:pPr>
      <w:r>
        <w:rPr>
          <w:rFonts w:ascii="Times New Roman;serif" w:hAnsi="Times New Roman;serif"/>
          <w:b w:val="false"/>
          <w:i/>
          <w:sz w:val="20"/>
        </w:rPr>
        <w:t>New Equipment Sales.</w:t>
      </w:r>
      <w:r>
        <w:rPr>
          <w:rFonts w:ascii="Times New Roman" w:hAnsi="Times New Roman"/>
          <w:sz w:val="20"/>
        </w:rPr>
        <w:t xml:space="preserve"> </w:t>
      </w:r>
      <w:r>
        <w:rPr>
          <w:rFonts w:ascii="Times New Roman;serif" w:hAnsi="Times New Roman;serif"/>
          <w:b w:val="false"/>
          <w:sz w:val="20"/>
        </w:rPr>
        <w:t>Cost of new equipment sold primarily consists of the equipment cost of the new equipment that is sold.</w:t>
      </w:r>
    </w:p>
    <w:p>
      <w:pPr>
        <w:pStyle w:val="TextBody"/>
        <w:bidi w:val="0"/>
        <w:spacing w:before="160" w:after="0"/>
        <w:jc w:val="left"/>
        <w:rPr>
          <w:rFonts w:ascii="Times New Roman" w:hAnsi="Times New Roman"/>
          <w:sz w:val="20"/>
        </w:rPr>
      </w:pPr>
      <w:r>
        <w:rPr>
          <w:rFonts w:ascii="Times New Roman;serif" w:hAnsi="Times New Roman;serif"/>
          <w:b w:val="false"/>
          <w:i/>
          <w:sz w:val="20"/>
        </w:rPr>
        <w:t>Parts Sales.</w:t>
      </w:r>
      <w:r>
        <w:rPr>
          <w:rFonts w:ascii="Times New Roman" w:hAnsi="Times New Roman"/>
          <w:sz w:val="20"/>
        </w:rPr>
        <w:t xml:space="preserve"> </w:t>
      </w:r>
      <w:r>
        <w:rPr>
          <w:rFonts w:ascii="Times New Roman;serif" w:hAnsi="Times New Roman;serif"/>
          <w:b w:val="false"/>
          <w:sz w:val="20"/>
        </w:rPr>
        <w:t>Cost of parts sales represents costs attributable to the sale of parts used in the maintenance and repair of equipment on-rent by customers and directly to customers for their owned equipment.</w:t>
      </w:r>
    </w:p>
    <w:p>
      <w:pPr>
        <w:pStyle w:val="TextBody"/>
        <w:bidi w:val="0"/>
        <w:spacing w:before="160" w:after="0"/>
        <w:jc w:val="left"/>
        <w:rPr>
          <w:rFonts w:ascii="Times New Roman" w:hAnsi="Times New Roman"/>
          <w:sz w:val="20"/>
        </w:rPr>
      </w:pPr>
      <w:r>
        <w:rPr>
          <w:rFonts w:ascii="Times New Roman;serif" w:hAnsi="Times New Roman;serif"/>
          <w:b w:val="false"/>
          <w:i/>
          <w:sz w:val="20"/>
        </w:rPr>
        <w:t>Services Support.</w:t>
      </w:r>
      <w:r>
        <w:rPr>
          <w:rFonts w:ascii="Times New Roman" w:hAnsi="Times New Roman"/>
          <w:sz w:val="20"/>
        </w:rPr>
        <w:t xml:space="preserve"> </w:t>
      </w:r>
      <w:r>
        <w:rPr>
          <w:rFonts w:ascii="Times New Roman;serif" w:hAnsi="Times New Roman;serif"/>
          <w:b w:val="false"/>
          <w:sz w:val="20"/>
        </w:rPr>
        <w:t>Cost of services revenues represents costs attributable to service provided for the maintenance and repair of equipment on-rent by customers and of customer-owned equipment.</w:t>
      </w:r>
    </w:p>
    <w:p>
      <w:pPr>
        <w:pStyle w:val="TextBody"/>
        <w:bidi w:val="0"/>
        <w:spacing w:before="160" w:after="0"/>
        <w:jc w:val="left"/>
        <w:rPr>
          <w:rFonts w:ascii="Times New Roman" w:hAnsi="Times New Roman"/>
          <w:sz w:val="20"/>
        </w:rPr>
      </w:pPr>
      <w:r>
        <w:rPr>
          <w:rFonts w:ascii="Times New Roman;serif" w:hAnsi="Times New Roman;serif"/>
          <w:b w:val="false"/>
          <w:sz w:val="20"/>
        </w:rPr>
        <w:t>Our non-segmented other expenses include costs associated with ancillary charges associated with equipment maintenance and repair services</w:t>
      </w:r>
      <w:r>
        <w:rPr>
          <w:rFonts w:ascii="Times New Roman;serif" w:hAnsi="Times New Roman;serif"/>
          <w:b w:val="false"/>
          <w:i/>
          <w:sz w:val="20"/>
        </w:rPr>
        <w: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Selling, 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Principal Cash Flows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generate cash primarily from our operating activities and, historically, we have used cash flows from operating activities and available borrowings under the Credit Facility as the primary sources of funds to purchase inventory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used and new equipment inventories, which may increase or decrease in response to current and expected demand, and the size and timing of our trade accounts payable payment cycles.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Rental Fleet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substantial portion of our overall value is in our rental fleet equipment. The net book value of our rental equipment at June 30, 2023 was $1.6 billion, or approximately 62.4% of our total assets. Our rental fleet as of June 30, 2023 consisted of 59,355 units having an original acquisition cost (which we define as the cost originally paid to manufacturers) of $2.6 billion. As of June 30, 2023, our rental fleet composition was as follows (dollars in millions):</w:t>
      </w:r>
    </w:p>
    <w:p>
      <w:pPr>
        <w:pStyle w:val="TextBody"/>
        <w:bidi w:val="0"/>
        <w:spacing w:before="0" w:after="0"/>
        <w:jc w:val="left"/>
        <w:rPr/>
      </w:pPr>
      <w:r>
        <w:rPr/>
        <w:t> </w:t>
      </w:r>
    </w:p>
    <w:tbl>
      <w:tblPr>
        <w:tblW w:w="8629" w:type="dxa"/>
        <w:jc w:val="left"/>
        <w:tblInd w:w="0" w:type="dxa"/>
        <w:tblLayout w:type="fixed"/>
        <w:tblCellMar>
          <w:top w:w="28" w:type="dxa"/>
          <w:left w:w="28" w:type="dxa"/>
          <w:bottom w:w="28" w:type="dxa"/>
          <w:right w:w="28" w:type="dxa"/>
        </w:tblCellMar>
      </w:tblPr>
      <w:tblGrid>
        <w:gridCol w:w="2566"/>
        <w:gridCol w:w="146"/>
        <w:gridCol w:w="146"/>
        <w:gridCol w:w="676"/>
        <w:gridCol w:w="146"/>
        <w:gridCol w:w="146"/>
        <w:gridCol w:w="146"/>
        <w:gridCol w:w="571"/>
        <w:gridCol w:w="271"/>
        <w:gridCol w:w="146"/>
        <w:gridCol w:w="211"/>
        <w:gridCol w:w="721"/>
        <w:gridCol w:w="146"/>
        <w:gridCol w:w="146"/>
        <w:gridCol w:w="186"/>
        <w:gridCol w:w="730"/>
        <w:gridCol w:w="271"/>
        <w:gridCol w:w="146"/>
        <w:gridCol w:w="172"/>
        <w:gridCol w:w="549"/>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br/>
              <w:br/>
              <w:br/>
            </w:r>
            <w:r>
              <w:rPr>
                <w:rFonts w:ascii="Times New Roman" w:hAnsi="Times New Roman"/>
                <w:sz w:val="16"/>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Total</w:t>
              <w:br/>
              <w:t>Units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Original</w:t>
              <w:br/>
              <w:t>Acquisition</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w:t>
              <w:br/>
              <w:t>Original</w:t>
              <w:br/>
              <w:t>Acquisition</w:t>
              <w:br/>
              <w:t>Cost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Age in</w:t>
              <w:br/>
              <w:t>Months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Aerial Work Platforms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Earthmoving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Material Handling Equipment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as part of our fleet management strategy. The mix and age of our rental fleet, as well as our cash flows, are impacted by sales of equipment from the rental fleet, which are influenced by used equipment pricing at the retail and secondary auction market levels, the demand for our rental fleet, the availability of new equipment and the capital expenditures to acquire new rental fleet equipment.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pStyle w:val="TextBody"/>
        <w:bidi w:val="0"/>
        <w:spacing w:before="200" w:after="0"/>
        <w:jc w:val="left"/>
        <w:rPr>
          <w:rFonts w:ascii="Times New Roman" w:hAnsi="Times New Roman"/>
          <w:sz w:val="20"/>
        </w:rPr>
      </w:pPr>
      <w:r>
        <w:rPr>
          <w:rFonts w:ascii="Times New Roman;serif" w:hAnsi="Times New Roman;serif"/>
          <w:b w:val="false"/>
          <w:sz w:val="20"/>
        </w:rPr>
        <w:t>The original acquisition cost of our gross rental fleet increased by approximately $250.9 million, or 10.6%, for the six months ended June 30, 2023. The average age of our rental fleet equipment decreased by approximately 1.1 months for the six months ended June 30, 2023. Our average rental rates for the six months ended June 30, 2023 were approximately 7.6% higher than last year (see further discussion on rental rates in “Results of Operations” below).</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rental equipment mix among our core product lines for the six months ended June 30, 2023 was largely consistent with that of the prior year comparable period as a percentage of total units available for rent and as a percentage of original acquisition cost.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Principal External Factors that Affect our Businesses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2022 and in Item 1A—“Risk Factors” in this Quarterly Report on Form 10-Q for the quarterly period ended June 30, 2023.</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Economic downturns.</w:t>
      </w:r>
      <w:r>
        <w:rPr/>
        <w:t xml:space="preserve"> </w:t>
      </w:r>
      <w:r>
        <w:rPr>
          <w:rFonts w:ascii="Times New Roman;serif" w:hAnsi="Times New Roman;serif"/>
          <w:b w:val="false"/>
          <w:sz w:val="20"/>
        </w:rPr>
        <w:t xml:space="preserve">The demand for our products is dependent on the general economy, the stability of the global credit markets, the industries in which our customers operate or serve, and other factors. Downturns in the general economy or in the construction and industrial markets, as well as adverse credit market conditions, can cause demand for our products to materially decrease.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Spending levels by customers.</w:t>
      </w:r>
      <w:r>
        <w:rPr/>
        <w:t xml:space="preserve"> </w:t>
      </w:r>
      <w:r>
        <w:rPr>
          <w:rFonts w:ascii="Times New Roman;serif" w:hAnsi="Times New Roman;serif"/>
          <w:b w:val="false"/>
          <w:sz w:val="20"/>
        </w:rPr>
        <w:t>Rentals and sales of equipment to the construction industry and to industrial companies constitute a significant portion of our total revenues. As a result, we depend upon customers in these businesses and their ability and willingness to rent or buy equipment. Accordingly, our business is impacted by fluctuations in customers’ spending levels.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Adverse weather.</w:t>
      </w:r>
      <w:r>
        <w:rPr/>
        <w:t xml:space="preserve"> </w:t>
      </w:r>
      <w:r>
        <w:rPr>
          <w:rFonts w:ascii="Times New Roman;serif" w:hAnsi="Times New Roman;serif"/>
          <w:b w:val="false"/>
          <w:sz w:val="20"/>
        </w:rPr>
        <w:t>Adverse weather in a geographic region in which we operate may depress demand for equipment in that region. Our 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Regional and Industry-Specific Activity and Trends.</w:t>
      </w:r>
      <w:r>
        <w:rPr/>
        <w:t xml:space="preserve"> </w:t>
      </w:r>
      <w:r>
        <w:rPr>
          <w:rFonts w:ascii="Times New Roman;serif" w:hAnsi="Times New Roman;serif"/>
          <w:b w:val="false"/>
          <w:sz w:val="20"/>
        </w:rPr>
        <w:t xml:space="preserve">Expenditures by our customers may be impacted by the overall level of construction activity in the markets and regions in which they operate, the price of oil and other commodities, the price of materials, supply chain disruptions and other general economic trends impacting the industries in which our customers and end users operate. As our customers adjust their activity and spending levels in response to these external factors, our rentals and sales of equipment to those customers will be impacted. </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The tables included in the period-to-period comparisons below provide summaries of our revenues and gross profits for our business segments and non-segmented revenues for the three and six months ended June 30, 2023 and 2022. The period-to-period comparisons of our financial results are not necessarily indicative of future results. All financial results and metrics discussed below are on a continuing operations basis.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As discussed further in Note 1 and Note 3 to our Condensed Consolidated Financial Statements, on October 1, 2021 the Company sold its crane business and during the second quarter of 2022 the Company finalized closing adjustments. The results of operations of the Crane Sale are reported in discontinued operations in the Condensed Consolidated Statements of Income for the 2022 period presented. The Condensed Consolidated Statements of Cash Flows includes cash flows related to the discontinued operations and accordingly, cash flow amounts for discontinued operations are disclosed in Note 3 “Acquisitions and Dispositions”.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Three Months Ended June 30, 2023 Compared to the Three Months Ended June 30, 2022</w:t>
      </w:r>
    </w:p>
    <w:p>
      <w:pPr>
        <w:pStyle w:val="TextBody"/>
        <w:bidi w:val="0"/>
        <w:spacing w:before="120" w:after="40"/>
        <w:jc w:val="left"/>
        <w:rPr>
          <w:rFonts w:ascii="Times New Roman;serif" w:hAnsi="Times New Roman;serif"/>
          <w:b/>
          <w:i/>
          <w:sz w:val="20"/>
        </w:rPr>
      </w:pPr>
      <w:r>
        <w:rPr>
          <w:rFonts w:ascii="Times New Roman;serif" w:hAnsi="Times New Roman;serif"/>
          <w:b/>
          <w:i/>
          <w:sz w:val="20"/>
        </w:rPr>
        <w:t>Revenues.</w:t>
      </w:r>
    </w:p>
    <w:tbl>
      <w:tblPr>
        <w:tblW w:w="7896" w:type="dxa"/>
        <w:jc w:val="left"/>
        <w:tblInd w:w="0" w:type="dxa"/>
        <w:tblLayout w:type="fixed"/>
        <w:tblCellMar>
          <w:top w:w="28" w:type="dxa"/>
          <w:left w:w="28" w:type="dxa"/>
          <w:bottom w:w="28" w:type="dxa"/>
          <w:right w:w="28" w:type="dxa"/>
        </w:tblCellMar>
      </w:tblPr>
      <w:tblGrid>
        <w:gridCol w:w="2191"/>
        <w:gridCol w:w="146"/>
        <w:gridCol w:w="211"/>
        <w:gridCol w:w="781"/>
        <w:gridCol w:w="146"/>
        <w:gridCol w:w="146"/>
        <w:gridCol w:w="211"/>
        <w:gridCol w:w="781"/>
        <w:gridCol w:w="146"/>
        <w:gridCol w:w="146"/>
        <w:gridCol w:w="211"/>
        <w:gridCol w:w="736"/>
        <w:gridCol w:w="166"/>
        <w:gridCol w:w="146"/>
        <w:gridCol w:w="186"/>
        <w:gridCol w:w="730"/>
        <w:gridCol w:w="816"/>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 (Decrease)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43"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firstLine="400"/>
              <w:jc w:val="left"/>
              <w:rPr/>
            </w:pPr>
            <w:r>
              <w:rPr/>
              <w:t> </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8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Non-Segmented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Total Revenues</w:t>
      </w:r>
      <w:r>
        <w:rPr>
          <w:rFonts w:ascii="Times New Roman;serif" w:hAnsi="Times New Roman;serif"/>
          <w:b w:val="false"/>
          <w:sz w:val="20"/>
        </w:rPr>
        <w:t>. Our total revenues were $360.2 million for the three months ended June 30, 2023 compared to $294.7 million for the three months ended June 30, 2022, an increase of $65.6 million, or 22.2%. Revenues for all reportable segments and non-segmented other revenues are further discussed below.</w:t>
      </w:r>
    </w:p>
    <w:p>
      <w:pPr>
        <w:pStyle w:val="TextBody"/>
        <w:bidi w:val="0"/>
        <w:spacing w:before="200" w:after="0"/>
        <w:jc w:val="left"/>
        <w:rPr>
          <w:rFonts w:ascii="Times New Roman" w:hAnsi="Times New Roman"/>
          <w:sz w:val="20"/>
        </w:rPr>
      </w:pPr>
      <w:r>
        <w:rPr>
          <w:rFonts w:ascii="Times New Roman;serif" w:hAnsi="Times New Roman;serif"/>
          <w:b w:val="false"/>
          <w:i/>
          <w:sz w:val="20"/>
        </w:rPr>
        <w:t>Equipment Rental Revenues</w:t>
      </w:r>
      <w:r>
        <w:rPr>
          <w:rFonts w:ascii="Times New Roman;serif" w:hAnsi="Times New Roman;serif"/>
          <w:b w:val="false"/>
          <w:sz w:val="20"/>
        </w:rPr>
        <w:t>. Our total revenues from equipment rentals for the three months ended June 30, 2023 increased $63.9 million, or 28.1%, to $291.5 million from $227.6 million in the three months ended June 30, 2022. The increased equipment rental revenues was primarily due to our larger fleet and increased rental rates as compared to the prior year. See Rentals and Rentals Other below for additional information.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w:t>
      </w:r>
      <w:r>
        <w:rPr>
          <w:rFonts w:ascii="Times New Roman;serif" w:hAnsi="Times New Roman;serif"/>
          <w:b w:val="false"/>
          <w:sz w:val="20"/>
        </w:rPr>
        <w:t>: Rental revenues increased $57.5 million, or 28.6%, to $258.7 million for the three months ended June 30, 2023 compared to $201.2 million for the three months ended June 30, 2022. Rental revenues from material handling equipment increased $18.0 million, aerial work platform equipment increased $15.8 million and earthmoving equipment increased $14.0 million. Rental revenues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on other equipment increased $9.6 million. Our average rental rates for the three months ended June 30, 2023 increased 6.4% compared to the same three months last year and increased 1.2% from the three months ended March 31, 2023. Rental equipment dollar utilization (annual rental revenues divided by the average original rental fleet equipment costs) for the three months ended June 30, 2023 was 40.6% compared to 40.9% in the three months ended June 30, 2022, a decrease of 0.3%. The decrease in comparative rental equipment dollar utilization was the net result of the increase in equipment rental rates and a decrease in rental equipment time utilization. Rental equipment time utilization as a percentage of original equipment cost was 69.3% for the three months ended June 30, 2023 compared to 73.2% in the three months ended June 30, 2022, a decrease of 3.9%. The decrease in rental equipment time utilization as a percentage of original equipment cost was largely reflective of the increase in fleet size and our expansion efforts.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 Other:</w:t>
      </w:r>
      <w:r>
        <w:rPr>
          <w:rFonts w:ascii="Times New Roman" w:hAnsi="Times New Roman"/>
          <w:sz w:val="20"/>
        </w:rPr>
        <w:t xml:space="preserve"> </w:t>
      </w:r>
      <w:r>
        <w:rPr>
          <w:rFonts w:ascii="Times New Roman;serif" w:hAnsi="Times New Roman;serif"/>
          <w:b w:val="false"/>
          <w:sz w:val="20"/>
        </w:rPr>
        <w:t>Our rentals other revenues consists primarily of equipment support activities that we provide to customers in connection with renting equipment, such as hauling charges, damage waiver policies, environmental and other recovery fees. Rental other revenues for the three months ended June 30, 2023 were $32.7 million compared to $26.3 million for the three months ended June 30, 2022, an increase of approximately $6.4 million, or 24.3%.</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Used Equipment Sales Revenues</w:t>
      </w:r>
      <w:r>
        <w:rPr>
          <w:rFonts w:ascii="Times New Roman;serif" w:hAnsi="Times New Roman;serif"/>
          <w:b w:val="false"/>
          <w:sz w:val="20"/>
        </w:rPr>
        <w:t>. Our used equipment sales increased $20.8 million, or 110.6%, to $39.7 million for the three months ended June 30, 2023, from $18.8 million for the same three months in 2022. This increase is reflective of our fleet management strategy and our decision to capitalize on the high demand for used equipment. Sales of used earthmoving equipment, used material handling equipment and used aerial work platform equipment increased $11.1 million, $4.1 million and $4.0 million, respectively.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New Equipment Sales Revenues</w:t>
      </w:r>
      <w:r>
        <w:rPr>
          <w:rFonts w:ascii="Times New Roman;serif" w:hAnsi="Times New Roman;serif"/>
          <w:b w:val="false"/>
          <w:sz w:val="20"/>
        </w:rPr>
        <w:t>. Our new equipment sales for the three months ended June 30, 2023 decreased $12.6 million, or 58.8%, to $8.9 million from $21.5 million for the three months ended June 30, 2022. This decrease is primarily reflective of the sale of our Komatsu Earthmoving Distributorship during the fourth quarter of 2022 as sales of new earthmoving equipment decreased $13.5 million. Offsetting this decrease, sales of new aerial work platform equipment and material handling equipment increased $0.7 million and $0.4 million, respectively.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Parts Sales Revenues</w:t>
      </w:r>
      <w:r>
        <w:rPr>
          <w:rFonts w:ascii="Times New Roman;serif" w:hAnsi="Times New Roman;serif"/>
          <w:b w:val="false"/>
          <w:sz w:val="20"/>
        </w:rPr>
        <w:t>. Our parts sales revenues for the three months ended June 30, 2023 decreased $4.1 million, or 25.6%, to $12.0 million from $16.2 million for the same three months last year.</w:t>
      </w:r>
    </w:p>
    <w:p>
      <w:pPr>
        <w:pStyle w:val="TextBody"/>
        <w:bidi w:val="0"/>
        <w:spacing w:before="200" w:after="0"/>
        <w:jc w:val="left"/>
        <w:rPr>
          <w:rFonts w:ascii="Times New Roman" w:hAnsi="Times New Roman"/>
          <w:sz w:val="20"/>
        </w:rPr>
      </w:pPr>
      <w:r>
        <w:rPr>
          <w:rFonts w:ascii="Times New Roman;serif" w:hAnsi="Times New Roman;serif"/>
          <w:b w:val="false"/>
          <w:i/>
          <w:sz w:val="20"/>
        </w:rPr>
        <w:t>Services Revenues</w:t>
      </w:r>
      <w:r>
        <w:rPr>
          <w:rFonts w:ascii="Times New Roman;serif" w:hAnsi="Times New Roman;serif"/>
          <w:b w:val="false"/>
          <w:sz w:val="20"/>
        </w:rPr>
        <w:t>. Our services revenues for the three months ended June 30, 2023 decreased $1.8 million, or 19.8%, to $7.1 million from $8.9 million for the same three months last year.</w:t>
      </w:r>
    </w:p>
    <w:p>
      <w:pPr>
        <w:pStyle w:val="TextBody"/>
        <w:bidi w:val="0"/>
        <w:spacing w:before="200" w:after="0"/>
        <w:jc w:val="left"/>
        <w:rPr>
          <w:rFonts w:ascii="Times New Roman" w:hAnsi="Times New Roman"/>
          <w:sz w:val="20"/>
        </w:rPr>
      </w:pPr>
      <w:r>
        <w:rPr>
          <w:rFonts w:ascii="Times New Roman;serif" w:hAnsi="Times New Roman;serif"/>
          <w:b w:val="false"/>
          <w:i/>
          <w:sz w:val="20"/>
        </w:rPr>
        <w:t>Non-Segmented Other Revenues</w:t>
      </w:r>
      <w:r>
        <w:rPr>
          <w:rFonts w:ascii="Times New Roman;serif" w:hAnsi="Times New Roman;serif"/>
          <w:b w:val="false"/>
          <w:sz w:val="20"/>
        </w:rPr>
        <w:t>. Our non-segmented other revenues relate to equipment support activities that we provide to customers in connection with new and used equipment sales and parts and services revenues and are not generally allocated to reportable segments. For the three months ended June 30, 2023, our other revenues were $1.1 million, a decrease of $0.6 million from the same three months in 2022.</w:t>
      </w:r>
    </w:p>
    <w:p>
      <w:pPr>
        <w:pStyle w:val="TextBody"/>
        <w:bidi w:val="0"/>
        <w:spacing w:before="360" w:after="40"/>
        <w:jc w:val="left"/>
        <w:rPr>
          <w:rFonts w:ascii="Times New Roman;serif" w:hAnsi="Times New Roman;serif"/>
          <w:b/>
          <w:i/>
          <w:sz w:val="20"/>
        </w:rPr>
      </w:pPr>
      <w:r>
        <w:rPr>
          <w:rFonts w:ascii="Times New Roman;serif" w:hAnsi="Times New Roman;serif"/>
          <w:b/>
          <w:i/>
          <w:sz w:val="20"/>
        </w:rPr>
        <w:t>Gross Profit.</w:t>
      </w:r>
    </w:p>
    <w:tbl>
      <w:tblPr>
        <w:tblW w:w="8759" w:type="dxa"/>
        <w:jc w:val="left"/>
        <w:tblInd w:w="0" w:type="dxa"/>
        <w:tblLayout w:type="fixed"/>
        <w:tblCellMar>
          <w:top w:w="28" w:type="dxa"/>
          <w:left w:w="28" w:type="dxa"/>
          <w:bottom w:w="28" w:type="dxa"/>
          <w:right w:w="28" w:type="dxa"/>
        </w:tblCellMar>
      </w:tblPr>
      <w:tblGrid>
        <w:gridCol w:w="2986"/>
        <w:gridCol w:w="146"/>
        <w:gridCol w:w="211"/>
        <w:gridCol w:w="781"/>
        <w:gridCol w:w="166"/>
        <w:gridCol w:w="146"/>
        <w:gridCol w:w="211"/>
        <w:gridCol w:w="781"/>
        <w:gridCol w:w="166"/>
        <w:gridCol w:w="146"/>
        <w:gridCol w:w="217"/>
        <w:gridCol w:w="698"/>
        <w:gridCol w:w="166"/>
        <w:gridCol w:w="146"/>
        <w:gridCol w:w="186"/>
        <w:gridCol w:w="730"/>
        <w:gridCol w:w="87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87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87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 (Decrease)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51"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87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Gross Profit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76" w:type="dxa"/>
            <w:tcBorders/>
            <w:vAlign w:val="center"/>
          </w:tcPr>
          <w:p>
            <w:pPr>
              <w:pStyle w:val="TableContents"/>
              <w:bidi w:val="0"/>
              <w:spacing w:before="0" w:after="0"/>
              <w:ind w:left="0" w:right="0" w:firstLine="200"/>
              <w:jc w:val="right"/>
              <w:rPr/>
            </w:pPr>
            <w:r>
              <w:rPr/>
              <w:t> </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76" w:type="dxa"/>
            <w:tcBorders/>
            <w:vAlign w:val="center"/>
          </w:tcPr>
          <w:p>
            <w:pPr>
              <w:pStyle w:val="TableContents"/>
              <w:bidi w:val="0"/>
              <w:spacing w:before="0" w:after="0"/>
              <w:ind w:left="0" w:right="0" w:firstLine="400"/>
              <w:jc w:val="right"/>
              <w:rPr/>
            </w:pPr>
            <w:r>
              <w:rPr/>
              <w:t> </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8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8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w:t>
            </w:r>
          </w:p>
        </w:tc>
        <w:tc>
          <w:tcPr>
            <w:tcW w:w="8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8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8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Non-segmented revenues gross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Total Gross Profit</w:t>
      </w:r>
      <w:r>
        <w:rPr>
          <w:rFonts w:ascii="Times New Roman;serif" w:hAnsi="Times New Roman;serif"/>
          <w:b w:val="false"/>
          <w:sz w:val="20"/>
        </w:rPr>
        <w:t>. Our total gross profit was $168.4 million for the three months ended June 30, 2023 compared to $132.3 million for the same three months in 2022, an increase of $36.0 million, or 27.2%. Total gross profit margin for the three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ended June 30, 2023 was approximately 46.7%, an increase of 1.8% from the 44.9% gross profit margin for the same three months in 2022. Gross profit and gross margin for all reportable segments and non-segmented other revenues are further described below.</w:t>
      </w:r>
    </w:p>
    <w:p>
      <w:pPr>
        <w:pStyle w:val="TextBody"/>
        <w:bidi w:val="0"/>
        <w:spacing w:before="200" w:after="0"/>
        <w:jc w:val="left"/>
        <w:rPr>
          <w:rFonts w:ascii="Times New Roman" w:hAnsi="Times New Roman"/>
          <w:sz w:val="20"/>
        </w:rPr>
      </w:pPr>
      <w:r>
        <w:rPr>
          <w:rFonts w:ascii="Times New Roman;serif" w:hAnsi="Times New Roman;serif"/>
          <w:b w:val="false"/>
          <w:i/>
          <w:sz w:val="20"/>
        </w:rPr>
        <w:t>Equipment Rentals Gross Profit</w:t>
      </w:r>
      <w:r>
        <w:rPr>
          <w:rFonts w:ascii="Times New Roman;serif" w:hAnsi="Times New Roman;serif"/>
          <w:b w:val="false"/>
          <w:sz w:val="20"/>
        </w:rPr>
        <w:t>. Our total gross profit from equipment rentals for the three months ended June 30, 2023 increased $25.8 million, or 23.4%, to $136.4 million from $110.6 million in the same three months in 2022. Total gross profit margin from equipment rentals for the three months ended June 30, 2023 was 46.8% compared to 48.6% for the same period in 2022, a decrease of approximately 1.8%. See Rentals and Rentals Other below for additional information.</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w:t>
      </w:r>
      <w:r>
        <w:rPr>
          <w:rFonts w:ascii="Times New Roman" w:hAnsi="Times New Roman"/>
          <w:sz w:val="20"/>
        </w:rPr>
        <w:t xml:space="preserve"> </w:t>
      </w:r>
      <w:r>
        <w:rPr>
          <w:rFonts w:ascii="Times New Roman;serif" w:hAnsi="Times New Roman;serif"/>
          <w:b w:val="false"/>
          <w:sz w:val="20"/>
        </w:rPr>
        <w:t>Rental revenues gross profit increased $25.9 million, or 24.0%, to $134.1 million for the three months ended June 30, 2023 compared to $108.1 million for the same three months in 2022. The increased gross profit was due to increased rental revenues of $57.5 million for the three months ended June 30, 2023 compared to the same period last year, partially offset by a $23.6 million increase in rental equipment depreciation expense and a $7.9 million increase in rental expenses. The increase in depreciation expense is primarily due to a larger fleet size in the current year as compared to the prior period. Our fleet size, based on original equipment cost, at June 30, 2023 was $601.6 million, or 30.0%, larger than our fleet at June 30, 2022. Gross profit margin on equipment rentals for the three months ended June 30, 2023 was 51.8% compared to 53.7% for the same period in 2022, a decrease of 1.9%. Depreciation expense was 33.2% of equipment rental revenues for the three months ended June 30, 2023 compared to 31.0% for the same period in 2022, an increase of approximately 2.2%, resulting primarily from our OSR acquired fleet. As a percentage of revenues, rental expenses were 15.0% for the three months ended June 30, 2023 compared to 15.3% for the same period last year, a decrease of 0.3%.</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 Other:</w:t>
      </w:r>
      <w:r>
        <w:rPr>
          <w:rFonts w:ascii="Times New Roman" w:hAnsi="Times New Roman"/>
          <w:sz w:val="20"/>
        </w:rPr>
        <w:t xml:space="preserve"> </w:t>
      </w:r>
      <w:r>
        <w:rPr>
          <w:rFonts w:ascii="Times New Roman;serif" w:hAnsi="Times New Roman;serif"/>
          <w:b w:val="false"/>
          <w:sz w:val="20"/>
        </w:rPr>
        <w:t>Our rentals other revenues consists primarily of equipment support activities that we provide to customers in connection with renting equipment, such as hauling charges, damage waiver policies, environmental and other recovery fees. Rental other revenues gross profit for the three months ended June 30, 2023 was $2.4 million, a decrease of $0.1 million as compared to the same period in 2022. The gross margin was 7.3% for the three months ended June 30, 2023 compared to a gross margin of 9.3% for the same period last year.</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Used Equipment Sales Gross Profit. </w:t>
      </w:r>
      <w:r>
        <w:rPr>
          <w:rFonts w:ascii="Times New Roman;serif" w:hAnsi="Times New Roman;serif"/>
          <w:b w:val="false"/>
          <w:sz w:val="20"/>
        </w:rPr>
        <w:t>Our used equipment sales gross profit for the three months ended June 30, 2023 increased $14.5 million, or 161.5%, to $23.4 million from $9.0 million in the same period in 2022, as used equipment sales revenues increased $20.8 million. Gross profit margin on used equipment sales for the three months ended June 30, 2023 was approximately 59.1%, up 11.5% from 47.6% for the same three months in 2022, primarily as a result of higher gross margins across all product lines. Our used equipment sales from the rental fleet, which comprised 99.5% and 88.0% of our used equipment sales for the three months ended June 30, 2023 and 2022, respectively, were approximately 245.8% and 203.7% of net book value for the three months ended June 30, 2023 and 2022, respectively.</w:t>
      </w:r>
    </w:p>
    <w:p>
      <w:pPr>
        <w:pStyle w:val="TextBody"/>
        <w:bidi w:val="0"/>
        <w:spacing w:before="200" w:after="0"/>
        <w:jc w:val="left"/>
        <w:rPr>
          <w:rFonts w:ascii="Times New Roman" w:hAnsi="Times New Roman"/>
          <w:sz w:val="20"/>
        </w:rPr>
      </w:pPr>
      <w:r>
        <w:rPr>
          <w:rFonts w:ascii="Times New Roman;serif" w:hAnsi="Times New Roman;serif"/>
          <w:b w:val="false"/>
          <w:i/>
          <w:sz w:val="20"/>
        </w:rPr>
        <w:t>New Equipment Sales Gross Profit.</w:t>
      </w:r>
      <w:r>
        <w:rPr>
          <w:rFonts w:ascii="Times New Roman" w:hAnsi="Times New Roman"/>
          <w:sz w:val="20"/>
        </w:rPr>
        <w:t xml:space="preserve"> </w:t>
      </w:r>
      <w:r>
        <w:rPr>
          <w:rFonts w:ascii="Times New Roman;serif" w:hAnsi="Times New Roman;serif"/>
          <w:b w:val="false"/>
          <w:sz w:val="20"/>
        </w:rPr>
        <w:t>Our new equipment sales gross profit for the three months ended June 30, 2023 decreased $1.9 million, or 58.9%, to $1.3 million compared to $3.2 million for the same three months in 2022. Gross profit margin on new equipment sales was 14.9% for the three months ended June 30, 2023, compared to 15.0% for the same period last year, a decrease of 0.1%. The decreased gross profit was primarily due to decreased earthmoving equipment sales due to the sale of our Komatsu Earthmoving Distributorship.</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Parts Sales Gross Profit. </w:t>
      </w:r>
      <w:r>
        <w:rPr>
          <w:rFonts w:ascii="Times New Roman;serif" w:hAnsi="Times New Roman;serif"/>
          <w:b w:val="false"/>
          <w:sz w:val="20"/>
        </w:rPr>
        <w:t>Our parts sales gross profit for the three months ended June 30, 2023 was $3.6 million, a decrease of 17.9%, from gross profit of $4.3 million for the same period last year on parts sales that decreased $4.1 million. Gross profit margin for the three months ended June 30, 2023 and 2022 was 29.6% and 26.8%, respectively.</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Services Revenues Gross Profit. </w:t>
      </w:r>
      <w:r>
        <w:rPr>
          <w:rFonts w:ascii="Times New Roman;serif" w:hAnsi="Times New Roman;serif"/>
          <w:b w:val="false"/>
          <w:sz w:val="20"/>
        </w:rPr>
        <w:t>For the three months ended June 30, 2023, our services revenues gross profit decreased $1.3 million, or 22.8%, to $4.4 million from $5.7 million for the same three months in 2022 on service revenues that decreased $1.8 million. Gross profit margin for the three months ended June 30, 2023 was 62.2%, a decrease of 2.4% from 64.6% in the same three months in 2022.</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Non-Segmented Other Revenues Gross Loss. </w:t>
      </w:r>
      <w:r>
        <w:rPr>
          <w:rFonts w:ascii="Times New Roman;serif" w:hAnsi="Times New Roman;serif"/>
          <w:b w:val="false"/>
          <w:sz w:val="20"/>
        </w:rPr>
        <w:t>Our non-segmented other revenues relate to equipment support activities that we provide to customers in connection with used and new equipment sales and parts and services revenues and are not generally allocated to reportable segments. For the three months ended June 30, 2023, our other revenues gross loss was $0.8 million compared to a gross loss of $0.5 million, in the same period in 2022, a decrease of $0.3 million.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Selling, General and Administrative Expenses. </w:t>
      </w:r>
      <w:r>
        <w:rPr>
          <w:rFonts w:ascii="Times New Roman;serif" w:hAnsi="Times New Roman;serif"/>
          <w:b w:val="false"/>
          <w:sz w:val="20"/>
        </w:rPr>
        <w:t>SG&amp;A expenses increased $16.6 million, or 20.1%, to $99.3 million for the three months ended June 30, 2023 compared to $82.7 million for the three months ended June 30, 2022. Employee salaries, wages, payroll taxes and other employee related expenses increased $9.6 million due to increased commissions, wages, headcount and health insurance. Facility expenses increased $1.8 million, professional fees increased $1.4 million and liability insurance costs increased $0.7 million. Approximately $7.4 million of comparative incremental SG&amp;A expenses in the three months ended June 30, 2023 was attributable to branches opened or acquired since January 1, 2022 with less than three months of comparable operations in either 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both of the three months ended June 30, 2023 and 2022. SG&amp;A expenses as a percentage of total revenues for the three months ended June 30, 2023 and 2022 were 27.6% and 28.1%, respectively, a decrease of 0.5%.</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Gain on Sales of Property &amp; Equipment (Net). </w:t>
      </w:r>
      <w:r>
        <w:rPr>
          <w:rFonts w:ascii="Times New Roman;serif" w:hAnsi="Times New Roman;serif"/>
          <w:b w:val="false"/>
          <w:sz w:val="20"/>
        </w:rPr>
        <w:t>We had net gains on sales of property and equipment of $0.4 million compared to $1.0 million for the same period last year, a decrease of $0.6 million. This decrease is due to fluctuations in the normal course of business.</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Other Income (Expense). </w:t>
      </w:r>
      <w:r>
        <w:rPr>
          <w:rFonts w:ascii="Times New Roman;serif" w:hAnsi="Times New Roman;serif"/>
          <w:b w:val="false"/>
          <w:sz w:val="20"/>
        </w:rPr>
        <w:t>For the three months ended June 30, 2023, our net other expenses increased approximately $1.0 million to $13.6 million compared to $12.6 million for the same three months in 2022. Interest expense was $14.7 million for the three months ended June 30, 2023 and $13.5 million for the three months ended June 30,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Income Taxes. </w:t>
      </w:r>
      <w:r>
        <w:rPr>
          <w:rFonts w:ascii="Times New Roman;serif" w:hAnsi="Times New Roman;serif"/>
          <w:b w:val="false"/>
          <w:sz w:val="20"/>
        </w:rPr>
        <w:t>We recorded income tax expense of $14.7 million for the three months ended June 30, 2023 compared to an income tax expense of $10.2 million for the three months ended June 30, 2022. Our effective income tax rate for the three months ended June 30, 2023 was 26.3% compared to 26.8% for the same period in 2022. Based on available evidence, both positive and negative, we believe it is more likely than not that our federal deferred tax assets at June 30, 2023 are fully realizable through future reversals of existing taxable temporary differences and future taxable income. As of June 30, 2023, we have a valuation allowance of $5.9 million for certain state tax credits that may not be realized.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Six Months Ended June 30, 2023 Compared to the Six Months Ended June 30, 2022</w:t>
      </w:r>
    </w:p>
    <w:p>
      <w:pPr>
        <w:pStyle w:val="TextBody"/>
        <w:bidi w:val="0"/>
        <w:spacing w:before="240" w:after="40"/>
        <w:jc w:val="left"/>
        <w:rPr>
          <w:rFonts w:ascii="Times New Roman;serif" w:hAnsi="Times New Roman;serif"/>
          <w:b/>
          <w:i/>
          <w:sz w:val="20"/>
        </w:rPr>
      </w:pPr>
      <w:r>
        <w:rPr>
          <w:rFonts w:ascii="Times New Roman;serif" w:hAnsi="Times New Roman;serif"/>
          <w:b/>
          <w:i/>
          <w:sz w:val="20"/>
        </w:rPr>
        <w:t>Revenues.</w:t>
      </w:r>
    </w:p>
    <w:tbl>
      <w:tblPr>
        <w:tblW w:w="8741" w:type="dxa"/>
        <w:jc w:val="left"/>
        <w:tblInd w:w="0" w:type="dxa"/>
        <w:tblLayout w:type="fixed"/>
        <w:tblCellMar>
          <w:top w:w="28" w:type="dxa"/>
          <w:left w:w="28" w:type="dxa"/>
          <w:bottom w:w="28" w:type="dxa"/>
          <w:right w:w="28" w:type="dxa"/>
        </w:tblCellMar>
      </w:tblPr>
      <w:tblGrid>
        <w:gridCol w:w="2191"/>
        <w:gridCol w:w="346"/>
        <w:gridCol w:w="211"/>
        <w:gridCol w:w="781"/>
        <w:gridCol w:w="146"/>
        <w:gridCol w:w="346"/>
        <w:gridCol w:w="211"/>
        <w:gridCol w:w="781"/>
        <w:gridCol w:w="146"/>
        <w:gridCol w:w="346"/>
        <w:gridCol w:w="211"/>
        <w:gridCol w:w="781"/>
        <w:gridCol w:w="166"/>
        <w:gridCol w:w="346"/>
        <w:gridCol w:w="199"/>
        <w:gridCol w:w="717"/>
        <w:gridCol w:w="816"/>
      </w:tblGrid>
      <w:tr>
        <w:trPr/>
        <w:tc>
          <w:tcPr>
            <w:tcW w:w="21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4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4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388"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81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346" w:type="dxa"/>
            <w:tcBorders/>
            <w:vAlign w:val="center"/>
          </w:tcPr>
          <w:p>
            <w:pPr>
              <w:pStyle w:val="TableContents"/>
              <w:bidi w:val="0"/>
              <w:spacing w:before="0" w:after="0"/>
              <w:ind w:left="0" w:right="0" w:firstLine="200"/>
              <w:jc w:val="left"/>
              <w:rPr/>
            </w:pPr>
            <w:r>
              <w:rPr/>
              <w:t> </w:t>
            </w:r>
          </w:p>
        </w:tc>
        <w:tc>
          <w:tcPr>
            <w:tcW w:w="992" w:type="dxa"/>
            <w:gridSpan w:val="2"/>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992" w:type="dxa"/>
            <w:gridSpan w:val="2"/>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992" w:type="dxa"/>
            <w:gridSpan w:val="2"/>
            <w:tcBorders/>
            <w:vAlign w:val="center"/>
          </w:tcPr>
          <w:p>
            <w:pPr>
              <w:pStyle w:val="TableContents"/>
              <w:bidi w:val="0"/>
              <w:spacing w:before="0" w:after="0"/>
              <w:ind w:left="20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916" w:type="dxa"/>
            <w:gridSpan w:val="2"/>
            <w:tcBorders/>
            <w:vAlign w:val="center"/>
          </w:tcPr>
          <w:p>
            <w:pPr>
              <w:pStyle w:val="TableContents"/>
              <w:bidi w:val="0"/>
              <w:spacing w:before="0" w:after="0"/>
              <w:ind w:left="200" w:right="0" w:hanging="0"/>
              <w:jc w:val="left"/>
              <w:rPr/>
            </w:pPr>
            <w:r>
              <w:rPr/>
              <w:t> </w:t>
            </w:r>
          </w:p>
        </w:tc>
        <w:tc>
          <w:tcPr>
            <w:tcW w:w="816" w:type="dxa"/>
            <w:tcBorders/>
            <w:vAlign w:val="center"/>
          </w:tcPr>
          <w:p>
            <w:pPr>
              <w:pStyle w:val="TableContents"/>
              <w:bidi w:val="0"/>
              <w:spacing w:before="0" w:after="0"/>
              <w:ind w:left="0" w:right="0" w:firstLine="400"/>
              <w:jc w:val="left"/>
              <w:rPr/>
            </w:pPr>
            <w:r>
              <w:rPr/>
              <w:t> </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490,799</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378,425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112,374</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8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 other</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equipment rentals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553,467</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426,802</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126,665</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71,768</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40,359</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31,409</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47,522</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32,231</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14,319</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17,023</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Non-Segmented revenues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1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682,714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567,121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Total Revenues</w:t>
      </w:r>
      <w:r>
        <w:rPr>
          <w:rFonts w:ascii="Times New Roman;serif" w:hAnsi="Times New Roman;serif"/>
          <w:b w:val="false"/>
          <w:sz w:val="20"/>
        </w:rPr>
        <w:t>. Our total revenues were $682.7 million for the six months ended June 30, 2023 compared to $567.1 million for the six months ended June 30, 2022, an increase of $115.6 million, or 20.4%. Revenues for all reportable segments and non-segmented other revenues are further discussed below.</w:t>
      </w:r>
    </w:p>
    <w:p>
      <w:pPr>
        <w:pStyle w:val="TextBody"/>
        <w:bidi w:val="0"/>
        <w:spacing w:before="200" w:after="0"/>
        <w:jc w:val="left"/>
        <w:rPr>
          <w:rFonts w:ascii="Times New Roman" w:hAnsi="Times New Roman"/>
          <w:sz w:val="20"/>
        </w:rPr>
      </w:pPr>
      <w:r>
        <w:rPr>
          <w:rFonts w:ascii="Times New Roman;serif" w:hAnsi="Times New Roman;serif"/>
          <w:b w:val="false"/>
          <w:i/>
          <w:sz w:val="20"/>
        </w:rPr>
        <w:t>Equipment Rental Revenues</w:t>
      </w:r>
      <w:r>
        <w:rPr>
          <w:rFonts w:ascii="Times New Roman;serif" w:hAnsi="Times New Roman;serif"/>
          <w:b w:val="false"/>
          <w:sz w:val="20"/>
        </w:rPr>
        <w:t>. Our total revenues from equipment rentals for the six months ended June 30, 2023 increased $126.7 million, or 29.7%, to $553.5 million from $426.8 million in the six months ended June 30, 2022. The increase in equipment rental revenues was primarily due to our larger fleet and increased rental rates as compared to the prior year.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w:t>
      </w:r>
      <w:r>
        <w:rPr>
          <w:rFonts w:ascii="Times New Roman" w:hAnsi="Times New Roman"/>
          <w:sz w:val="20"/>
        </w:rPr>
        <w:t xml:space="preserve"> </w:t>
      </w:r>
      <w:r>
        <w:rPr>
          <w:rFonts w:ascii="Times New Roman;serif" w:hAnsi="Times New Roman;serif"/>
          <w:b w:val="false"/>
          <w:sz w:val="20"/>
        </w:rPr>
        <w:t>Rental revenues increased $112.4 million, or 29.7%, to $490.8 million for the six months ended June 30, 2023 compared to $378.4 million for the six months ended June 30, 2022. Rental revenues from material handling equipment increased $35.8 million, aerial work platform equipment increased $31.9 million, earthmoving equipment increased $27.3 million and other equipment increased $17.3 million. Our average rental rates for the six months ended June 30, 2023 increased 7.6% compared to the same period last year. Rental equipment dollar utilization (annual rental revenues divided by the average original rental fleet equipment costs) for the six months ended June 30, 2023 was 39.6% compared to 39.3% in the six months ended June 30, 2022, an increase of 0.3%. The increase in comparative rental equipment dollar utilization was the net result of an increase in equipment rental rates and a decrease in rental equipment time utilization. Rental equipment time utilization as a percentage of original equipment cost was 68.3% for the six months ended June 30, 2023 compared to 71.8% in the six months ended June 30, 2022, a decrease of 3.5%. The decrease in rental equipment time utilization as a percentage of original equipment cost was largely reflective of the increase in fleet size and our expansion efforts.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 Other.</w:t>
      </w:r>
      <w:r>
        <w:rPr>
          <w:rFonts w:ascii="Times New Roman" w:hAnsi="Times New Roman"/>
          <w:sz w:val="20"/>
        </w:rPr>
        <w:t xml:space="preserve"> </w:t>
      </w:r>
      <w:r>
        <w:rPr>
          <w:rFonts w:ascii="Times New Roman;serif" w:hAnsi="Times New Roman;serif"/>
          <w:b w:val="false"/>
          <w:sz w:val="20"/>
        </w:rPr>
        <w:t>Our rentals other revenue consists primarily of equipment support activities that we provide to customers in connection with renting equipment, such as hauling charges, damage waiver policies, environmental and other recovery fees. Rental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other revenues for the six months ended June 30, 2023 were $62.7 million compared to $48.4 million for the six months ended June 30, 2022, an increase of $14.3 million, or 29.5%. The increase was primarily related to increased rental revenues discussed above.</w:t>
      </w:r>
    </w:p>
    <w:p>
      <w:pPr>
        <w:pStyle w:val="TextBody"/>
        <w:bidi w:val="0"/>
        <w:spacing w:before="200" w:after="0"/>
        <w:jc w:val="left"/>
        <w:rPr>
          <w:rFonts w:ascii="Times New Roman" w:hAnsi="Times New Roman"/>
          <w:sz w:val="20"/>
        </w:rPr>
      </w:pPr>
      <w:r>
        <w:rPr>
          <w:rFonts w:ascii="Times New Roman;serif" w:hAnsi="Times New Roman;serif"/>
          <w:b w:val="false"/>
          <w:i/>
          <w:sz w:val="20"/>
        </w:rPr>
        <w:t>Used Equipment Sales Revenues</w:t>
      </w:r>
      <w:r>
        <w:rPr>
          <w:rFonts w:ascii="Times New Roman;serif" w:hAnsi="Times New Roman;serif"/>
          <w:b w:val="false"/>
          <w:sz w:val="20"/>
        </w:rPr>
        <w:t>. Our used equipment sales increased $31.4 million, or 77.8%, to $71.8 million for the six months ended June 30, 2023 from $40.4 million for the six months ended June 30, 2022. This increase is reflective of our fleet management strategy and our decision to capitalize on the high demand for used equipment. Sales of used earthmoving equipment increased $16.4 million, sales of used material handling equipment increased $7.3 million and sales of used aerial work platform equipment increased $6.4 million.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New Equipment Sales Revenues</w:t>
      </w:r>
      <w:r>
        <w:rPr>
          <w:rFonts w:ascii="Times New Roman;serif" w:hAnsi="Times New Roman;serif"/>
          <w:b w:val="false"/>
          <w:sz w:val="20"/>
        </w:rPr>
        <w:t>. Our new equipment sales for the six months ended June 30, 2023 decreased $30.8 million, or 64.9%, to $16.7 million from $47.5 million for the six months ended June 30, 2022. This decrease is primarily reflective of the sale of our Komatsu Earthmoving Distributorship during the fourth quarter of 2022 as sales of new earthmoving equipment decreased $25.3 million. Additionally, sales of new other equipment and material handling equipment decreased $2.9 million and $2.7 million, respectively.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Parts Sales Revenues</w:t>
      </w:r>
      <w:r>
        <w:rPr>
          <w:rFonts w:ascii="Times New Roman;serif" w:hAnsi="Times New Roman;serif"/>
          <w:b w:val="false"/>
          <w:sz w:val="20"/>
        </w:rPr>
        <w:t>. Our parts sales revenues for the six months ended June 30, 2023 decreased $8.0 million, or 25.0%, to $24.2 million from $32.2 million for the six months ended June 30,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Services Revenues</w:t>
      </w:r>
      <w:r>
        <w:rPr>
          <w:rFonts w:ascii="Times New Roman;serif" w:hAnsi="Times New Roman;serif"/>
          <w:b w:val="false"/>
          <w:sz w:val="20"/>
        </w:rPr>
        <w:t>. Our services revenues for the six months ended June 30, 2023 decreased approximately $2.7 million, or 15.9%, to $14.3 million from $17.0 million for the six months ended June 30,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Non-Segmented Other Revenues</w:t>
      </w:r>
      <w:r>
        <w:rPr>
          <w:rFonts w:ascii="Times New Roman;serif" w:hAnsi="Times New Roman;serif"/>
          <w:b w:val="false"/>
          <w:sz w:val="20"/>
        </w:rPr>
        <w:t>. Our non-segmented other revenues relate to equipment support activities that we provide to customers in connection with used and new equipment sales and parts and services revenues and are not generally allocated to reportable segments. For the six months ended June 30, 2023 and 2022, our non-segmented other revenues were $2.3 million and $3.2 million, respectively, a decrease of $0.9 million.</w:t>
      </w:r>
      <w:r>
        <w:rPr>
          <w:rFonts w:ascii="Times New Roman" w:hAnsi="Times New Roman"/>
          <w:sz w:val="20"/>
        </w:rPr>
        <w:t xml:space="preserve"> </w:t>
      </w:r>
    </w:p>
    <w:p>
      <w:pPr>
        <w:pStyle w:val="TextBody"/>
        <w:bidi w:val="0"/>
        <w:spacing w:before="280" w:after="40"/>
        <w:jc w:val="left"/>
        <w:rPr>
          <w:rFonts w:ascii="Times New Roman;serif" w:hAnsi="Times New Roman;serif"/>
          <w:b/>
          <w:i/>
          <w:sz w:val="20"/>
        </w:rPr>
      </w:pPr>
      <w:r>
        <w:rPr>
          <w:rFonts w:ascii="Times New Roman;serif" w:hAnsi="Times New Roman;serif"/>
          <w:b/>
          <w:i/>
          <w:sz w:val="20"/>
        </w:rPr>
        <w:t>Gross Profit.</w:t>
      </w:r>
    </w:p>
    <w:tbl>
      <w:tblPr>
        <w:tblW w:w="8671" w:type="dxa"/>
        <w:jc w:val="left"/>
        <w:tblInd w:w="0" w:type="dxa"/>
        <w:tblLayout w:type="fixed"/>
        <w:tblCellMar>
          <w:top w:w="28" w:type="dxa"/>
          <w:left w:w="28" w:type="dxa"/>
          <w:bottom w:w="28" w:type="dxa"/>
          <w:right w:w="28" w:type="dxa"/>
        </w:tblCellMar>
      </w:tblPr>
      <w:tblGrid>
        <w:gridCol w:w="2986"/>
        <w:gridCol w:w="146"/>
        <w:gridCol w:w="211"/>
        <w:gridCol w:w="781"/>
        <w:gridCol w:w="166"/>
        <w:gridCol w:w="146"/>
        <w:gridCol w:w="211"/>
        <w:gridCol w:w="781"/>
        <w:gridCol w:w="166"/>
        <w:gridCol w:w="146"/>
        <w:gridCol w:w="211"/>
        <w:gridCol w:w="676"/>
        <w:gridCol w:w="166"/>
        <w:gridCol w:w="146"/>
        <w:gridCol w:w="172"/>
        <w:gridCol w:w="744"/>
        <w:gridCol w:w="8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81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81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br/>
              <w:t>(Decrease)</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3"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816" w:type="dxa"/>
            <w:tcBorders/>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Gross Profit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rentals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400"/>
              <w:jc w:val="right"/>
              <w:rPr/>
            </w:pPr>
            <w:r>
              <w:rPr/>
              <w:t> </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8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Rentals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equipment rentals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Used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New equipment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Parts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Non-segmented revenues gross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243,914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Total Gross Profit</w:t>
      </w:r>
      <w:r>
        <w:rPr>
          <w:rFonts w:ascii="Times New Roman;serif" w:hAnsi="Times New Roman;serif"/>
          <w:b w:val="false"/>
          <w:sz w:val="20"/>
        </w:rPr>
        <w:t>. Our total gross profit was $309.7 million for the six months ended June 30, 2023 compared to $243.9 million for the six months ended June 30, 2022, an increase of $65.8 million, or 27.0%. Total gross profit margin for the six months ended June 30, 2023 was 45.4%, an increase of 2.4% from the 43.0% gross profit margin for the six months ended June 30, 2022. Gross profit and gross margin for all reportable segments and non-segmented other revenues are further described below.</w:t>
      </w:r>
    </w:p>
    <w:p>
      <w:pPr>
        <w:pStyle w:val="TextBody"/>
        <w:bidi w:val="0"/>
        <w:spacing w:before="200" w:after="0"/>
        <w:jc w:val="left"/>
        <w:rPr>
          <w:rFonts w:ascii="Times New Roman" w:hAnsi="Times New Roman"/>
          <w:sz w:val="20"/>
        </w:rPr>
      </w:pPr>
      <w:r>
        <w:rPr>
          <w:rFonts w:ascii="Times New Roman;serif" w:hAnsi="Times New Roman;serif"/>
          <w:b w:val="false"/>
          <w:i/>
          <w:sz w:val="20"/>
        </w:rPr>
        <w:t>Equipment Rentals Gross Profit</w:t>
      </w:r>
      <w:r>
        <w:rPr>
          <w:rFonts w:ascii="Times New Roman;serif" w:hAnsi="Times New Roman;serif"/>
          <w:b w:val="false"/>
          <w:sz w:val="20"/>
        </w:rPr>
        <w:t>. Our total gross profit from equipment rentals for the six months ended June 30, 2023 increased $50.6 million, or 25.3%, to $250.7 million from $200.1 million in the six months ended June 30, 2022. Total gross profit margin from equipment rentals for the six months ended June 30, 2023 was 45.3% compared to 46.9% for the same period in 2022, a decrease of 1.6%.</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w:t>
      </w:r>
      <w:r>
        <w:rPr>
          <w:rFonts w:ascii="Times New Roman" w:hAnsi="Times New Roman"/>
          <w:sz w:val="20"/>
        </w:rPr>
        <w:t xml:space="preserve"> </w:t>
      </w:r>
      <w:r>
        <w:rPr>
          <w:rFonts w:ascii="Times New Roman;serif" w:hAnsi="Times New Roman;serif"/>
          <w:b w:val="false"/>
          <w:sz w:val="20"/>
        </w:rPr>
        <w:t>Rental revenues gross profit increased $49.8 million, or 25.4%, to $246.4 million for the six months ended June 30, 2023 compared to $196.5 million for the six months ended June 30, 2022. The increased gross profit was the result of increased rental revenues of $112.4 million for the six months ended June 30, 2023 compared to the same period last year, which was partially offset by a $45.5 million increase in rental depreciation and a $17.1 million increase in rental expenses. The increase in depreciation expense is primarily due to a larger fleet size in the current period as compared to the prior period. Gross profit margin on rentals for the six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months ended June 30, 2023 was 50.2% compared to 51.9% for the six months ended June 30, 2022, a decrease of 1.7%. Depreciation expense was 34.2% of rental revenues for the six months ended June 30, 2023 compared to 32.3% for the same period in 2022, an increase of 1.9%. As a percentage of revenues, rental expenses were 15.6% for the six months ended June 30, 2023 compared to 15.7% for the same period last year, a decrease of 0.1%.</w:t>
      </w:r>
    </w:p>
    <w:p>
      <w:pPr>
        <w:pStyle w:val="TextBody"/>
        <w:bidi w:val="0"/>
        <w:spacing w:before="200" w:after="0"/>
        <w:jc w:val="left"/>
        <w:rPr>
          <w:rFonts w:ascii="Times New Roman" w:hAnsi="Times New Roman"/>
          <w:sz w:val="20"/>
        </w:rPr>
      </w:pPr>
      <w:r>
        <w:rPr>
          <w:rFonts w:ascii="Times New Roman;serif" w:hAnsi="Times New Roman;serif"/>
          <w:b w:val="false"/>
          <w:i/>
          <w:sz w:val="20"/>
        </w:rPr>
        <w:t>Rentals Other:</w:t>
      </w:r>
      <w:r>
        <w:rPr>
          <w:rFonts w:ascii="Times New Roman" w:hAnsi="Times New Roman"/>
          <w:sz w:val="20"/>
        </w:rPr>
        <w:t xml:space="preserve"> </w:t>
      </w:r>
      <w:r>
        <w:rPr>
          <w:rFonts w:ascii="Times New Roman;serif" w:hAnsi="Times New Roman;serif"/>
          <w:b w:val="false"/>
          <w:sz w:val="20"/>
        </w:rPr>
        <w:t>Our rentals other revenue consists primarily of equipment support activities that we provide to customers in connection with renting equipment, such as hauling charges, damage waiver policies, environmental and other recovery fees. Rental other revenues gross profit for the six months ended June 30, 2023 was $4.3 million compared to $3.6 million for the same period in 2022, an increase of $0.8 million. Gross profit margin was 6.9% for the six months ended June 30, 2023 compared to 7.4% for the same period last year, a decrease of 0.5%.</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Used Equipment Sales Gross Profit. </w:t>
      </w:r>
      <w:r>
        <w:rPr>
          <w:rFonts w:ascii="Times New Roman;serif" w:hAnsi="Times New Roman;serif"/>
          <w:b w:val="false"/>
          <w:sz w:val="20"/>
        </w:rPr>
        <w:t>Our used equipment sales gross profit for the six months ended June 30, 2023 increased $24.3 million, or 135.6%, to $42.3 million from $17.9 million in the same period in 2022 on increased used equipment sales of $31.4 million. Gross profit margin on used equipment sales for the six months ended June 30, 2023 was approximately 58.9%, up 14.4% from 44.5% for the six months ended June 30, 2022, primarily as a result of higher used equipment gross margins across all product lines. Our used equipment sales from the rental fleet, which comprised 99.1% and 89.9% of our used equipment sales for the six months ended June 30, 2023 and 2022, respectively, were approximately 245.1% and 191.5% of net book value for the six months ended June 30, 2023 and 2022, respectively.</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New Equipment Sales Gross Profit. </w:t>
      </w:r>
      <w:r>
        <w:rPr>
          <w:rFonts w:ascii="Times New Roman;serif" w:hAnsi="Times New Roman;serif"/>
          <w:b w:val="false"/>
          <w:sz w:val="20"/>
        </w:rPr>
        <w:t>Our new equipment sales gross profit for the six months ended June 30, 2023 decreased $4.6 million, or 65.9%, to $2.4 million compared to $6.9 million for the six months ended June 30, 2022 on decreased new equipment sales of $30.8 million. Gross profit margin on new equipment sales was 14.1% for the six months ended June 30, 2023, compared to 14.6% for the same period last year, a decrease of 0.5%. The decreased gross profit was primarily due to a decrease of earthmoving equipment sales due to the sale of our Komatsu Earthmoving Distributorship.</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Parts Sales Gross Profit. </w:t>
      </w:r>
      <w:r>
        <w:rPr>
          <w:rFonts w:ascii="Times New Roman;serif" w:hAnsi="Times New Roman;serif"/>
          <w:b w:val="false"/>
          <w:sz w:val="20"/>
        </w:rPr>
        <w:t>Our parts sales gross profit for the six months ended June 30, 2023 was $7.1 million, a decrease of $1.6 million, or 18.7%, from a gross profit of $8.7 million for the same period last year on decreased parts sales of $8.0 million. Gross profit margin for the six months ended June 30, 2023 and 2022 was 29.2% and 27.0%, respectively.</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Services Revenues Gross Profit. </w:t>
      </w:r>
      <w:r>
        <w:rPr>
          <w:rFonts w:ascii="Times New Roman;serif" w:hAnsi="Times New Roman;serif"/>
          <w:b w:val="false"/>
          <w:sz w:val="20"/>
        </w:rPr>
        <w:t>For the six months ended June 30, 2023, our services revenues gross profit decreased $2.0 million, or 18.4%, to $9.0 million from $11.1 million for the six months ended June 30, 2022 on decreased services revenues of $2.7 million. Gross profit margin for the six months ended June 30, 2023 was 63.1%, a decrease of 1.9% from 65.0% in the six months ended June 30, 2022.</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Non-Segmented Other Revenues Gross Loss. </w:t>
      </w:r>
      <w:r>
        <w:rPr>
          <w:rFonts w:ascii="Times New Roman;serif" w:hAnsi="Times New Roman;serif"/>
          <w:b w:val="false"/>
          <w:sz w:val="20"/>
        </w:rPr>
        <w:t>Our non-segmented other revenues relate to equipment support activities that we provide to customers in connection with used and new equipment sales and parts and services revenues and are not generally allocated to reportable segments. For the six months ended June 30, 2023, our other revenues gross loss was $1.7 million compared to $0.8 million in the same period in 2022, a decrease of $0.9 million.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Selling, General and Administrative Expenses. </w:t>
      </w:r>
      <w:r>
        <w:rPr>
          <w:rFonts w:ascii="Times New Roman;serif" w:hAnsi="Times New Roman;serif"/>
          <w:b w:val="false"/>
          <w:sz w:val="20"/>
        </w:rPr>
        <w:t>SG&amp;A expenses increased $33.7 million, or 20.9%, to $194.6 million for the six months ended June 30, 2023 compared to $160.9 million for the six months ended June 30, 2022. Employee salaries, wages, payroll taxes and other employee related expenses increased $19.6 million, primarily as a result of increased incentive pay combined with higher headcount and commissions. Professional fees increased $3.1 million, facility expenses increased $2.9 million, intangible amortization expense increased $1.4 million and liability insurance costs increased $1.4 million. Approximately $14.4 million of the total increase in SG&amp;A expenses was attributable to branches opened or acquired since January 1, 2022 with less than six months of comparable operations in either or both of the six months ended June 30, 2023 and 2022. SG&amp;A expenses as a percentage of total revenues for the six months ended June 30, 2023 and 2022 were 28.5% and 28.4%, respectively.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Gain on Sales of Property &amp; Equipment (Net). </w:t>
      </w:r>
      <w:r>
        <w:rPr>
          <w:rFonts w:ascii="Times New Roman;serif" w:hAnsi="Times New Roman;serif"/>
          <w:b w:val="false"/>
          <w:sz w:val="20"/>
        </w:rPr>
        <w:t>We had net gains on sales of property and equipment of $1.1 million for the six months ended June 30, 2023 compared to $2.4 million for the same period last year, a decrease of $1.3 million. This decrease is due to fluctuations in the normal course of business.</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Other Income (Expense). </w:t>
      </w:r>
      <w:r>
        <w:rPr>
          <w:rFonts w:ascii="Times New Roman;serif" w:hAnsi="Times New Roman;serif"/>
          <w:b w:val="false"/>
          <w:sz w:val="20"/>
        </w:rPr>
        <w:t>For the six months ended June 30, 2023, our net other expenses were $25.6 million compared to $25.2 million for the six months ended June 30, 2022. Interest expense was $28.4 million for the six months ended June 30, 2023 compared to $26.9 million for the six months ended June 30,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Income Taxes. </w:t>
      </w:r>
      <w:r>
        <w:rPr>
          <w:rFonts w:ascii="Times New Roman;serif" w:hAnsi="Times New Roman;serif"/>
          <w:b w:val="false"/>
          <w:sz w:val="20"/>
        </w:rPr>
        <w:t>We recorded an income tax expense of $23.7 million for the six months ended June 30, 2023 compared to an income tax expense of $16.0 million for the six months ended June 30, 2022. Our effective income tax rate for the six months ended June 30, 2023 was 26.2% compared to 26.6% for the same period in 2022. Based on available evidence, both positive and negative, we believe it is more likely than not that our federal deferred tax assets at June 30, 2023 are fully realizable through future reversals 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existing taxable temporary differences and future taxable income. As of June 30, 2023, we have a valuation allowance of $5.9 million for certain state tax credits that may not be realized.</w:t>
      </w:r>
    </w:p>
    <w:p>
      <w:pPr>
        <w:pStyle w:val="TextBody"/>
        <w:bidi w:val="0"/>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Cash Flow From Operating Activities. </w:t>
      </w:r>
      <w:r>
        <w:rPr>
          <w:rFonts w:ascii="Times New Roman;serif" w:hAnsi="Times New Roman;serif"/>
          <w:b w:val="false"/>
          <w:sz w:val="20"/>
        </w:rPr>
        <w:t>For the six months ended June 30, 2023, the net cash provided by our operating activities was $134.9 million. Our reported net income of $66.9 million, when adjusted for non-cash income and expense items, such as depreciation and amortization, deferred income taxes, net amortization (accretion) of note discount (premium), provision for losses on accounts receivable, impairment of goodwill, provision for inventory obsolescence, stock-based compensation expense and net gains on the sale of long-lived assets, provided positive cash flows of $248.5 million. These cash flows from operating activities were also positively impacted by a $61.7 million increase in accounts payable and a $2.1 million increase in manufacturing flooring plans payable. Partially offsetting these positive cash flows were a $154.7 million increase in inventories, a $3.2 million increase in accounts receivables, a $13.3 million increase in prepaid expenses and other assets and a $6.2 million decrease in accrued expenses payable and other liabilities.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the six months ended June 30, 2022, the net cash provided by our operating activities was $104.2 million. Our reported net income of $42.6 million, when adjusted for non-cash income and expense items, such as depreciation and amortization, deferred income taxes, net amortization (accretion) of note discount (premium), provision for losses on accounts receivable, impairment of goodwill, provision for inventory obsolescence, stock-based compensation expense, loss on sale of discontinued operations and net gains on the sale of long-lived assets, provided positive cash flows of $189.1 million. These cash flows from operating activities were also positively impacted by a $41.3 million increase in accounts payable and a $0.6 million increase in manufacturing flooring plans payable. Partially offsetting these positive cash flows were an $87.6 million increase in inventories, a $27.3 million increase in accounts receivables, a $6.7 million increase in prepaid expenses and other assets and a $5.2 million decrease in accrued expenses payable and other liabilities.</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Cash Flow From Investing Activities. </w:t>
      </w:r>
      <w:r>
        <w:rPr>
          <w:rFonts w:ascii="Times New Roman;serif" w:hAnsi="Times New Roman;serif"/>
          <w:b w:val="false"/>
          <w:sz w:val="20"/>
        </w:rPr>
        <w:t>For the six months ended June 30, 2023, our net cash used in our investing activities was $268.9 million. Purchases of rental and non-rental equipment were $341.5 million and proceeds from the sale of rental and non-rental equipment were $72.6 million.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For the six months ended June 30, 2022, our net cash used in our investing activities was $162.4 million. Purchases of rental and non-rental equipment were $199.2 million and proceeds from the sale of rental and non-rental equipment were $39.1 million. A $2.3 million payment related to the sale of discontinued operations was made upon the execution of the final closing statement.</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i/>
          <w:sz w:val="20"/>
        </w:rPr>
        <w:t xml:space="preserve">Cash Flow From Financing Activities. </w:t>
      </w:r>
      <w:r>
        <w:rPr>
          <w:rFonts w:ascii="Times New Roman;serif" w:hAnsi="Times New Roman;serif"/>
          <w:b w:val="false"/>
          <w:sz w:val="20"/>
        </w:rPr>
        <w:t>For the six months ended June 30, 2023, our net cash provided by our financing activities was $99.6 million. Borrowings on our senior secured credit facility amounted to $876.4 million while payments on the facility amounted to $748.7 million for the six months ended June 30, 2023. Dividends paid totaled $20.0 million, or $0.55 per common share, and treasury stock purchases totaled $3.2 million. Payments on deferred financing costs related to the amended and restated credit facility totaled $4.9 million.</w:t>
      </w:r>
    </w:p>
    <w:p>
      <w:pPr>
        <w:pStyle w:val="TextBody"/>
        <w:bidi w:val="0"/>
        <w:spacing w:before="200" w:after="0"/>
        <w:jc w:val="left"/>
        <w:rPr>
          <w:rFonts w:ascii="Times New Roman" w:hAnsi="Times New Roman"/>
          <w:sz w:val="20"/>
        </w:rPr>
      </w:pPr>
      <w:r>
        <w:rPr>
          <w:rFonts w:ascii="Times New Roman;serif" w:hAnsi="Times New Roman;serif"/>
          <w:b w:val="false"/>
          <w:sz w:val="20"/>
        </w:rPr>
        <w:t>For the six months ended June 30, 2022, our net cash provided by our financing activities was exceeded by our cash used in our financing activities, resulting in net cash used in our financing activities of $20.3 million. We netted borrowings and payments under our Credit Facility for the six months ended June 30, 2022. Dividends paid totaled $19.9 million, or $0.55 per common share, and treasury stock purchases totaled $0.3 million.</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Senior Unsecured Notes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December 14, 2020, we completed the offering of our Senior Unsecured Notes of $1.25 billion. No principal payments on the Senior Unsecured Notes are due until their scheduled maturity date of December 15, 2028.</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Senior Secured 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We and our subsidiaries are parties to a $750.0 million Credit Facility with Wells Fargo Bank, National Association as administrative agent, and the lenders named therein. At June 30, 2023, we had $127.8 million in outstanding borrowings under the Credit Facility and we could borrow up to $611.6 million, which with cash and cash equivalents on hand amounted to a liquidity position of $658.5 million. We did not have any covenant violations related to the Credit Facility. At July 20, 2023, we had $599.4 million of available borrowings under our Credit Facility, net of a $10.6 million outstanding letter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Cash Requirements Related to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principal sources of liquidity have been from cash provided by operating activities and the sales of used, new and rental fleet equipment, proceeds from the issuance of debt, and borrowings available under the Credit Facility. Our principal uses of cash and cash equivalents historically have been to fund operating activities and working capital (including used and new equipment inventories), purchases of rental fleet equipment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w:t>
      </w:r>
    </w:p>
    <w:p>
      <w:pPr>
        <w:pStyle w:val="TextBody"/>
        <w:bidi w:val="0"/>
        <w:spacing w:before="200" w:after="0"/>
        <w:jc w:val="left"/>
        <w:rPr>
          <w:rFonts w:ascii="Times New Roman" w:hAnsi="Times New Roman"/>
          <w:sz w:val="20"/>
        </w:rPr>
      </w:pPr>
      <w:r>
        <w:rPr>
          <w:rFonts w:ascii="Times New Roman;serif" w:hAnsi="Times New Roman;serif"/>
          <w:b w:val="false"/>
          <w:sz w:val="20"/>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Our gross rental fleet capital expenditures for the six months ended June 30, 2023 and for both continuing and discontinued operations for the six months ended June 30, 2022 were approximately $375.1 million and $215.6 million, respectively, including $67.0 million and $40.8 million, respectively, of non-cash transfers from used and new equipment to rental fleet inventory. This increase in rental fleet capital expenditures reflects our branch expansion growth strategy. Our gross property and equipment capital expenditures for the six months ended June 30, 2023 and for both continuing and discontinued operations for the six months ended June 30, 2022 were $33.4 million and $24.5 million, respectively.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cash equivalents and available borrowings under the Credit Facility will be adequate to meet our future liquidity needs for the foreseeable future. At June 30, 2023, we had cash and cash equivalents on hand of $46.9 million. At June 30, 2023, we had available borrowings of $611.6 million, net of $10.6 million of outstanding letters of credit. At July 20, 2023, we had $599.4 million of available borrowings under the Credit Facility, net of $10.6 million of outstanding letters of credit.</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Quarterly Dividend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12, 2023, the Company announced a quarterly dividend of $0.275 per share to stockholders of record, which was paid on June 9, 2023, totaling approximately $10.0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pStyle w:val="TextBody"/>
        <w:bidi w:val="0"/>
        <w:spacing w:before="240" w:after="0"/>
        <w:jc w:val="left"/>
        <w:rPr>
          <w:rFonts w:ascii="Times New Roman;serif" w:hAnsi="Times New Roman;serif"/>
          <w:b/>
          <w:sz w:val="20"/>
        </w:rPr>
      </w:pPr>
      <w:r>
        <w:rPr>
          <w:rFonts w:ascii="Times New Roman;serif" w:hAnsi="Times New Roman;serif"/>
          <w:b/>
          <w:sz w:val="20"/>
        </w:rPr>
        <w:t>Contractual and Commercial Commitments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from the information included in our Annual Report on Form 10-K for the year ended December 31, 2022.</w:t>
      </w:r>
    </w:p>
    <w:p>
      <w:pPr>
        <w:pStyle w:val="TextBody"/>
        <w:bidi w:val="0"/>
        <w:spacing w:before="240" w:after="0"/>
        <w:jc w:val="left"/>
        <w:rPr>
          <w:rFonts w:ascii="Times New Roman;serif" w:hAnsi="Times New Roman;serif"/>
          <w:b/>
          <w:sz w:val="20"/>
        </w:rPr>
      </w:pPr>
      <w:bookmarkStart w:id="9" w:name="item_3_quantitative_qualitative_disclosu"/>
      <w:bookmarkEnd w:id="9"/>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the exception of the above, there have been no significant changes in our exposure to market risk during the three months ended June 30, 2023. For an additional discussion of our exposure to market risk, refer to Item 7A, “Quantitative and Qualitative Disclosures about Market Risk,” contained in our Annual Report on Form 10-K for the fiscal year ended December 31, 2022.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0" w:name="item_4_controls_procedures"/>
      <w:bookmarkEnd w:id="10"/>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Management’s Quarterly 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ensure that information required to be disclosed in the reports that the Company files or furnishes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Chief Executive Officer and Chief Financial Officer (our principal executive officer and principal financial officer, respectively) have evaluated the effectiveness of our disclosure controls and procedures (as defined in Rule 13a</w:t>
        <w:noBreakHyphen/>
        <w:t>15(e) and 15d-15(e) promulgated under the Exchange Act) as of the end of the period covered by this Quarterly Report on Form 10</w:t>
        <w:noBreakHyphen/>
        <w:t>Q. Based on this evaluation, our principal executive officer and principal financial officer have concluded that, as of June 30, 2023, our current disclosure controls and procedures were effective.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the Company’s internal control over financial reporting (as defined in Exchange Act Rule 13a-15(f)) that occurred during the three months ended June 30, 2023 that have materially affected, or are reasonably likely to materially affect, the Company’s internal control over financial reporting.</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1" w:name="part_ii_or_information"/>
      <w:bookmarkEnd w:id="11"/>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bookmarkStart w:id="12" w:name="item_1_legal_proceedings"/>
      <w:bookmarkEnd w:id="12"/>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 self-insured retentions, or self-insurance. Losses that exceed our deductibles and self-insured retentions are insured through various commercial lines of insurance policies.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are also involved in various other claims and legal actions arising in the ordinary course of business. In the opinion of management, after consultation with legal counsel, the ultimate disposition of these various matters will not have a material adverse effect on the Company’s consolidated financial position, results of operations or liquidity.</w:t>
      </w:r>
    </w:p>
    <w:p>
      <w:pPr>
        <w:pStyle w:val="TextBody"/>
        <w:bidi w:val="0"/>
        <w:spacing w:before="240" w:after="0"/>
        <w:jc w:val="left"/>
        <w:rPr>
          <w:rFonts w:ascii="Times New Roman;serif" w:hAnsi="Times New Roman;serif"/>
          <w:b/>
          <w:sz w:val="20"/>
        </w:rPr>
      </w:pPr>
      <w:bookmarkStart w:id="13" w:name="item_1a_risk_factors"/>
      <w:bookmarkEnd w:id="13"/>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 other information set forth in this Quarterly Report on Form 10-Q, you should carefully consider the factors discussed in Part I, Item 1A - “Risk Factors,” in our Annual Report on Form 10-K for the year ended December 31, 2022, which could materially affect our business, financial condition or future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As of the date of this Quarterly Report on Form 10-Q and other than the risk factors set forth below, there have been no material changes with respect to the Company’s risk factors previously disclosed in our Annual Report on Form 10-K for the year ended December 31, 2022.</w:t>
      </w:r>
    </w:p>
    <w:p>
      <w:pPr>
        <w:pStyle w:val="TextBody"/>
        <w:bidi w:val="0"/>
        <w:spacing w:before="200" w:after="0"/>
        <w:jc w:val="left"/>
        <w:rPr>
          <w:rFonts w:ascii="Times New Roman;serif" w:hAnsi="Times New Roman;serif"/>
          <w:b/>
          <w:i/>
          <w:sz w:val="20"/>
        </w:rPr>
      </w:pPr>
      <w:r>
        <w:rPr>
          <w:rFonts w:ascii="Times New Roman;serif" w:hAnsi="Times New Roman;serif"/>
          <w:b/>
          <w:i/>
          <w:sz w:val="20"/>
        </w:rPr>
        <w:t>Variable rate indebtedness subjects us to interest rate risk, which could cause our debt service obligations to increase significantly.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Borrowings under the Credit Facility are at variable rates of interest, based on the U.S. prime rate and the Secured Overnight Financing Rate (“SOFR”), and expose us to interest rate risk. As such, our results of operations are sensitive to movements in interest rates.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There are many economic factors outside our control that have in the past impacted, and may in the future impact, rates of interest, including publicly announced indices that underlie our interest obligations related to borrowings under the Credit Facility based on SOFR. SOFR is a broad measure of the cost of borrowing cash overnight collateralized by Treasury securities.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Factors that also impact interest rates include, among others, governmental monetary policies, inflation, recession, changes in unemployment, the money supply,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conditions and results of operations.</w:t>
      </w:r>
    </w:p>
    <w:p>
      <w:pPr>
        <w:pStyle w:val="TextBody"/>
        <w:bidi w:val="0"/>
        <w:spacing w:before="240" w:after="0"/>
        <w:jc w:val="left"/>
        <w:rPr>
          <w:rFonts w:ascii="Times New Roman;serif" w:hAnsi="Times New Roman;serif"/>
          <w:b/>
          <w:sz w:val="20"/>
        </w:rPr>
      </w:pPr>
      <w:bookmarkStart w:id="14" w:name="item_2_unregistered_sales_equity_securit"/>
      <w:bookmarkEnd w:id="14"/>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 w:hAnsi="Times New Roman"/>
          <w:sz w:val="20"/>
        </w:rPr>
      </w:pPr>
      <w:bookmarkStart w:id="15" w:name="item_3_defaults_upon_senior_securities"/>
      <w:bookmarkEnd w:id="15"/>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6" w:name="item_4_mine_safety_disclosures"/>
      <w:bookmarkEnd w:id="16"/>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 w:hAnsi="Times New Roman"/>
          <w:sz w:val="20"/>
        </w:rPr>
      </w:pPr>
      <w:bookmarkStart w:id="17" w:name="item_5_or_information"/>
      <w:bookmarkEnd w:id="17"/>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8" w:name="item_6_exhibits"/>
      <w:bookmarkEnd w:id="18"/>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787"/>
        <w:gridCol w:w="146"/>
        <w:gridCol w:w="9272"/>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2"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hyperlink w:anchor="hees-ex31_1.htm">
              <w:r>
                <w:rPr>
                  <w:rStyle w:val="InternetLink"/>
                  <w:rFonts w:ascii="Times New Roman;serif" w:hAnsi="Times New Roman;serif"/>
                  <w:b w:val="false"/>
                  <w:sz w:val="20"/>
                  <w:u w:val="single"/>
                </w:rPr>
                <w:t>Certification pursuant to Section 302 of the Sarbanes-Oxley Act of 2002 (filed herewith).</w:t>
              </w:r>
            </w:hyperlink>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hyperlink w:anchor="hees-ex31_2.htm">
              <w:r>
                <w:rPr>
                  <w:rStyle w:val="InternetLink"/>
                  <w:rFonts w:ascii="Times New Roman;serif" w:hAnsi="Times New Roman;serif"/>
                  <w:b w:val="false"/>
                  <w:sz w:val="20"/>
                  <w:u w:val="single"/>
                </w:rPr>
                <w:t>Certification pursuant to Section 302 of the Sarbanes-Oxley Act of 2002 (filed herewith).</w:t>
              </w:r>
            </w:hyperlink>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hyperlink w:anchor="hees-ex32_1.htm">
              <w:r>
                <w:rPr>
                  <w:rStyle w:val="InternetLink"/>
                  <w:rFonts w:ascii="Times New Roman;serif" w:hAnsi="Times New Roman;serif"/>
                  <w:b w:val="false"/>
                  <w:sz w:val="20"/>
                  <w:u w:val="single"/>
                </w:rPr>
                <w:t>Certification pursuant to 18 U.S.C. Section 1350, as Adopted Pursuant to Section 906 of the Sarbanes-Oxley Act of 2002 (furnished herewith).</w:t>
              </w:r>
            </w:hyperlink>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 (filed herewith).</w:t>
            </w:r>
          </w:p>
        </w:tc>
      </w:tr>
      <w:tr>
        <w:trPr/>
        <w:tc>
          <w:tcPr>
            <w:tcW w:w="7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pPr>
            <w:r>
              <w:rPr/>
              <w:t> </w:t>
            </w:r>
          </w:p>
        </w:tc>
      </w:tr>
      <w:tr>
        <w:trPr/>
        <w:tc>
          <w:tcPr>
            <w:tcW w:w="7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9" w:name="signatures"/>
      <w:bookmarkEnd w:id="19"/>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and Exchange Act of 1934, the registrant has duly caused this report to be signed on its behalf by the undersigned thereunto duly authorized.</w:t>
      </w:r>
    </w:p>
    <w:tbl>
      <w:tblPr>
        <w:tblW w:w="6033" w:type="dxa"/>
        <w:jc w:val="left"/>
        <w:tblInd w:w="0" w:type="dxa"/>
        <w:tblLayout w:type="fixed"/>
        <w:tblCellMar>
          <w:top w:w="28" w:type="dxa"/>
          <w:left w:w="28" w:type="dxa"/>
          <w:bottom w:w="28" w:type="dxa"/>
          <w:right w:w="28" w:type="dxa"/>
        </w:tblCellMar>
      </w:tblPr>
      <w:tblGrid>
        <w:gridCol w:w="1816"/>
        <w:gridCol w:w="451"/>
        <w:gridCol w:w="3766"/>
      </w:tblGrid>
      <w:tr>
        <w:trPr/>
        <w:tc>
          <w:tcPr>
            <w:tcW w:w="18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pPr>
            <w:r>
              <w:rPr/>
              <w:t> </w:t>
            </w:r>
          </w:p>
        </w:tc>
        <w:tc>
          <w:tcPr>
            <w:tcW w:w="421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H&amp;E EQUIPMENT SERVICES, INC.</w:t>
            </w:r>
          </w:p>
        </w:tc>
      </w:tr>
      <w:tr>
        <w:trPr/>
        <w:tc>
          <w:tcPr>
            <w:tcW w:w="1816" w:type="dxa"/>
            <w:tcBorders/>
            <w:vAlign w:val="center"/>
          </w:tcPr>
          <w:p>
            <w:pPr>
              <w:pStyle w:val="TableContents"/>
              <w:bidi w:val="0"/>
              <w:spacing w:before="0" w:after="0"/>
              <w:ind w:left="0" w:right="0" w:hanging="0"/>
              <w:jc w:val="left"/>
              <w:rPr/>
            </w:pPr>
            <w:r>
              <w:rPr/>
              <w:t> </w:t>
            </w:r>
          </w:p>
        </w:tc>
        <w:tc>
          <w:tcPr>
            <w:tcW w:w="4217" w:type="dxa"/>
            <w:gridSpan w:val="2"/>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Bradley W. Barber</w:t>
            </w:r>
          </w:p>
        </w:tc>
      </w:tr>
      <w:tr>
        <w:trPr/>
        <w:tc>
          <w:tcPr>
            <w:tcW w:w="181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Bradley W. Barber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81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Leslie S. Magee</w:t>
            </w:r>
          </w:p>
        </w:tc>
      </w:tr>
      <w:tr>
        <w:trPr/>
        <w:tc>
          <w:tcPr>
            <w:tcW w:w="181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Leslie S. Magee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 and Secretary</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0" w:name="hees-ex31_1.htm"/>
      <w:bookmarkStart w:id="21" w:name="ksheesex31_1"/>
      <w:bookmarkEnd w:id="20"/>
      <w:bookmarkEnd w:id="21"/>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 13a-14(a)/15d-14(a)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w:t>
      </w:r>
    </w:p>
    <w:p>
      <w:pPr>
        <w:pStyle w:val="TextBody"/>
        <w:bidi w:val="0"/>
        <w:spacing w:before="0" w:after="0"/>
        <w:jc w:val="center"/>
        <w:rPr>
          <w:rFonts w:ascii="Times New Roman;serif" w:hAnsi="Times New Roman;serif"/>
          <w:b/>
          <w:sz w:val="20"/>
        </w:rPr>
      </w:pPr>
      <w:r>
        <w:rPr>
          <w:rFonts w:ascii="Times New Roman;serif" w:hAnsi="Times New Roman;serif"/>
          <w:b/>
          <w:sz w:val="20"/>
        </w:rPr>
        <w:t>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Bradley W. Barber,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H&amp;E Equipment Services,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5343" w:type="dxa"/>
        <w:jc w:val="left"/>
        <w:tblInd w:w="0" w:type="dxa"/>
        <w:tblLayout w:type="fixed"/>
        <w:tblCellMar>
          <w:top w:w="28" w:type="dxa"/>
          <w:left w:w="28" w:type="dxa"/>
          <w:bottom w:w="28" w:type="dxa"/>
          <w:right w:w="28" w:type="dxa"/>
        </w:tblCellMar>
      </w:tblPr>
      <w:tblGrid>
        <w:gridCol w:w="1816"/>
        <w:gridCol w:w="406"/>
        <w:gridCol w:w="3121"/>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Bradley W. Barber</w:t>
            </w:r>
          </w:p>
        </w:tc>
      </w:tr>
      <w:tr>
        <w:trPr/>
        <w:tc>
          <w:tcPr>
            <w:tcW w:w="181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Bradley W. Barber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2" w:name="hees-ex31_2.htm"/>
      <w:bookmarkStart w:id="23" w:name="ksheesex31_2"/>
      <w:bookmarkEnd w:id="22"/>
      <w:bookmarkEnd w:id="23"/>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 13a-14(a)/15d-14(a)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w:t>
      </w:r>
    </w:p>
    <w:p>
      <w:pPr>
        <w:pStyle w:val="TextBody"/>
        <w:bidi w:val="0"/>
        <w:spacing w:before="0" w:after="0"/>
        <w:jc w:val="center"/>
        <w:rPr>
          <w:rFonts w:ascii="Times New Roman;serif" w:hAnsi="Times New Roman;serif"/>
          <w:b/>
          <w:sz w:val="20"/>
        </w:rPr>
      </w:pPr>
      <w:r>
        <w:rPr>
          <w:rFonts w:ascii="Times New Roman;serif" w:hAnsi="Times New Roman;serif"/>
          <w:b/>
          <w:sz w:val="20"/>
        </w:rPr>
        <w:t>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Leslie S. Magee,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H&amp;E Equipment Services,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5373" w:type="dxa"/>
        <w:jc w:val="left"/>
        <w:tblInd w:w="0" w:type="dxa"/>
        <w:tblLayout w:type="fixed"/>
        <w:tblCellMar>
          <w:top w:w="28" w:type="dxa"/>
          <w:left w:w="28" w:type="dxa"/>
          <w:bottom w:w="28" w:type="dxa"/>
          <w:right w:w="28" w:type="dxa"/>
        </w:tblCellMar>
      </w:tblPr>
      <w:tblGrid>
        <w:gridCol w:w="1816"/>
        <w:gridCol w:w="406"/>
        <w:gridCol w:w="3151"/>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Leslie S. Magee</w:t>
            </w:r>
            <w:r>
              <w:rPr>
                <w:rFonts w:ascii="Times New Roman" w:hAnsi="Times New Roman"/>
                <w:sz w:val="20"/>
              </w:rPr>
              <w:t xml:space="preserve"> </w:t>
            </w:r>
          </w:p>
        </w:tc>
      </w:tr>
      <w:tr>
        <w:trPr/>
        <w:tc>
          <w:tcPr>
            <w:tcW w:w="181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Leslie S. Magee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 and Secretary</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hees-ex32_1.htm"/>
      <w:bookmarkStart w:id="25" w:name="ksheesex32_1"/>
      <w:bookmarkEnd w:id="24"/>
      <w:bookmarkEnd w:id="25"/>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w:t>
      </w:r>
    </w:p>
    <w:p>
      <w:pPr>
        <w:pStyle w:val="TextBody"/>
        <w:bidi w:val="0"/>
        <w:spacing w:before="0" w:after="0"/>
        <w:jc w:val="center"/>
        <w:rPr>
          <w:rFonts w:ascii="Times New Roman;serif" w:hAnsi="Times New Roman;serif"/>
          <w:b/>
          <w:sz w:val="20"/>
        </w:rPr>
      </w:pPr>
      <w:r>
        <w:rPr>
          <w:rFonts w:ascii="Times New Roman;serif" w:hAnsi="Times New Roman;serif"/>
          <w:b/>
          <w:sz w:val="20"/>
        </w:rPr>
        <w:t>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H&amp;E Equipment Services, Inc. (the “Company”) on Form 10-Q for the period ended June 30, 2023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my knowledge, 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5373" w:type="dxa"/>
        <w:jc w:val="left"/>
        <w:tblInd w:w="0" w:type="dxa"/>
        <w:tblLayout w:type="fixed"/>
        <w:tblCellMar>
          <w:top w:w="28" w:type="dxa"/>
          <w:left w:w="28" w:type="dxa"/>
          <w:bottom w:w="28" w:type="dxa"/>
          <w:right w:w="28" w:type="dxa"/>
        </w:tblCellMar>
      </w:tblPr>
      <w:tblGrid>
        <w:gridCol w:w="1816"/>
        <w:gridCol w:w="406"/>
        <w:gridCol w:w="3151"/>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Bradley W. Barber</w:t>
            </w:r>
          </w:p>
        </w:tc>
      </w:tr>
      <w:tr>
        <w:trPr/>
        <w:tc>
          <w:tcPr>
            <w:tcW w:w="181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Bradley W. Barber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81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July 27,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Leslie S. Magee</w:t>
            </w:r>
          </w:p>
        </w:tc>
      </w:tr>
      <w:tr>
        <w:trPr/>
        <w:tc>
          <w:tcPr>
            <w:tcW w:w="181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Leslie S. Magee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 and Secretary</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20036</Words>
  <Characters>109951</Characters>
  <CharactersWithSpaces>131656</CharactersWithSpaces>
  <Paragraphs>6277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