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379730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396875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126365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6" w:lineRule="exact"/>
        <w:rPr>
          <w:sz w:val="24"/>
          <w:szCs w:val="24"/>
          <w:color w:val="auto"/>
        </w:rPr>
      </w:pPr>
    </w:p>
    <w:p>
      <w:pPr>
        <w:ind w:left="600" w:hanging="495"/>
        <w:spacing w:after="0"/>
        <w:tabs>
          <w:tab w:leader="none" w:pos="6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28" w:lineRule="exact"/>
        <w:rPr>
          <w:sz w:val="24"/>
          <w:szCs w:val="24"/>
          <w:color w:val="auto"/>
        </w:rPr>
      </w:pPr>
    </w:p>
    <w:p>
      <w:pPr>
        <w:ind w:left="620" w:hanging="515"/>
        <w:spacing w:after="0"/>
        <w:tabs>
          <w:tab w:leader="none" w:pos="6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0" w:lineRule="exact"/>
        <w:rPr>
          <w:sz w:val="24"/>
          <w:szCs w:val="24"/>
          <w:color w:val="auto"/>
        </w:rPr>
      </w:pPr>
    </w:p>
    <w:p>
      <w:pPr>
        <w:ind w:left="39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000-51759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111125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H&amp;E Equipment Services,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115570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6"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500" w:type="dxa"/>
            <w:vAlign w:val="bottom"/>
            <w:gridSpan w:val="2"/>
          </w:tcPr>
          <w:p>
            <w:pPr>
              <w:jc w:val="center"/>
              <w:ind w:left="937"/>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9"/>
                <w:szCs w:val="19"/>
                <w:color w:val="auto"/>
              </w:rPr>
            </w:pPr>
          </w:p>
        </w:tc>
        <w:tc>
          <w:tcPr>
            <w:tcW w:w="4500" w:type="dxa"/>
            <w:vAlign w:val="bottom"/>
            <w:gridSpan w:val="2"/>
          </w:tcPr>
          <w:p>
            <w:pPr>
              <w:jc w:val="right"/>
              <w:ind w:right="2237"/>
              <w:spacing w:after="0"/>
              <w:rPr>
                <w:sz w:val="20"/>
                <w:szCs w:val="20"/>
                <w:color w:val="auto"/>
              </w:rPr>
            </w:pPr>
            <w:r>
              <w:rPr>
                <w:rFonts w:ascii="Arial" w:cs="Arial" w:eastAsia="Arial" w:hAnsi="Arial"/>
                <w:sz w:val="18"/>
                <w:szCs w:val="18"/>
                <w:b w:val="1"/>
                <w:bCs w:val="1"/>
                <w:color w:val="auto"/>
              </w:rPr>
              <w:t>81-0553291</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91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80" w:type="dxa"/>
            <w:vAlign w:val="bottom"/>
          </w:tcPr>
          <w:p>
            <w:pPr>
              <w:jc w:val="center"/>
              <w:ind w:right="1257"/>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957"/>
              <w:spacing w:after="0"/>
              <w:rPr>
                <w:sz w:val="20"/>
                <w:szCs w:val="20"/>
                <w:color w:val="auto"/>
              </w:rPr>
            </w:pPr>
            <w:r>
              <w:rPr>
                <w:rFonts w:ascii="Arial" w:cs="Arial" w:eastAsia="Arial" w:hAnsi="Arial"/>
                <w:sz w:val="14"/>
                <w:szCs w:val="14"/>
                <w:b w:val="1"/>
                <w:bCs w:val="1"/>
                <w:color w:val="auto"/>
                <w:w w:val="95"/>
              </w:rPr>
              <w:t>Incorporation or Organization)</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80" w:type="dxa"/>
            <w:vAlign w:val="bottom"/>
          </w:tcPr>
          <w:p>
            <w:pPr>
              <w:jc w:val="center"/>
              <w:ind w:right="1237"/>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71"/>
        </w:trPr>
        <w:tc>
          <w:tcPr>
            <w:tcW w:w="4500" w:type="dxa"/>
            <w:vAlign w:val="bottom"/>
            <w:gridSpan w:val="2"/>
          </w:tcPr>
          <w:p>
            <w:pPr>
              <w:jc w:val="center"/>
              <w:ind w:left="957"/>
              <w:spacing w:after="0"/>
              <w:rPr>
                <w:sz w:val="20"/>
                <w:szCs w:val="20"/>
                <w:color w:val="auto"/>
              </w:rPr>
            </w:pPr>
            <w:r>
              <w:rPr>
                <w:rFonts w:ascii="Arial" w:cs="Arial" w:eastAsia="Arial" w:hAnsi="Arial"/>
                <w:sz w:val="18"/>
                <w:szCs w:val="18"/>
                <w:b w:val="1"/>
                <w:bCs w:val="1"/>
                <w:color w:val="auto"/>
                <w:w w:val="89"/>
              </w:rPr>
              <w:t>7500 Pecue Lane,</w:t>
            </w:r>
          </w:p>
        </w:tc>
        <w:tc>
          <w:tcPr>
            <w:tcW w:w="2240" w:type="dxa"/>
            <w:vAlign w:val="bottom"/>
          </w:tcPr>
          <w:p>
            <w:pPr>
              <w:spacing w:after="0"/>
              <w:rPr>
                <w:sz w:val="24"/>
                <w:szCs w:val="24"/>
                <w:color w:val="auto"/>
              </w:rPr>
            </w:pPr>
          </w:p>
        </w:tc>
        <w:tc>
          <w:tcPr>
            <w:tcW w:w="4500" w:type="dxa"/>
            <w:vAlign w:val="bottom"/>
            <w:gridSpan w:val="2"/>
          </w:tcPr>
          <w:p>
            <w:pPr>
              <w:jc w:val="right"/>
              <w:ind w:right="2437"/>
              <w:spacing w:after="0"/>
              <w:rPr>
                <w:sz w:val="20"/>
                <w:szCs w:val="20"/>
                <w:color w:val="auto"/>
              </w:rPr>
            </w:pPr>
            <w:r>
              <w:rPr>
                <w:rFonts w:ascii="Arial" w:cs="Arial" w:eastAsia="Arial" w:hAnsi="Arial"/>
                <w:sz w:val="18"/>
                <w:szCs w:val="18"/>
                <w:b w:val="1"/>
                <w:bCs w:val="1"/>
                <w:color w:val="auto"/>
              </w:rPr>
              <w:t>70809</w:t>
            </w: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937"/>
              <w:spacing w:after="0"/>
              <w:rPr>
                <w:sz w:val="20"/>
                <w:szCs w:val="20"/>
                <w:color w:val="auto"/>
              </w:rPr>
            </w:pPr>
            <w:r>
              <w:rPr>
                <w:rFonts w:ascii="Arial" w:cs="Arial" w:eastAsia="Arial" w:hAnsi="Arial"/>
                <w:sz w:val="18"/>
                <w:szCs w:val="18"/>
                <w:b w:val="1"/>
                <w:bCs w:val="1"/>
                <w:color w:val="auto"/>
                <w:w w:val="89"/>
              </w:rPr>
              <w:t>Baton Rouge, Louisiana</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tcPr>
          <w:p>
            <w:pPr>
              <w:jc w:val="center"/>
              <w:ind w:right="1237"/>
              <w:spacing w:after="0"/>
              <w:rPr>
                <w:sz w:val="20"/>
                <w:szCs w:val="20"/>
                <w:color w:val="auto"/>
              </w:rPr>
            </w:pPr>
            <w:r>
              <w:rPr>
                <w:rFonts w:ascii="Arial" w:cs="Arial" w:eastAsia="Arial" w:hAnsi="Arial"/>
                <w:sz w:val="18"/>
                <w:szCs w:val="18"/>
                <w:b w:val="1"/>
                <w:bCs w:val="1"/>
                <w:color w:val="auto"/>
                <w:w w:val="95"/>
              </w:rPr>
              <w:t>(ZIP Code)</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95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1240" w:type="dxa"/>
            <w:vAlign w:val="bottom"/>
            <w:gridSpan w:val="5"/>
          </w:tcPr>
          <w:p>
            <w:pPr>
              <w:ind w:left="3480"/>
              <w:spacing w:after="0"/>
              <w:rPr>
                <w:sz w:val="20"/>
                <w:szCs w:val="20"/>
                <w:color w:val="auto"/>
              </w:rPr>
            </w:pPr>
            <w:r>
              <w:rPr>
                <w:rFonts w:ascii="Arial" w:cs="Arial" w:eastAsia="Arial" w:hAnsi="Arial"/>
                <w:sz w:val="14"/>
                <w:szCs w:val="14"/>
                <w:b w:val="1"/>
                <w:bCs w:val="1"/>
                <w:color w:val="auto"/>
              </w:rPr>
              <w:t>Registrant’s Telephone Number, Including Area Code: (225) 298-5200</w:t>
            </w:r>
          </w:p>
        </w:tc>
        <w:tc>
          <w:tcPr>
            <w:tcW w:w="0" w:type="dxa"/>
            <w:vAlign w:val="bottom"/>
          </w:tcPr>
          <w:p>
            <w:pPr>
              <w:spacing w:after="0"/>
              <w:rPr>
                <w:sz w:val="1"/>
                <w:szCs w:val="1"/>
                <w:color w:val="auto"/>
              </w:rPr>
            </w:pPr>
          </w:p>
        </w:tc>
      </w:tr>
      <w:tr>
        <w:trPr>
          <w:trHeight w:val="147"/>
        </w:trPr>
        <w:tc>
          <w:tcPr>
            <w:tcW w:w="4500" w:type="dxa"/>
            <w:vAlign w:val="bottom"/>
            <w:gridSpan w:val="2"/>
            <w:vMerge w:val="restart"/>
          </w:tcPr>
          <w:p>
            <w:pPr>
              <w:ind w:left="2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4500" w:type="dxa"/>
            <w:vAlign w:val="bottom"/>
            <w:tcBorders>
              <w:bottom w:val="single" w:sz="8" w:color="auto"/>
            </w:tcBorders>
            <w:gridSpan w:val="2"/>
            <w:vMerge w:val="continue"/>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00" w:type="dxa"/>
            <w:vAlign w:val="bottom"/>
          </w:tcPr>
          <w:p>
            <w:pPr>
              <w:spacing w:after="0"/>
              <w:rPr>
                <w:sz w:val="18"/>
                <w:szCs w:val="18"/>
                <w:color w:val="auto"/>
              </w:rPr>
            </w:pP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92"/>
              </w:rPr>
              <w:t>Trading Symbol(s)</w:t>
            </w:r>
          </w:p>
        </w:tc>
        <w:tc>
          <w:tcPr>
            <w:tcW w:w="3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jc w:val="center"/>
              <w:ind w:right="37"/>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66"/>
        </w:trPr>
        <w:tc>
          <w:tcPr>
            <w:tcW w:w="4200" w:type="dxa"/>
            <w:vAlign w:val="bottom"/>
            <w:tcBorders>
              <w:left w:val="single" w:sz="8" w:color="auto"/>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4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00" w:type="dxa"/>
            <w:vAlign w:val="bottom"/>
            <w:tcBorders>
              <w:left w:val="single" w:sz="8" w:color="auto"/>
              <w:right w:val="single" w:sz="8" w:color="auto"/>
            </w:tcBorders>
          </w:tcPr>
          <w:p>
            <w:pPr>
              <w:jc w:val="center"/>
              <w:ind w:right="17"/>
              <w:spacing w:after="0"/>
              <w:rPr>
                <w:sz w:val="20"/>
                <w:szCs w:val="20"/>
                <w:color w:val="auto"/>
              </w:rPr>
            </w:pPr>
            <w:r>
              <w:rPr>
                <w:rFonts w:ascii="Arial" w:cs="Arial" w:eastAsia="Arial" w:hAnsi="Arial"/>
                <w:sz w:val="18"/>
                <w:szCs w:val="18"/>
                <w:color w:val="auto"/>
                <w:w w:val="89"/>
              </w:rPr>
              <w:t>Common Stock, par value $0.01 per share</w:t>
            </w:r>
          </w:p>
        </w:tc>
        <w:tc>
          <w:tcPr>
            <w:tcW w:w="300" w:type="dxa"/>
            <w:vAlign w:val="bottom"/>
          </w:tcPr>
          <w:p>
            <w:pPr>
              <w:spacing w:after="0"/>
              <w:rPr>
                <w:sz w:val="18"/>
                <w:szCs w:val="18"/>
                <w:color w:val="auto"/>
              </w:rPr>
            </w:pPr>
          </w:p>
        </w:tc>
        <w:tc>
          <w:tcPr>
            <w:tcW w:w="2240" w:type="dxa"/>
            <w:vAlign w:val="bottom"/>
          </w:tcPr>
          <w:p>
            <w:pPr>
              <w:jc w:val="center"/>
              <w:ind w:right="10"/>
              <w:spacing w:after="0"/>
              <w:rPr>
                <w:sz w:val="20"/>
                <w:szCs w:val="20"/>
                <w:color w:val="auto"/>
              </w:rPr>
            </w:pPr>
            <w:r>
              <w:rPr>
                <w:rFonts w:ascii="Arial" w:cs="Arial" w:eastAsia="Arial" w:hAnsi="Arial"/>
                <w:sz w:val="18"/>
                <w:szCs w:val="18"/>
                <w:color w:val="auto"/>
                <w:w w:val="93"/>
              </w:rPr>
              <w:t>HEES</w:t>
            </w:r>
          </w:p>
        </w:tc>
        <w:tc>
          <w:tcPr>
            <w:tcW w:w="3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jc w:val="center"/>
              <w:ind w:right="57"/>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r>
        <w:trPr>
          <w:trHeight w:val="50"/>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4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Sections 13 or 15(d) of the Securities Exchange Act of</w:t>
      </w:r>
    </w:p>
    <w:p>
      <w:pPr>
        <w:spacing w:after="0" w:line="35" w:lineRule="exact"/>
        <w:rPr>
          <w:sz w:val="24"/>
          <w:szCs w:val="24"/>
          <w:color w:val="auto"/>
        </w:rPr>
      </w:pPr>
    </w:p>
    <w:p>
      <w:pPr>
        <w:jc w:val="both"/>
        <w:ind w:right="8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6" w:lineRule="exact"/>
        <w:rPr>
          <w:sz w:val="24"/>
          <w:szCs w:val="24"/>
          <w:color w:val="auto"/>
        </w:rPr>
      </w:pPr>
    </w:p>
    <w:p>
      <w:pPr>
        <w:jc w:val="both"/>
        <w:ind w:right="80" w:firstLine="255"/>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100" w:firstLine="255"/>
        <w:spacing w:after="0" w:line="220"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8" w:right="339" w:bottom="1440" w:gutter="0" w:footer="0" w:header="0"/>
        </w:sectPr>
      </w:pPr>
    </w:p>
    <w:p>
      <w:pPr>
        <w:spacing w:after="0" w:line="136"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6">
            <w:col w:w="1740" w:space="720"/>
            <w:col w:w="780" w:space="720"/>
            <w:col w:w="2100" w:space="720"/>
            <w:col w:w="580" w:space="720"/>
            <w:col w:w="2000" w:space="720"/>
            <w:col w:w="440"/>
          </w:cols>
          <w:pgMar w:left="320" w:top="678" w:right="339" w:bottom="1440" w:gutter="0" w:footer="0" w:header="0"/>
          <w:type w:val="continuous"/>
        </w:sectPr>
      </w:pPr>
    </w:p>
    <w:p>
      <w:pPr>
        <w:spacing w:after="0" w:line="45" w:lineRule="exact"/>
        <w:rPr>
          <w:sz w:val="24"/>
          <w:szCs w:val="24"/>
          <w:color w:val="auto"/>
        </w:rPr>
      </w:pPr>
    </w:p>
    <w:p>
      <w:pPr>
        <w:ind w:left="2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1" w:lineRule="exact"/>
        <w:rPr>
          <w:sz w:val="24"/>
          <w:szCs w:val="24"/>
          <w:color w:val="auto"/>
        </w:rPr>
      </w:pPr>
    </w:p>
    <w:p>
      <w:pPr>
        <w:sectPr>
          <w:pgSz w:w="11900" w:h="16838" w:orient="portrait"/>
          <w:cols w:equalWidth="0" w:num="4">
            <w:col w:w="2080" w:space="380"/>
            <w:col w:w="780" w:space="720"/>
            <w:col w:w="2100" w:space="720"/>
            <w:col w:w="4460"/>
          </w:cols>
          <w:pgMar w:left="320" w:top="678" w:right="339" w:bottom="1440" w:gutter="0" w:footer="0" w:header="0"/>
          <w:type w:val="continuous"/>
        </w:sectPr>
      </w:pPr>
    </w:p>
    <w:p>
      <w:pPr>
        <w:ind w:right="260" w:firstLine="255"/>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34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r>
        <w:rPr>
          <w:rFonts w:ascii="Arial" w:cs="Arial" w:eastAsia="Arial" w:hAnsi="Arial"/>
          <w:sz w:val="16"/>
          <w:szCs w:val="16"/>
          <w:color w:val="auto"/>
        </w:rPr>
        <w:t xml:space="preserve"> As of October 19, 2023, there were 36,449,926 shares of H&amp;E Equipment Services, Inc.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660" w:type="dxa"/>
            <w:vAlign w:val="bottom"/>
            <w:gridSpan w:val="19"/>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60" w:type="dxa"/>
            <w:vAlign w:val="bottom"/>
            <w:gridSpan w:val="19"/>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1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Item 1. Financial Statements:</w:t>
            </w:r>
          </w:p>
        </w:tc>
        <w:tc>
          <w:tcPr>
            <w:tcW w:w="75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as of September 30, 2023 (Unaudited) and December 31, 2022</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Income (Unaudited) for the Three and Nine Months Ended September 30, 2023 and 2022</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 (Unaudited) for the Nine Months Ended September 30, 2023 and 2022</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36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Arial" w:cs="Arial" w:eastAsia="Arial" w:hAnsi="Arial"/>
                <w:sz w:val="18"/>
                <w:szCs w:val="18"/>
                <w:color w:val="0000FF"/>
              </w:rPr>
              <w:t>Item 4. 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0660" w:type="dxa"/>
            <w:vAlign w:val="bottom"/>
            <w:gridSpan w:val="19"/>
          </w:tcPr>
          <w:p>
            <w:pPr>
              <w:spacing w:after="0"/>
              <w:rPr>
                <w:sz w:val="20"/>
                <w:szCs w:val="20"/>
                <w:color w:val="auto"/>
              </w:rPr>
            </w:pPr>
            <w:r>
              <w:rPr>
                <w:rFonts w:ascii="Arial" w:cs="Arial" w:eastAsia="Arial" w:hAnsi="Arial"/>
                <w:sz w:val="18"/>
                <w:szCs w:val="18"/>
                <w:b w:val="1"/>
                <w:bCs w:val="1"/>
                <w:color w:val="0000FF"/>
              </w:rPr>
              <w:t>PART II. 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28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1. Legal Proceedings</w:t>
            </w:r>
          </w:p>
        </w:tc>
        <w:tc>
          <w:tcPr>
            <w:tcW w:w="78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Item 1A. Risk Factors</w:t>
            </w:r>
          </w:p>
        </w:tc>
        <w:tc>
          <w:tcPr>
            <w:tcW w:w="878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Item 2. Unregistered Sales of Equity Securities and Use of Proceeds</w:t>
            </w:r>
          </w:p>
        </w:tc>
        <w:tc>
          <w:tcPr>
            <w:tcW w:w="576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Item 3. Defaults upon Senior Securities</w:t>
            </w:r>
          </w:p>
        </w:tc>
        <w:tc>
          <w:tcPr>
            <w:tcW w:w="78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9"/>
          </w:tcPr>
          <w:p>
            <w:pPr>
              <w:spacing w:after="0"/>
              <w:rPr>
                <w:sz w:val="20"/>
                <w:szCs w:val="20"/>
                <w:color w:val="auto"/>
              </w:rPr>
            </w:pPr>
            <w:r>
              <w:rPr>
                <w:rFonts w:ascii="Arial" w:cs="Arial" w:eastAsia="Arial" w:hAnsi="Arial"/>
                <w:sz w:val="18"/>
                <w:szCs w:val="18"/>
                <w:color w:val="0000FF"/>
              </w:rPr>
              <w:t>Item 4. 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Item 5. Other Information</w:t>
            </w:r>
          </w:p>
        </w:tc>
        <w:tc>
          <w:tcPr>
            <w:tcW w:w="832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Item 6. Exhibits</w:t>
            </w:r>
          </w:p>
        </w:tc>
        <w:tc>
          <w:tcPr>
            <w:tcW w:w="700" w:type="dxa"/>
            <w:vAlign w:val="bottom"/>
            <w:tcBorders>
              <w:top w:val="single" w:sz="8" w:color="0000FF"/>
            </w:tcBorders>
            <w:gridSpan w:val="2"/>
          </w:tcPr>
          <w:p>
            <w:pPr>
              <w:spacing w:after="0"/>
              <w:rPr>
                <w:sz w:val="18"/>
                <w:szCs w:val="18"/>
                <w:color w:val="auto"/>
              </w:rPr>
            </w:pPr>
          </w:p>
        </w:tc>
        <w:tc>
          <w:tcPr>
            <w:tcW w:w="88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Signatures</w:t>
            </w:r>
          </w:p>
        </w:tc>
        <w:tc>
          <w:tcPr>
            <w:tcW w:w="99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681"/>
        </w:trPr>
        <w:tc>
          <w:tcPr>
            <w:tcW w:w="7020" w:type="dxa"/>
            <w:vAlign w:val="bottom"/>
            <w:gridSpan w:val="16"/>
          </w:tcPr>
          <w:p>
            <w:pPr>
              <w:jc w:val="right"/>
              <w:ind w:right="136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374"/>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the federal securities laws. Statements that are not historical facts, including statements about our beliefs and expectations, are forward-looking statements. Forward-looking statements include statements preceded by, followed by, or that include the words “may,” “could,” “would,” “should,” “believe,” “expect,” “anticipate,” “plan,” “estimate,” “target,” “project,” “intend,” “foresee” and similar expressions. These statements include, among others, statements regarding our expected business outlook, anticipated financial and operating results, our business strategy and means to implement the strategy, our objectives, the amount and timing of capital expenditures, the likelihood of our success in expanding our business, financing plans, budgets, working capital needs and sources of liquidity. By their nature, forward-looking statements involve risks and uncertainties because they relate to events and depend on circumstances that may or may not occur in the future.</w:t>
      </w:r>
    </w:p>
    <w:p>
      <w:pPr>
        <w:spacing w:after="0" w:line="156"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Forward-looking statements are only predictions and are not guarantees of performance. These statements are based on our management’s beliefs and assumptions, which in turn are based on currently available information. Important assumptions relating to the forward-looking statements include, among others, assumptions regarding demand for our products, the expansion of product offerings geographically or through new marketing applications, the timing and cost of planned capital expenditures, competitive conditions and general economic conditions. These assumptions could prove inaccurate. Forward-looking statements also involve known and unknown risks and uncertainties, which could cause actual results to differ materially from those contained in any forward-looking statement. In addition, even if our actual results are consistent with the forward-looking statements contained in this Quarterly Report on Form 10-Q, those results may not be indicative of results or developments in subsequent periods. Many of these factors are beyond our ability to control or predict. Such factors include, but are not limited to, the following:</w:t>
      </w:r>
    </w:p>
    <w:p>
      <w:pPr>
        <w:spacing w:after="0" w:line="48" w:lineRule="exact"/>
        <w:rPr>
          <w:sz w:val="20"/>
          <w:szCs w:val="20"/>
          <w:color w:val="auto"/>
        </w:rPr>
      </w:pPr>
    </w:p>
    <w:p>
      <w:pPr>
        <w:ind w:left="1020" w:right="260" w:hanging="504"/>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 global pandemic and similar health concerns, such as the scope and duration of the outbreak, government actions and restrictive measures implemented in response to the pandemic, material delays and cancellations of construction or infrastructure projects, labor shortages, supply chain disruptions and other impacts to the business;</w:t>
      </w:r>
    </w:p>
    <w:p>
      <w:pPr>
        <w:spacing w:after="0" w:line="3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and geopolitical conditions and construction and industrial activity in the markets where we operate in North America;</w:t>
      </w:r>
    </w:p>
    <w:p>
      <w:pPr>
        <w:spacing w:after="0" w:line="87" w:lineRule="exact"/>
        <w:rPr>
          <w:rFonts w:ascii="Arial" w:cs="Arial" w:eastAsia="Arial" w:hAnsi="Arial"/>
          <w:sz w:val="17"/>
          <w:szCs w:val="17"/>
          <w:color w:val="auto"/>
        </w:rPr>
      </w:pPr>
    </w:p>
    <w:p>
      <w:pPr>
        <w:ind w:left="1020" w:right="1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trends in our business accurately, and the impact of economic downturns and economic uncertainty on the markets we serve (including as a result of current uncertainty due to inflation and increasing interest rates);</w:t>
      </w:r>
    </w:p>
    <w:p>
      <w:pPr>
        <w:spacing w:after="0" w:line="3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conditions in the global credit and commodity markets and their effect on construction spending and the economy in general;</w:t>
      </w:r>
    </w:p>
    <w:p>
      <w:pPr>
        <w:spacing w:after="0" w:line="99" w:lineRule="exact"/>
        <w:rPr>
          <w:rFonts w:ascii="Arial" w:cs="Arial" w:eastAsia="Arial" w:hAnsi="Arial"/>
          <w:sz w:val="16"/>
          <w:szCs w:val="16"/>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oil and natural gas which could adversely affect the demand for our services and products;</w:t>
      </w:r>
    </w:p>
    <w:p>
      <w:pPr>
        <w:spacing w:after="0" w:line="76" w:lineRule="exact"/>
        <w:rPr>
          <w:rFonts w:ascii="Arial" w:cs="Arial" w:eastAsia="Arial" w:hAnsi="Arial"/>
          <w:sz w:val="18"/>
          <w:szCs w:val="18"/>
          <w:color w:val="auto"/>
        </w:rPr>
      </w:pPr>
    </w:p>
    <w:p>
      <w:pPr>
        <w:ind w:left="1020" w:right="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obtain equipment and other supplies for our business from our key suppliers on acceptable terms or at all, as a result of supply chain disruptions, insolvency, financial difficulties, supplier relationships or other factors;</w:t>
      </w:r>
    </w:p>
    <w:p>
      <w:pPr>
        <w:spacing w:after="0" w:line="3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maintenance and repair costs as we age our fleet and decreases in our equipment’s residual value;</w:t>
      </w:r>
    </w:p>
    <w:p>
      <w:pPr>
        <w:spacing w:after="0" w:line="7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w:t>
      </w:r>
    </w:p>
    <w:p>
      <w:pPr>
        <w:spacing w:after="0" w:line="76" w:lineRule="exact"/>
        <w:rPr>
          <w:rFonts w:ascii="Arial" w:cs="Arial" w:eastAsia="Arial" w:hAnsi="Arial"/>
          <w:sz w:val="18"/>
          <w:szCs w:val="18"/>
          <w:color w:val="auto"/>
        </w:rPr>
      </w:pPr>
    </w:p>
    <w:p>
      <w:pPr>
        <w:ind w:left="1020" w:right="16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and any potential acquisitions we may make, including any related capital expenditures, or our ability to consummate such acquisitions;</w:t>
      </w:r>
    </w:p>
    <w:p>
      <w:pPr>
        <w:spacing w:after="0" w:line="3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possible inability to integrate any businesses we acquire;</w:t>
      </w:r>
    </w:p>
    <w:p>
      <w:pPr>
        <w:spacing w:after="0" w:line="7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w:t>
      </w:r>
    </w:p>
    <w:p>
      <w:pPr>
        <w:spacing w:after="0" w:line="7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breaches, cybersecurity attacks, failure to protect personal information, compliance with data protection laws and other disruptions in our information technology systems;</w:t>
      </w:r>
    </w:p>
    <w:p>
      <w:pPr>
        <w:spacing w:after="0" w:line="3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events or natural disasters;</w:t>
      </w:r>
    </w:p>
    <w:p>
      <w:pPr>
        <w:spacing w:after="0" w:line="7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climate change and climate change regulation;</w:t>
      </w:r>
    </w:p>
    <w:p>
      <w:pPr>
        <w:spacing w:after="0" w:line="76" w:lineRule="exact"/>
        <w:rPr>
          <w:rFonts w:ascii="Arial" w:cs="Arial" w:eastAsia="Arial" w:hAnsi="Arial"/>
          <w:sz w:val="18"/>
          <w:szCs w:val="18"/>
          <w:color w:val="auto"/>
        </w:rPr>
      </w:pPr>
    </w:p>
    <w:p>
      <w:pPr>
        <w:ind w:left="1020" w:right="26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laws and regulations, including those relating to environmental matters, corporate governance matters and tax matters, as well as any future changes to such laws and regulations; and</w:t>
      </w:r>
    </w:p>
    <w:p>
      <w:pPr>
        <w:spacing w:after="0" w:line="34" w:lineRule="exact"/>
        <w:rPr>
          <w:rFonts w:ascii="Arial" w:cs="Arial" w:eastAsia="Arial" w:hAnsi="Arial"/>
          <w:sz w:val="18"/>
          <w:szCs w:val="18"/>
          <w:color w:val="auto"/>
        </w:rPr>
      </w:pPr>
    </w:p>
    <w:p>
      <w:pPr>
        <w:ind w:left="1020" w:right="18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under “Risk Factors” in our Annual Report on Form 10-K for the year ended December 31, 2022 and in Item 1A — “Risk Factors” in this Quarterly Report on Form 10-Q for the quarterly period ended September 30, 2023.</w:t>
      </w:r>
    </w:p>
    <w:p>
      <w:pPr>
        <w:spacing w:after="0" w:line="129" w:lineRule="exact"/>
        <w:rPr>
          <w:sz w:val="20"/>
          <w:szCs w:val="20"/>
          <w:color w:val="auto"/>
        </w:rPr>
      </w:pPr>
    </w:p>
    <w:p>
      <w:pPr>
        <w:ind w:right="140" w:firstLine="374"/>
        <w:spacing w:after="0" w:line="218" w:lineRule="exact"/>
        <w:rPr>
          <w:sz w:val="20"/>
          <w:szCs w:val="20"/>
          <w:color w:val="auto"/>
        </w:rPr>
      </w:pPr>
      <w:r>
        <w:rPr>
          <w:rFonts w:ascii="Arial" w:cs="Arial" w:eastAsia="Arial" w:hAnsi="Arial"/>
          <w:sz w:val="18"/>
          <w:szCs w:val="18"/>
          <w:color w:val="auto"/>
        </w:rPr>
        <w:t>Except as required by applicable law, including the securities laws of the United States and the rules and regulations of the Securities and Exchange Commission (“SEC”), we are under no obligation to publicly update or revise any forward-looking statements after we file this Quarterly Report on Form 10-Q, whether as a result of any new information, future events or otherwise. Investors, potential investors and other readers are urged to consider the above mentioned factors carefully in evaluating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and are cautioned not to place undue reliance on such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we believe that the expectations reflected in the forward-looking statements are reasonable, we cannot guarantee future results or performance.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firstLine="374"/>
        <w:spacing w:after="0" w:line="293" w:lineRule="auto"/>
        <w:rPr>
          <w:sz w:val="20"/>
          <w:szCs w:val="20"/>
          <w:color w:val="auto"/>
        </w:rPr>
      </w:pPr>
      <w:r>
        <w:rPr>
          <w:rFonts w:ascii="Arial" w:cs="Arial" w:eastAsia="Arial" w:hAnsi="Arial"/>
          <w:sz w:val="16"/>
          <w:szCs w:val="16"/>
          <w:color w:val="auto"/>
        </w:rPr>
        <w:t xml:space="preserve">For a more detailed discussion of some of the foregoing risks and uncertainties, see Item 1A — “Risk Factors” in our Annual Report on Form 10-K for the year ended December 31, 2022 and in Item 1A — “Risk Factors” in this Quarterly Report on Form 10-Q for the quarterly period ended September 30, 2023, as well as other reports and registration statements filed by us with the SEC. These factors should not be construed as exhaustive and should be read with other cautionary statements in this Quarterly Report on Form 10-Q and our other public filings. All of our annual, quarterly and current reports, and any amendments thereto, filed with or furnished to the SEC are available on our Internet website under the Investor Relations link. For more information about us and the announcements we make from time to time, visit our Internet website at </w:t>
      </w:r>
      <w:r>
        <w:rPr>
          <w:rFonts w:ascii="Arial" w:cs="Arial" w:eastAsia="Arial" w:hAnsi="Arial"/>
          <w:sz w:val="16"/>
          <w:szCs w:val="16"/>
          <w:i w:val="1"/>
          <w:iCs w:val="1"/>
          <w:color w:val="auto"/>
        </w:rPr>
        <w:t>www.he-equipment.com</w:t>
      </w:r>
      <w:r>
        <w:rPr>
          <w:rFonts w:ascii="Arial" w:cs="Arial" w:eastAsia="Arial" w:hAnsi="Arial"/>
          <w:sz w:val="16"/>
          <w:szCs w:val="16"/>
          <w:color w:val="auto"/>
        </w:rPr>
        <w:t>.</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6"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Balances at</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08"/>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6,919</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81,330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Receivables, net of allowance for doubtful accounts of $6,507 and $6,637,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253,326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225,294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Inventories, net of reserves for obsolescence of $35 and $54,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137,017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107,842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Rental equipment, net of accumulated depreciation of $970,906 and $884,740,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1,705,367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1,418,951</w:t>
            </w:r>
          </w:p>
        </w:tc>
        <w:tc>
          <w:tcPr>
            <w:tcW w:w="100" w:type="dxa"/>
            <w:vAlign w:val="bottom"/>
          </w:tcPr>
          <w:p>
            <w:pPr>
              <w:spacing w:after="0"/>
              <w:rPr>
                <w:sz w:val="20"/>
                <w:szCs w:val="20"/>
                <w:color w:val="auto"/>
              </w:rPr>
            </w:pP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 of accumulated depreciation and amortization of $193,355 and</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$177,017,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163,531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134,637</w:t>
            </w: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right-of-use assets, net of accumulated amortization of $65,631 and $51,419,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177,301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164,566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Finance lease right-of-use assets, net of accumulated amortization of $259 and $105,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w w:val="99"/>
              </w:rPr>
              <w:t>Deferred financing costs, net of accumulated amortization of $17,324 and $16,518,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 net of accumulated amortization of $24,417 and $19,369,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27,583</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32,631</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96,873</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102,690</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2,589,134</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2,291,699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740" w:type="dxa"/>
            <w:vAlign w:val="bottom"/>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Senior secured credit facility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142,234</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129,482</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Manufacturer flooring plans payable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payable and other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98,334</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77,142</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Senior unsecured notes, net of unaccreted discount of $6,100 and $6,979 and deferred financing costs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of $1,409 and $1,612,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1,242,491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1,241,409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184,240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169,069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306,548</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271,162</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2,101,000</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1,890,657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Preferred stock, $0.01 par value, 25,000,000 shares authorized; no shares issued</w:t>
            </w:r>
          </w:p>
        </w:tc>
        <w:tc>
          <w:tcPr>
            <w:tcW w:w="2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Common stock, $0.01 par value, 175,000,000 shares authorized; 40,824,586 and 40,567,876 shares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issued at September 30, 2023 and December 31, 2022, respectively, and 36,450,399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36,309,321 shares outstanding at September 30, 2023 and December 31, 2022, respectively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259,205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251,901</w:t>
            </w:r>
          </w:p>
        </w:tc>
        <w:tc>
          <w:tcPr>
            <w:tcW w:w="100" w:type="dxa"/>
            <w:vAlign w:val="bottom"/>
          </w:tcPr>
          <w:p>
            <w:pPr>
              <w:spacing w:after="0"/>
              <w:rPr>
                <w:sz w:val="20"/>
                <w:szCs w:val="20"/>
                <w:color w:val="auto"/>
              </w:rPr>
            </w:pP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Treasury stock at cost, 4,374,187 and 4,258,555 shares of common stock held at September 30, 2023</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December 31, 2022, respectively</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(76,017 )</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(69,964 )</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304,538</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218,700</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488,134</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2,589,134</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2,291,699</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-3869690</wp:posOffset>
            </wp:positionV>
            <wp:extent cx="123317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-1849120</wp:posOffset>
            </wp:positionV>
            <wp:extent cx="7683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315,811</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253,564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869,278</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680,366</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Used equipment sales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124,476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60,659</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12,633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23,491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29,308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71,013</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Parts sales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48,976</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21,058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25,633</w:t>
            </w:r>
          </w:p>
        </w:tc>
        <w:tc>
          <w:tcPr>
            <w:tcW w:w="100" w:type="dxa"/>
            <w:vAlign w:val="bottom"/>
          </w:tcPr>
          <w:p>
            <w:pPr>
              <w:spacing w:after="0"/>
              <w:rPr>
                <w:sz w:val="20"/>
                <w:szCs w:val="20"/>
                <w:color w:val="auto"/>
              </w:rPr>
            </w:pPr>
          </w:p>
        </w:tc>
      </w:tr>
      <w:tr>
        <w:trPr>
          <w:trHeight w:val="249"/>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400,696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324,280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1,083,410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891,401</w:t>
            </w:r>
          </w:p>
        </w:tc>
        <w:tc>
          <w:tcPr>
            <w:tcW w:w="100" w:type="dxa"/>
            <w:vAlign w:val="bottom"/>
          </w:tcPr>
          <w:p>
            <w:pPr>
              <w:spacing w:after="0"/>
              <w:rPr>
                <w:sz w:val="20"/>
                <w:szCs w:val="20"/>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Rental depreciation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90,361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65,952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258,146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188,261</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Rental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93,117</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Rental 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35,056</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93,381</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70,775</w:t>
            </w:r>
          </w:p>
        </w:tc>
        <w:tc>
          <w:tcPr>
            <w:tcW w:w="100" w:type="dxa"/>
            <w:vAlign w:val="bottom"/>
          </w:tcPr>
          <w:p>
            <w:pPr>
              <w:spacing w:after="0"/>
              <w:rPr>
                <w:sz w:val="21"/>
                <w:szCs w:val="21"/>
                <w:color w:val="auto"/>
              </w:rPr>
            </w:pPr>
          </w:p>
        </w:tc>
      </w:tr>
      <w:tr>
        <w:trPr>
          <w:trHeight w:val="236"/>
        </w:trPr>
        <w:tc>
          <w:tcPr>
            <w:tcW w:w="5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165,962</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125,484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468,696</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352,153</w:t>
            </w: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21,893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51,396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31,815</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New equipment sales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60,849</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11,881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25,736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35,417</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Services revenues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21"/>
                <w:szCs w:val="21"/>
                <w:color w:val="auto"/>
              </w:rPr>
            </w:pPr>
          </w:p>
        </w:tc>
      </w:tr>
      <w:tr>
        <w:trPr>
          <w:trHeight w:val="236"/>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212,313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172,397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585,288</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188,383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151,883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498,122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395,797</w:t>
            </w:r>
          </w:p>
        </w:tc>
        <w:tc>
          <w:tcPr>
            <w:tcW w:w="100" w:type="dxa"/>
            <w:vAlign w:val="bottom"/>
          </w:tcPr>
          <w:p>
            <w:pPr>
              <w:spacing w:after="0"/>
              <w:rPr>
                <w:sz w:val="19"/>
                <w:szCs w:val="19"/>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104,218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88,418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298,812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249,360</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(5,714 )</w:t>
            </w:r>
          </w:p>
        </w:tc>
        <w:tc>
          <w:tcPr>
            <w:tcW w:w="3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(5,714 )</w:t>
            </w: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Gain on sales of property and equipment, net</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195,462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149,348</w:t>
            </w:r>
          </w:p>
        </w:tc>
        <w:tc>
          <w:tcPr>
            <w:tcW w:w="100" w:type="dxa"/>
            <w:vAlign w:val="bottom"/>
          </w:tcPr>
          <w:p>
            <w:pPr>
              <w:spacing w:after="0"/>
              <w:rPr>
                <w:sz w:val="20"/>
                <w:szCs w:val="20"/>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(16,145 )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(13,548 )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(44,542 )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(40,495 )</w:t>
            </w:r>
          </w:p>
        </w:tc>
      </w:tr>
      <w:tr>
        <w:trPr>
          <w:trHeight w:val="249"/>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5,851</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(13,074 )</w:t>
            </w:r>
          </w:p>
        </w:tc>
        <w:tc>
          <w:tcPr>
            <w:tcW w:w="3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(12,665 )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(38,691 )</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(37,839 )</w:t>
            </w: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 before provision for income taxes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66,140</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51,329</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156,771</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111,509</w:t>
            </w:r>
          </w:p>
        </w:tc>
        <w:tc>
          <w:tcPr>
            <w:tcW w:w="100" w:type="dxa"/>
            <w:vAlign w:val="bottom"/>
            <w:shd w:val="clear" w:color="auto" w:fill="CFF0FC"/>
          </w:tcPr>
          <w:p>
            <w:pPr>
              <w:spacing w:after="0"/>
              <w:rPr>
                <w:sz w:val="20"/>
                <w:szCs w:val="20"/>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41,002</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28,967</w:t>
            </w:r>
          </w:p>
        </w:tc>
        <w:tc>
          <w:tcPr>
            <w:tcW w:w="100" w:type="dxa"/>
            <w:vAlign w:val="bottom"/>
          </w:tcPr>
          <w:p>
            <w:pPr>
              <w:spacing w:after="0"/>
              <w:rPr>
                <w:sz w:val="21"/>
                <w:szCs w:val="21"/>
                <w:color w:val="auto"/>
              </w:rPr>
            </w:pPr>
          </w:p>
        </w:tc>
      </w:tr>
      <w:tr>
        <w:trPr>
          <w:trHeight w:val="236"/>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48,879</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115,769</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benefit from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(2,049 )</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from income taxes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(525 )</w:t>
            </w:r>
          </w:p>
        </w:tc>
      </w:tr>
      <w:tr>
        <w:trPr>
          <w:trHeight w:val="20"/>
        </w:trPr>
        <w:tc>
          <w:tcPr>
            <w:tcW w:w="5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Net loss from discontinued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(1,524 )</w:t>
            </w:r>
          </w:p>
        </w:tc>
      </w:tr>
      <w:tr>
        <w:trPr>
          <w:trHeight w:val="236"/>
        </w:trPr>
        <w:tc>
          <w:tcPr>
            <w:tcW w:w="58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48,879</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38,376</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115,769</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81,018</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-4922520</wp:posOffset>
            </wp:positionV>
            <wp:extent cx="768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-4922520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-4922520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-4922520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-3039110</wp:posOffset>
            </wp:positionV>
            <wp:extent cx="7683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-3039110</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-3039110</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-3039110</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-2414270</wp:posOffset>
            </wp:positionV>
            <wp:extent cx="768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-2414270</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-2414270</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-1780540</wp:posOffset>
            </wp:positionV>
            <wp:extent cx="768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-1780540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-1780540</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-1780540</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-1137920</wp:posOffset>
            </wp:positionV>
            <wp:extent cx="7683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-1137920</wp:posOffset>
            </wp:positionV>
            <wp:extent cx="685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-1137920</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-513080</wp:posOffset>
            </wp:positionV>
            <wp:extent cx="7683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-513080</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-513080</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-187960</wp:posOffset>
            </wp:positionV>
            <wp:extent cx="7683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from continuing operations per common share: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5840" w:type="dxa"/>
            <w:vAlign w:val="bottom"/>
          </w:tcPr>
          <w:p>
            <w:pPr>
              <w:ind w:left="20"/>
              <w:spacing w:after="0"/>
              <w:rPr>
                <w:sz w:val="20"/>
                <w:szCs w:val="20"/>
                <w:color w:val="auto"/>
              </w:rPr>
            </w:pPr>
            <w:r>
              <w:rPr>
                <w:rFonts w:ascii="Arial" w:cs="Arial" w:eastAsia="Arial" w:hAnsi="Arial"/>
                <w:sz w:val="18"/>
                <w:szCs w:val="18"/>
                <w:color w:val="auto"/>
              </w:rPr>
              <w:t>Net loss from discontinued operations per common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(0.04 )</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(0.04 )</w:t>
            </w: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58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9"/>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36,078</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36,326</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36,544</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Dividends declared per common share outstanding</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0.275</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0.825</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-1746250</wp:posOffset>
            </wp:positionV>
            <wp:extent cx="269684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-1412240</wp:posOffset>
            </wp:positionV>
            <wp:extent cx="269684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-718820</wp:posOffset>
            </wp:positionV>
            <wp:extent cx="269684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-384810</wp:posOffset>
            </wp:positionV>
            <wp:extent cx="269684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115,769</w:t>
            </w:r>
          </w:p>
        </w:tc>
        <w:tc>
          <w:tcPr>
            <w:tcW w:w="3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25,329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of rental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258,146</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Amortization of finance lease right-of-use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of note discount, net of premium amortization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Non-cash operating lease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14,212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Provision for inventory obsolescence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35,386</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7,304</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goodwill</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Loss on sale of discontinued operations</w:t>
            </w:r>
          </w:p>
        </w:tc>
        <w:tc>
          <w:tcPr>
            <w:tcW w:w="360" w:type="dxa"/>
            <w:vAlign w:val="bottom"/>
          </w:tcPr>
          <w:p>
            <w:pPr>
              <w:spacing w:after="0"/>
              <w:rPr>
                <w:sz w:val="20"/>
                <w:szCs w:val="20"/>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from sales of property and equipment, net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(1,866 )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(2,911 )</w:t>
            </w: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Gain from sales of rental equipment, net</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(72,856 )</w:t>
            </w: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(28,126 )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(32,201 )</w:t>
            </w: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(47,827 )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(101,771 )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(84,518 )</w:t>
            </w: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8,107</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(8,351 )</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Manufacturer flooring plans payable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(4,300 )</w:t>
            </w:r>
          </w:p>
        </w:tc>
        <w:tc>
          <w:tcPr>
            <w:tcW w:w="0" w:type="dxa"/>
            <w:vAlign w:val="bottom"/>
          </w:tcPr>
          <w:p>
            <w:pPr>
              <w:spacing w:after="0"/>
              <w:rPr>
                <w:sz w:val="1"/>
                <w:szCs w:val="1"/>
                <w:color w:val="auto"/>
              </w:rPr>
            </w:pPr>
          </w:p>
        </w:tc>
      </w:tr>
      <w:tr>
        <w:trPr>
          <w:trHeight w:val="24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Accrued expenses payable and other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10,867</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276,502</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Closing adjustment on sale of discontinued operations</w:t>
            </w:r>
          </w:p>
        </w:tc>
        <w:tc>
          <w:tcPr>
            <w:tcW w:w="360" w:type="dxa"/>
            <w:vAlign w:val="bottom"/>
          </w:tcPr>
          <w:p>
            <w:pPr>
              <w:spacing w:after="0"/>
              <w:rPr>
                <w:sz w:val="20"/>
                <w:szCs w:val="20"/>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(2,256 )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(55,412 )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(36,327 )</w:t>
            </w: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Purchases of rental equipment</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(522,596 )</w:t>
            </w: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(337,156 )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sales of property and equipment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sales of rental equipment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123,480</w:t>
            </w:r>
          </w:p>
        </w:tc>
        <w:tc>
          <w:tcPr>
            <w:tcW w:w="3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(452,036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on senior secured credit facility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1,332,449</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895,845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Payments on senior secured credit facility</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(1,190,215 )</w:t>
            </w: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(895,845 )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(30,017 )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(29,871 )</w:t>
            </w:r>
          </w:p>
        </w:tc>
        <w:tc>
          <w:tcPr>
            <w:tcW w:w="0" w:type="dxa"/>
            <w:vAlign w:val="bottom"/>
          </w:tcPr>
          <w:p>
            <w:pPr>
              <w:spacing w:after="0"/>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Purchases of treasury stock</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(6,053 )</w:t>
            </w:r>
          </w:p>
        </w:tc>
        <w:tc>
          <w:tcPr>
            <w:tcW w:w="5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(1,631 )</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financing costs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(4,939 )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Payments of finance lease obligations</w:t>
            </w:r>
          </w:p>
        </w:tc>
        <w:tc>
          <w:tcPr>
            <w:tcW w:w="360" w:type="dxa"/>
            <w:vAlign w:val="bottom"/>
          </w:tcPr>
          <w:p>
            <w:pPr>
              <w:spacing w:after="0"/>
              <w:rPr>
                <w:sz w:val="21"/>
                <w:szCs w:val="21"/>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(102 )</w:t>
            </w:r>
          </w:p>
        </w:tc>
        <w:tc>
          <w:tcPr>
            <w:tcW w:w="5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101,123</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19"/>
                <w:szCs w:val="19"/>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(74,411 )</w:t>
            </w:r>
          </w:p>
        </w:tc>
        <w:tc>
          <w:tcPr>
            <w:tcW w:w="5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(136,817 )</w:t>
            </w:r>
          </w:p>
        </w:tc>
        <w:tc>
          <w:tcPr>
            <w:tcW w:w="0" w:type="dxa"/>
            <w:vAlign w:val="bottom"/>
          </w:tcPr>
          <w:p>
            <w:pPr>
              <w:spacing w:after="0"/>
              <w:rPr>
                <w:sz w:val="1"/>
                <w:szCs w:val="1"/>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81,330</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w:t>
            </w:r>
          </w:p>
        </w:tc>
        <w:tc>
          <w:tcPr>
            <w:tcW w:w="3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-3509645</wp:posOffset>
            </wp:positionV>
            <wp:extent cx="7683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-3509645</wp:posOffset>
            </wp:positionV>
            <wp:extent cx="685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-2251075</wp:posOffset>
            </wp:positionV>
            <wp:extent cx="7683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-1001395</wp:posOffset>
            </wp:positionV>
            <wp:extent cx="7683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-684530</wp:posOffset>
            </wp:positionV>
            <wp:extent cx="7683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H&amp;E EQUIPMENT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Nine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6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asset purchases:</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Assets transferred from used and new inventory to rental fleet</w:t>
            </w: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72,590</w:t>
            </w:r>
          </w:p>
        </w:tc>
        <w:tc>
          <w:tcPr>
            <w:tcW w:w="28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42,338</w:t>
            </w:r>
          </w:p>
        </w:tc>
        <w:tc>
          <w:tcPr>
            <w:tcW w:w="100" w:type="dxa"/>
            <w:vAlign w:val="bottom"/>
          </w:tcPr>
          <w:p>
            <w:pPr>
              <w:spacing w:after="0"/>
              <w:rPr>
                <w:sz w:val="21"/>
                <w:szCs w:val="2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63"/>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w w:val="94"/>
              </w:rPr>
              <w:t>Purchases of property and equipment included in accrued expenses payable and other liabilities</w:t>
            </w:r>
          </w:p>
        </w:tc>
        <w:tc>
          <w:tcPr>
            <w:tcW w:w="1020" w:type="dxa"/>
            <w:vAlign w:val="bottom"/>
            <w:tcBorders>
              <w:top w:val="single" w:sz="8" w:color="auto"/>
              <w:bottom w:val="single" w:sz="8" w:color="auto"/>
            </w:tcBorders>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660" w:type="dxa"/>
            <w:vAlign w:val="bottom"/>
          </w:tcPr>
          <w:p>
            <w:pPr>
              <w:ind w:left="38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26,946</w:t>
            </w:r>
          </w:p>
        </w:tc>
        <w:tc>
          <w:tcPr>
            <w:tcW w:w="8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66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9"/>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Interest</w:t>
            </w:r>
          </w:p>
        </w:tc>
        <w:tc>
          <w:tcPr>
            <w:tcW w:w="1020" w:type="dxa"/>
            <w:vAlign w:val="bottom"/>
            <w:tcBorders>
              <w:bottom w:val="single" w:sz="8" w:color="auto"/>
            </w:tcBorders>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29,131</w:t>
            </w:r>
          </w:p>
        </w:tc>
        <w:tc>
          <w:tcPr>
            <w:tcW w:w="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60" w:type="dxa"/>
            <w:vAlign w:val="bottom"/>
          </w:tcPr>
          <w:p>
            <w:pPr>
              <w:ind w:left="380"/>
              <w:spacing w:after="0"/>
              <w:rPr>
                <w:sz w:val="20"/>
                <w:szCs w:val="20"/>
                <w:color w:val="auto"/>
              </w:rPr>
            </w:pPr>
            <w:r>
              <w:rPr>
                <w:rFonts w:ascii="Arial" w:cs="Arial" w:eastAsia="Arial" w:hAnsi="Arial"/>
                <w:sz w:val="18"/>
                <w:szCs w:val="18"/>
                <w:color w:val="auto"/>
              </w:rPr>
              <w:t>Income taxes paid, net of refunds received</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4,812</w:t>
            </w:r>
          </w:p>
        </w:tc>
        <w:tc>
          <w:tcPr>
            <w:tcW w:w="8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-872490</wp:posOffset>
            </wp:positionV>
            <wp:extent cx="125857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58570" cy="20574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-205105</wp:posOffset>
            </wp:positionV>
            <wp:extent cx="125857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8570" cy="20574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left="340" w:right="2660"/>
        <w:spacing w:after="0" w:line="265" w:lineRule="auto"/>
        <w:rPr>
          <w:sz w:val="20"/>
          <w:szCs w:val="20"/>
          <w:color w:val="auto"/>
        </w:rPr>
      </w:pPr>
      <w:r>
        <w:rPr>
          <w:rFonts w:ascii="Arial" w:cs="Arial" w:eastAsia="Arial" w:hAnsi="Arial"/>
          <w:sz w:val="18"/>
          <w:szCs w:val="18"/>
          <w:b w:val="1"/>
          <w:bCs w:val="1"/>
          <w:color w:val="auto"/>
        </w:rPr>
        <w:t>H&amp;E EQUIPMENT SERVICES, INC. AND SUBSIDIARIES NOTES TO CONDENSED CONSOLIDATED FINANCIAL STATEMENTS (Unaudited)</w:t>
      </w:r>
    </w:p>
    <w:p>
      <w:pPr>
        <w:spacing w:after="0" w:line="177" w:lineRule="exact"/>
        <w:rPr>
          <w:sz w:val="20"/>
          <w:szCs w:val="20"/>
          <w:color w:val="auto"/>
        </w:rPr>
      </w:pPr>
    </w:p>
    <w:p>
      <w:pPr>
        <w:ind w:left="380" w:right="7920" w:hanging="372"/>
        <w:spacing w:after="0" w:line="377" w:lineRule="auto"/>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 Basis of Presentation</w:t>
      </w:r>
    </w:p>
    <w:p>
      <w:pPr>
        <w:spacing w:after="0" w:line="1"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Our condensed consolidated financial statements include the financial position and results of operations of H&amp;E Equipment Services, Inc. and its wholly-owned subsidiaries H&amp;E Finance Corp., GNE Investments, Inc., Great Northern Equipment, Inc., H&amp;E California Holding, Inc., H&amp;E Equipment Services (California), LLC, H&amp;E Equipment Services (Midwest), Inc. and H&amp;E Equipment Services (Mid-Atlantic), Inc., collectively referred to herein as “we”, “us”, “our” or the “Company.”</w:t>
      </w:r>
    </w:p>
    <w:p>
      <w:pPr>
        <w:spacing w:after="0" w:line="145"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for interim financial information and with the instructions to Form 10-Q and Rule 10-01 of Regulation S-X. Accordingly, certain information and footnote disclosures normally included in financial statements prepared in accordance with accounting principles generally accepted in the United States of America have been condensed or omitted pursuant to such regulations. In the opinion of management, all adjustments (consisting of all normal and recurring adjustments) considered necessary for a fair presentation have been included. Operating results for the three and nine months ended September 30, 2023 are not necessarily indicative of the results that may be expected for the year ending December 31, 2023, and therefore, the results and trends in these interim condensed consolidated financial statements may not be the same for the entire year. These interim condensed consolidated financial statements should be read in conjunction with the annual audited consolidated financial statements and related notes in our Annual Report on Form 10-K for the year ended December 31, 2022, from which the consolidated balance sheet amounts as of December 31, 2022 were derived. All significant intercompany accounts and transactions have been eliminated in these condensed consolidated financial statements.</w:t>
      </w:r>
    </w:p>
    <w:p>
      <w:pPr>
        <w:spacing w:after="0" w:line="138"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On October 1, 2021, the Company sold its crane business (the “Crane Sale”) and during June 2022, closing adjustments were finalized. The results of operations of the Crane Sale are reported in discontinued operations in the Condensed Consolidated Statements of Income for the 2022 period presented. All results and information in the consolidated financial statements are presented as continuing operations and exclude the Crane Sale unless otherwise noted specifically as discontinued operations. The Condensed Consolidated Statements of Cash Flows include cash flows related to the discontinued operations and accordingly, cash flow amounts for discontinued operations are disclosed in Note 3 “Acquisitions and Dispositions”. For additional information, refer to Note 3.</w:t>
      </w:r>
    </w:p>
    <w:p>
      <w:pPr>
        <w:spacing w:after="0" w:line="150"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The nature of our business is such that short-term obligations are typically met by cash flows generated from long-term assets. Consequently, the accompanying condensed consolidated balance sheets are presented on an unclassified basis.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Founded in 1961, H&amp;E Equipment Services, Inc. is one of the largest rental equipment companies in the nation, serving customers at our 131 branch locations across 30 states. The Company’s fleet is comprised of aerial work platforms, earthmoving, material handling, and other general and specialty lines. H&amp;E serves a diverse set of end markets in many high-growth geographies including branches throughout the Pacific Northwest, West Coast, Intermountain, Southwest, Gulf Coast, Southeast, Midwest and Mid-Atlantic regions.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We describe our significant accounting policies in Note 2 of the notes to Consolidated Financial Statements in our Annual Report on Form 10-K for the year ended December 31, 2022. During the three and nine months ended September 30, 2023, there were no significant changes to those accounting policies.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and cash equivalents include cash on hand and highly liquid investments with an original maturity of three months or less.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which requires management to use its judgment to make estimates and assumptions that affect the reported amounts of assets and liabilities and related disclosures at the date of the consolidated financial statements and the reported amounts of revenues and expenses during the reported period. These assumptions and estimates could have a material effect on our condensed consolidated financial statements. Actual results may differ materially from those estimates. We review our estimates on an ongoing basis based on information currently available, and changes in facts and circumstances may cause us to revise these estimates.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ind w:left="3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auto"/>
        </w:rPr>
        <w:t>Certain reclassifications have been made to prior period amounts in the Condensed Consolidated Statements of Income to conform to the current period presentation. These reclassifications did not have a material impact on previously reported amounts.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We recognize revenue in accordance with two different Financial Accounting Standards Board (“FASB”) Accounting Standards Codification (“ASC”) standards: 1) Topic 606 and 2) Topic 842.</w:t>
      </w:r>
    </w:p>
    <w:p>
      <w:pPr>
        <w:spacing w:after="0" w:line="129"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Under Topic 606, Revenue from Contracts with Customers, revenue is recognized when control of the promised goods or services are transferred to our customers, in an amount that reflects the consideration we expect to be entitled to in exchange for those goods or services. Revenue is measured based on the consideration specified in the contract with the customer, and excludes any sales incentives and amounts collected on behalf of third parties. A performance obligation is a promise in a contract to transfer a distinct good or service to a customer. Our contracts with customers generally do not include multiple performance obligations. We recognize revenue when we satisfy a performance obligation by transferring control over a product or service to a customer. The amount of revenue recognized reflects the consideration we expect to be entitled to in exchange for such products or services.</w:t>
      </w:r>
    </w:p>
    <w:p>
      <w:pPr>
        <w:spacing w:after="0" w:line="136"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Under Topic 842, Leases, we account for equipment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Because the rental contracts can extend across multiple reporting periods, we record unbilled rental revenues and deferred rental revenues at the end of reporting periods so rental revenues earned is appropriately stated for the periods presented.</w:t>
      </w:r>
    </w:p>
    <w:p>
      <w:pPr>
        <w:spacing w:after="0" w:line="115"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In the table below, revenues as presented in our condensed consolidated statements of income for the three and nine months ended September 30, 2023 and 2022 are summarized by type and by the applicable accounting standard.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Topic 842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Topic 606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Topic 842</w:t>
            </w:r>
          </w:p>
        </w:tc>
        <w:tc>
          <w:tcPr>
            <w:tcW w:w="12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Topic 606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0"/>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Rental revenues</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ind w:left="200"/>
              <w:spacing w:after="0"/>
              <w:rPr>
                <w:sz w:val="20"/>
                <w:szCs w:val="20"/>
                <w:color w:val="auto"/>
              </w:rPr>
            </w:pPr>
            <w:r>
              <w:rPr>
                <w:rFonts w:ascii="Arial" w:cs="Arial" w:eastAsia="Arial" w:hAnsi="Arial"/>
                <w:sz w:val="18"/>
                <w:szCs w:val="18"/>
                <w:color w:val="auto"/>
              </w:rPr>
              <w:t>Owned equipment rentals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271,019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271,151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215,599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215,685</w:t>
            </w:r>
          </w:p>
        </w:tc>
        <w:tc>
          <w:tcPr>
            <w:tcW w:w="100" w:type="dxa"/>
            <w:vAlign w:val="bottom"/>
          </w:tcPr>
          <w:p>
            <w:pPr>
              <w:spacing w:after="0"/>
              <w:rPr>
                <w:sz w:val="20"/>
                <w:szCs w:val="20"/>
                <w:color w:val="auto"/>
              </w:rPr>
            </w:pPr>
          </w:p>
        </w:tc>
      </w:tr>
      <w:tr>
        <w:trPr>
          <w:trHeight w:val="249"/>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Re-rent revenue</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8,441</w:t>
            </w:r>
          </w:p>
        </w:tc>
        <w:tc>
          <w:tcPr>
            <w:tcW w:w="100" w:type="dxa"/>
            <w:vAlign w:val="bottom"/>
            <w:shd w:val="clear" w:color="auto" w:fill="CFF0FC"/>
          </w:tcPr>
          <w:p>
            <w:pPr>
              <w:spacing w:after="0"/>
              <w:rPr>
                <w:sz w:val="21"/>
                <w:szCs w:val="2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Ancillary and other rental revenues: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Delivery and pick-up</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15,646</w:t>
            </w:r>
          </w:p>
        </w:tc>
        <w:tc>
          <w:tcPr>
            <w:tcW w:w="100" w:type="dxa"/>
            <w:vAlign w:val="bottom"/>
            <w:shd w:val="clear" w:color="auto" w:fill="CFF0FC"/>
          </w:tcPr>
          <w:p>
            <w:pPr>
              <w:spacing w:after="0"/>
              <w:rPr>
                <w:sz w:val="21"/>
                <w:szCs w:val="21"/>
                <w:color w:val="auto"/>
              </w:rPr>
            </w:pPr>
          </w:p>
        </w:tc>
      </w:tr>
      <w:tr>
        <w:trPr>
          <w:trHeight w:val="236"/>
        </w:trPr>
        <w:tc>
          <w:tcPr>
            <w:tcW w:w="464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tcPr>
          <w:p>
            <w:pPr>
              <w:spacing w:after="0"/>
              <w:rPr>
                <w:sz w:val="20"/>
                <w:szCs w:val="20"/>
                <w:color w:val="auto"/>
              </w:rPr>
            </w:pPr>
          </w:p>
        </w:tc>
      </w:tr>
      <w:tr>
        <w:trPr>
          <w:trHeight w:val="236"/>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ancillary rental revenues</w:t>
            </w: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16,464</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15,646</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Total equipment rental revenues</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296,589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315,811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237,832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253,564</w:t>
            </w:r>
          </w:p>
        </w:tc>
        <w:tc>
          <w:tcPr>
            <w:tcW w:w="100" w:type="dxa"/>
            <w:vAlign w:val="bottom"/>
          </w:tcPr>
          <w:p>
            <w:pPr>
              <w:spacing w:after="0"/>
              <w:rPr>
                <w:sz w:val="20"/>
                <w:szCs w:val="20"/>
                <w:color w:val="auto"/>
              </w:rPr>
            </w:pPr>
          </w:p>
        </w:tc>
      </w:tr>
      <w:tr>
        <w:trPr>
          <w:trHeight w:val="242"/>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Used equipment sales</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20,300</w:t>
            </w:r>
          </w:p>
        </w:tc>
        <w:tc>
          <w:tcPr>
            <w:tcW w:w="100" w:type="dxa"/>
            <w:vAlign w:val="bottom"/>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New equipment sales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12,633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12,633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23,491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23,491</w:t>
            </w:r>
          </w:p>
        </w:tc>
        <w:tc>
          <w:tcPr>
            <w:tcW w:w="100" w:type="dxa"/>
            <w:vAlign w:val="bottom"/>
          </w:tcPr>
          <w:p>
            <w:pPr>
              <w:spacing w:after="0"/>
              <w:rPr>
                <w:sz w:val="20"/>
                <w:szCs w:val="20"/>
                <w:color w:val="auto"/>
              </w:rPr>
            </w:pP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Parts sales</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16,745</w:t>
            </w:r>
          </w:p>
        </w:tc>
        <w:tc>
          <w:tcPr>
            <w:tcW w:w="100" w:type="dxa"/>
            <w:vAlign w:val="bottom"/>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6,739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8,610</w:t>
            </w:r>
          </w:p>
        </w:tc>
        <w:tc>
          <w:tcPr>
            <w:tcW w:w="100" w:type="dxa"/>
            <w:vAlign w:val="bottom"/>
          </w:tcPr>
          <w:p>
            <w:pPr>
              <w:spacing w:after="0"/>
              <w:rPr>
                <w:sz w:val="20"/>
                <w:szCs w:val="20"/>
                <w:color w:val="auto"/>
              </w:rPr>
            </w:pPr>
          </w:p>
        </w:tc>
      </w:tr>
      <w:tr>
        <w:trPr>
          <w:trHeight w:val="243"/>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296,589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104,107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400,696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237,832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86,448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324,280</w:t>
            </w:r>
          </w:p>
        </w:tc>
        <w:tc>
          <w:tcPr>
            <w:tcW w:w="10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4"/>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-1617345</wp:posOffset>
            </wp:positionV>
            <wp:extent cx="7683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-1617345</wp:posOffset>
            </wp:positionV>
            <wp:extent cx="7683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-1617345</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-1617345</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-1617345</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-675640</wp:posOffset>
            </wp:positionV>
            <wp:extent cx="768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-675640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-675640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-675640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-675640</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Topic 842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Topic 606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Topic 842</w:t>
            </w:r>
          </w:p>
        </w:tc>
        <w:tc>
          <w:tcPr>
            <w:tcW w:w="12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Topic 606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0"/>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Rental revenues</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ind w:left="200"/>
              <w:spacing w:after="0"/>
              <w:rPr>
                <w:sz w:val="20"/>
                <w:szCs w:val="20"/>
                <w:color w:val="auto"/>
              </w:rPr>
            </w:pPr>
            <w:r>
              <w:rPr>
                <w:rFonts w:ascii="Arial" w:cs="Arial" w:eastAsia="Arial" w:hAnsi="Arial"/>
                <w:sz w:val="18"/>
                <w:szCs w:val="18"/>
                <w:color w:val="auto"/>
              </w:rPr>
              <w:t>Owned equipment rentals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745,317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745,699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580,032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580,304</w:t>
            </w:r>
          </w:p>
        </w:tc>
        <w:tc>
          <w:tcPr>
            <w:tcW w:w="100" w:type="dxa"/>
            <w:vAlign w:val="bottom"/>
          </w:tcPr>
          <w:p>
            <w:pPr>
              <w:spacing w:after="0"/>
              <w:rPr>
                <w:sz w:val="20"/>
                <w:szCs w:val="20"/>
                <w:color w:val="auto"/>
              </w:rPr>
            </w:pPr>
          </w:p>
        </w:tc>
      </w:tr>
      <w:tr>
        <w:trPr>
          <w:trHeight w:val="249"/>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Re-rent revenue</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22,247</w:t>
            </w:r>
          </w:p>
        </w:tc>
        <w:tc>
          <w:tcPr>
            <w:tcW w:w="100" w:type="dxa"/>
            <w:vAlign w:val="bottom"/>
            <w:shd w:val="clear" w:color="auto" w:fill="CFF0FC"/>
          </w:tcPr>
          <w:p>
            <w:pPr>
              <w:spacing w:after="0"/>
              <w:rPr>
                <w:sz w:val="21"/>
                <w:szCs w:val="2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Ancillary and other rental revenues: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
        </w:trPr>
        <w:tc>
          <w:tcPr>
            <w:tcW w:w="4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Delivery and pick-up</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52,255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52,255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40,645</w:t>
            </w:r>
          </w:p>
        </w:tc>
        <w:tc>
          <w:tcPr>
            <w:tcW w:w="100" w:type="dxa"/>
            <w:vAlign w:val="bottom"/>
            <w:shd w:val="clear" w:color="auto" w:fill="CFF0FC"/>
          </w:tcPr>
          <w:p>
            <w:pPr>
              <w:spacing w:after="0"/>
              <w:rPr>
                <w:sz w:val="21"/>
                <w:szCs w:val="21"/>
                <w:color w:val="auto"/>
              </w:rPr>
            </w:pPr>
          </w:p>
        </w:tc>
      </w:tr>
      <w:tr>
        <w:trPr>
          <w:trHeight w:val="236"/>
        </w:trPr>
        <w:tc>
          <w:tcPr>
            <w:tcW w:w="464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45,967</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37,170</w:t>
            </w:r>
          </w:p>
        </w:tc>
        <w:tc>
          <w:tcPr>
            <w:tcW w:w="100" w:type="dxa"/>
            <w:vAlign w:val="bottom"/>
          </w:tcPr>
          <w:p>
            <w:pPr>
              <w:spacing w:after="0"/>
              <w:rPr>
                <w:sz w:val="20"/>
                <w:szCs w:val="20"/>
                <w:color w:val="auto"/>
              </w:rPr>
            </w:pPr>
          </w:p>
        </w:tc>
      </w:tr>
      <w:tr>
        <w:trPr>
          <w:trHeight w:val="236"/>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ancillary rental revenues</w:t>
            </w: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45,967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98,222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40,645</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Total equipment rental revenues</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816,641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52,637</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869,278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639,449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680,366</w:t>
            </w:r>
          </w:p>
        </w:tc>
        <w:tc>
          <w:tcPr>
            <w:tcW w:w="100" w:type="dxa"/>
            <w:vAlign w:val="bottom"/>
          </w:tcPr>
          <w:p>
            <w:pPr>
              <w:spacing w:after="0"/>
              <w:rPr>
                <w:sz w:val="20"/>
                <w:szCs w:val="20"/>
                <w:color w:val="auto"/>
              </w:rPr>
            </w:pPr>
          </w:p>
        </w:tc>
      </w:tr>
      <w:tr>
        <w:trPr>
          <w:trHeight w:val="242"/>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Used equipment sales</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124,476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124,476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60,659</w:t>
            </w:r>
          </w:p>
        </w:tc>
        <w:tc>
          <w:tcPr>
            <w:tcW w:w="100" w:type="dxa"/>
            <w:vAlign w:val="bottom"/>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New equipment sales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29,308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29,308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71,013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71,013</w:t>
            </w:r>
          </w:p>
        </w:tc>
        <w:tc>
          <w:tcPr>
            <w:tcW w:w="100" w:type="dxa"/>
            <w:vAlign w:val="bottom"/>
          </w:tcPr>
          <w:p>
            <w:pPr>
              <w:spacing w:after="0"/>
              <w:rPr>
                <w:sz w:val="20"/>
                <w:szCs w:val="20"/>
                <w:color w:val="auto"/>
              </w:rPr>
            </w:pP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Parts sales</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48,976</w:t>
            </w:r>
          </w:p>
        </w:tc>
        <w:tc>
          <w:tcPr>
            <w:tcW w:w="100" w:type="dxa"/>
            <w:vAlign w:val="bottom"/>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21,058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21,058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25,633</w:t>
            </w:r>
          </w:p>
        </w:tc>
        <w:tc>
          <w:tcPr>
            <w:tcW w:w="100" w:type="dxa"/>
            <w:vAlign w:val="bottom"/>
          </w:tcPr>
          <w:p>
            <w:pPr>
              <w:spacing w:after="0"/>
              <w:rPr>
                <w:sz w:val="20"/>
                <w:szCs w:val="20"/>
                <w:color w:val="auto"/>
              </w:rPr>
            </w:pPr>
          </w:p>
        </w:tc>
      </w:tr>
      <w:tr>
        <w:trPr>
          <w:trHeight w:val="243"/>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816,641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266,769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1,083,410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639,449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251,952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891,401</w:t>
            </w:r>
          </w:p>
        </w:tc>
        <w:tc>
          <w:tcPr>
            <w:tcW w:w="100" w:type="dxa"/>
            <w:vAlign w:val="bottom"/>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-1129665</wp:posOffset>
            </wp:positionV>
            <wp:extent cx="7683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-1129665</wp:posOffset>
            </wp:positionV>
            <wp:extent cx="7683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-1129665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-1129665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-1129665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-187960</wp:posOffset>
            </wp:positionV>
            <wp:extent cx="7683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-187960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62"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Revenues by reporting segment are presented in Note 11 of our Condensed Consolidated Financial Statements, using the revenue captions reflected in our Consolidated Statements of Income. We believe that the disaggregation of our revenues from contracts to customers as reflected above, coupled with further discussion below and the reporting segments in Note 11, depict how the nature, amount, timing and uncertainty of our revenues and cash flows are affected by economic factors. For further information related to our accounting for revenues pursuant to Topic 606 and Topic 842, see Significant Accounting Policies in Note 2 to our Annual Report on Form 10-K for the year ended December 31, 2022.</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Receivables and contract assets and liabilities</w:t>
      </w:r>
    </w:p>
    <w:p>
      <w:pPr>
        <w:spacing w:after="0" w:line="117"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We manage credit risk associated with our accounts receivables at the customer level. Because the same customers typically generate the revenues that are accounted for under both Topic 606 and Topic 842, the discussions below on credit risk and our allowance for doubtful accounts address our total revenues from Topic 606 and Topic 842.</w:t>
      </w:r>
    </w:p>
    <w:p>
      <w:pPr>
        <w:spacing w:after="0" w:line="156" w:lineRule="exact"/>
        <w:rPr>
          <w:sz w:val="20"/>
          <w:szCs w:val="20"/>
          <w:color w:val="auto"/>
        </w:rPr>
      </w:pPr>
    </w:p>
    <w:p>
      <w:pPr>
        <w:ind w:right="180" w:firstLine="374"/>
        <w:spacing w:after="0" w:line="311" w:lineRule="auto"/>
        <w:rPr>
          <w:sz w:val="20"/>
          <w:szCs w:val="20"/>
          <w:color w:val="auto"/>
        </w:rPr>
      </w:pPr>
      <w:r>
        <w:rPr>
          <w:rFonts w:ascii="Arial" w:cs="Arial" w:eastAsia="Arial" w:hAnsi="Arial"/>
          <w:sz w:val="16"/>
          <w:szCs w:val="16"/>
          <w:color w:val="auto"/>
        </w:rPr>
        <w:t>We believe concentration of credit risk with respect to our receivables is limited because our customer base is comprised of a large number of geographically diverse customers. No single customer accounted for more than 10% of our revenues on an overall or segment basis for any of the periods presented in this Quarterly Report on Form 10-Q. We manage credit risk through credit approvals, credit limits and other monitoring procedures.</w:t>
      </w:r>
    </w:p>
    <w:p>
      <w:pPr>
        <w:spacing w:after="0" w:line="107" w:lineRule="exact"/>
        <w:rPr>
          <w:sz w:val="20"/>
          <w:szCs w:val="20"/>
          <w:color w:val="auto"/>
        </w:rPr>
      </w:pPr>
    </w:p>
    <w:p>
      <w:pPr>
        <w:ind w:right="40" w:firstLine="374"/>
        <w:spacing w:after="0" w:line="287" w:lineRule="auto"/>
        <w:rPr>
          <w:sz w:val="20"/>
          <w:szCs w:val="20"/>
          <w:color w:val="auto"/>
        </w:rPr>
      </w:pPr>
      <w:r>
        <w:rPr>
          <w:rFonts w:ascii="Arial" w:cs="Arial" w:eastAsia="Arial" w:hAnsi="Arial"/>
          <w:sz w:val="16"/>
          <w:szCs w:val="16"/>
          <w:color w:val="auto"/>
        </w:rPr>
        <w:t>Pursuant to Topic 842 and Topic 326 for rental and non-rental receivables, respectively, we maintain an allowance for doubtful accounts that reflects our estimate of our expected credit losses. Our allowance is estimated using a loss rate model based on delinquency. The estimated loss rate is based on our historical experience with specific customers, our understanding of our current economic circumstances, reasonable and supportable forecasts, and our own judgment as to the likelihood of ultimate payment based upon available data. Our largest exposure to doubtful accounts is our rental operations, which as discussed above is accounted for under Topic 842 and as of September 30, 2023 represents 80.2% of our total revenues and an approximate corresponding percentage of our receivables, net and associated allowance for doubtful accounts. We perform credit evaluations of customers and establish credit limits based on reviews of our customers’ current credit information and payment histories. We believe our credit risk is somewhat mitigated by our geographically diverse customer base and our credit evaluation procedures. The actual rate of future credit losses, however, may not be similar to past experience. Our estimate of doubtful accounts could change based on changing circumstances, including changes in the economy or in the particular circumstances of individual customers. Accordingly, we may be required to increase or decrease our allowance for doubtful accounts. Bad debt expense as a percentage of total revenues for both the nine months ended September 30, 2023 and 2022 were approximately 0.3%.</w:t>
      </w:r>
    </w:p>
    <w:p>
      <w:pPr>
        <w:spacing w:after="0" w:line="128" w:lineRule="exact"/>
        <w:rPr>
          <w:sz w:val="20"/>
          <w:szCs w:val="20"/>
          <w:color w:val="auto"/>
        </w:rPr>
      </w:pPr>
    </w:p>
    <w:p>
      <w:pPr>
        <w:ind w:right="420" w:firstLine="374"/>
        <w:spacing w:after="0" w:line="259" w:lineRule="auto"/>
        <w:rPr>
          <w:sz w:val="20"/>
          <w:szCs w:val="20"/>
          <w:color w:val="auto"/>
        </w:rPr>
      </w:pPr>
      <w:r>
        <w:rPr>
          <w:rFonts w:ascii="Arial" w:cs="Arial" w:eastAsia="Arial" w:hAnsi="Arial"/>
          <w:sz w:val="18"/>
          <w:szCs w:val="18"/>
          <w:color w:val="auto"/>
        </w:rPr>
        <w:t>We do not have material contract assets, impairment losses associated therewith, or material contract liabilities associated with contracts with customers. Our contracts with customers do not generally result in material amounts billed to customers in excess of recognizable revenue. We did not recognize material revenues during the three months ended September 30, 2023 and 2022 that was included in the contract liability balance as of the beginning of such periods.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ind w:left="38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Goodwill is recorded as the excess of the consideration transferred plus the fair value of any non-controlling interest in the acquiree at the acquisition date over the fair values of the identifiable net assets acquired.</w:t>
      </w:r>
    </w:p>
    <w:p>
      <w:pPr>
        <w:spacing w:after="0" w:line="129"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auto"/>
        </w:rPr>
        <w:t>We evaluate goodwill for impairment at least annually, as of October 1, or more frequently if triggering events occur or other impairment indicators arise that would more likely than not reduce the fair value of a reporting unit below its carrying amount. Impairment of goodwill is evaluated at the reporting unit level. A reporting unit is defined as an operating segment (i.e., before aggregation or combination), or one level below an operating segment (i.e., a component). A component of an operating segment is a reporting unit if the component constitutes a business for which discrete financial information is available and segment management regularly reviews the operating results of that component. We have identified that our five operating segments (Equipment Rentals, Used Equipment Sales, New Equipment Sales, Parts Sales and Service Revenues) each represent a reporting unit.</w:t>
      </w:r>
    </w:p>
    <w:p>
      <w:pPr>
        <w:spacing w:after="0" w:line="136" w:lineRule="exact"/>
        <w:rPr>
          <w:sz w:val="20"/>
          <w:szCs w:val="20"/>
          <w:color w:val="auto"/>
        </w:rPr>
      </w:pPr>
    </w:p>
    <w:p>
      <w:pPr>
        <w:ind w:right="220" w:firstLine="374"/>
        <w:spacing w:after="0" w:line="296" w:lineRule="auto"/>
        <w:rPr>
          <w:sz w:val="20"/>
          <w:szCs w:val="20"/>
          <w:color w:val="auto"/>
        </w:rPr>
      </w:pPr>
      <w:r>
        <w:rPr>
          <w:rFonts w:ascii="Arial" w:cs="Arial" w:eastAsia="Arial" w:hAnsi="Arial"/>
          <w:sz w:val="16"/>
          <w:szCs w:val="16"/>
          <w:color w:val="auto"/>
        </w:rPr>
        <w:t>Topic 350 consists of a one-step assessment to determine whether goodwill is impaired requiring an entity to compare each reporting unit’s carrying value, including goodwill, with its fair value. An entity should recognize a goodwill impairment charge for the amount by which the carrying amount exceeds the reporting unit’s fair value, limited to the total amount of goodwill allocated to the reporting unit. An entity also has an option to perform a qualitative assessment to determine if the quantitative impairment test is necessary. Considerable judgment is required by management in performing the qualitative assessment to determine whether it is more likely than not that the fair value of a reporting unit is less than its carrying value.</w:t>
      </w:r>
    </w:p>
    <w:p>
      <w:pPr>
        <w:spacing w:after="0" w:line="119"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Based on our evaluation of our Parts Sales reporting unit and operating segment during the third quarter of 2023, we identified a triggering event requiring an interim impairment test. This triggering event related to a sustained parts segment decline in volume and actual revenue and earnings compared with our planned revenue and earnings utilized in our most recent quantitative goodwill impairment analysis following our business’s dispositions and strategic shift to be rental focused. Additional information on our dispositions is included in Footnote 3. No triggering event was identified related to our Equipment Rental and Used Equipment Sales reporting units.</w:t>
      </w:r>
    </w:p>
    <w:p>
      <w:pPr>
        <w:spacing w:after="0" w:line="150"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We estimated the fair value of our Parts Sales reporting unit by weighting results from the income approach and the market approach and concluded that our Parts Sales reporting unit had a fair value less than its carrying value, resulting in a $5.7 million impairment charge. The impairment was largely due to a current year decrease in parts revenues as a result of our business’s strategic shift and recent dispositions. This revenue decline, combined with our forecasted parts revenues growth rate and operating results assumptions for the forecast period under the income approach, resulted in a fair value determination, that when combined with the weighted fair value of the reporting unit determined under the market approach, was less than the reporting unit’s carrying value.</w:t>
      </w:r>
    </w:p>
    <w:p>
      <w:pPr>
        <w:spacing w:after="0" w:line="164"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Significant assumptions inherent in the valuation methodologies for goodwill are employed and include, prospective financial information, growth rates, terminal value, discount rates, and comparable multiples from publicly traded companies in our industry. The inputs and variables used in determining the fair value of a reporting unit require management to make certain assumptions regarding the impact of operating and macroeconomic changes, as well as estimates of future cash flows. Our estimates regarding future cash flows are based on historical experience and projections of future operating performance, including revenues, margins and operating expenses. We also make certain forecasts about future economic conditions, such as the timing and duration of economic expansion or contraction cycles in our business, interest rates, and other market data. Many of the factors used in assessing fair value are outside the control of management, and these assumptions and estimates may change in future periods. An adverse change in any of the assumptions used in our impairment testing (e.g., projected revenue and profit, discount rates, industry price multiples, etc.) could affect our fair value measurements and result in future impairments. If we are unable to achieve the financial forecasts used in our impairment analysis, we may also be required to record an impairment charge to our goodwill.</w:t>
      </w:r>
    </w:p>
    <w:p>
      <w:pPr>
        <w:spacing w:after="0" w:line="142" w:lineRule="exact"/>
        <w:rPr>
          <w:sz w:val="20"/>
          <w:szCs w:val="20"/>
          <w:color w:val="auto"/>
        </w:rPr>
      </w:pPr>
    </w:p>
    <w:p>
      <w:pPr>
        <w:ind w:right="580" w:firstLine="374"/>
        <w:spacing w:after="0" w:line="307" w:lineRule="auto"/>
        <w:rPr>
          <w:sz w:val="20"/>
          <w:szCs w:val="20"/>
          <w:color w:val="auto"/>
        </w:rPr>
      </w:pPr>
      <w:r>
        <w:rPr>
          <w:rFonts w:ascii="Arial" w:cs="Arial" w:eastAsia="Arial" w:hAnsi="Arial"/>
          <w:sz w:val="17"/>
          <w:szCs w:val="17"/>
          <w:color w:val="auto"/>
        </w:rPr>
        <w:t>The impairment charge described above is a non-cash item and does not affect our cash flows, liquidity or borrowing capacity under the Credit Facility, and the impairment charge is excluded from our financial results in evaluating our financial covenants under the Credit Facility.</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change to the carrying amount of goodwill for the period ended September 30, 2023 is as follows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Equipment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Used Eq. Sales</w:t>
            </w:r>
          </w:p>
        </w:tc>
        <w:tc>
          <w:tcPr>
            <w:tcW w:w="120" w:type="dxa"/>
            <w:vAlign w:val="bottom"/>
          </w:tcPr>
          <w:p>
            <w:pPr>
              <w:spacing w:after="0"/>
              <w:rPr>
                <w:sz w:val="14"/>
                <w:szCs w:val="14"/>
                <w:color w:val="auto"/>
              </w:rPr>
            </w:pPr>
          </w:p>
        </w:tc>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New Eq. Sales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Parts Sales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Service Revenues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Rentals</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 (1)</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48,976</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6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Increase (2)</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39,553</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 (1)</w:t>
            </w: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88,529</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6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20"/>
              <w:spacing w:after="0"/>
              <w:rPr>
                <w:sz w:val="20"/>
                <w:szCs w:val="20"/>
                <w:color w:val="auto"/>
              </w:rPr>
            </w:pPr>
            <w:r>
              <w:rPr>
                <w:rFonts w:ascii="Arial" w:cs="Arial" w:eastAsia="Arial" w:hAnsi="Arial"/>
                <w:sz w:val="18"/>
                <w:szCs w:val="18"/>
                <w:color w:val="auto"/>
              </w:rPr>
              <w:t>Increase (3)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 (4)</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(5,714 )</w:t>
            </w:r>
          </w:p>
        </w:tc>
        <w:tc>
          <w:tcPr>
            <w:tcW w:w="5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(5,714 )</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Decrease (5)</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76"/>
        </w:trPr>
        <w:tc>
          <w:tcPr>
            <w:tcW w:w="3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2023 (1)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88,426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96,873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-513080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-495935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-513080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-495935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-513080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-495935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-513080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-495935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-513080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-495935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1020" w:right="140" w:hanging="504"/>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carrying amount of goodwill as of December 31, 2021 and 2022 in the table above is reflected net of $92.7 million of accumulated impairment charges. The total carrying amount of goodwill as of September 30, 2023 in the table above is reflected net of $98.4 million of accumulated impairment charges.</w:t>
      </w:r>
    </w:p>
    <w:p>
      <w:pPr>
        <w:spacing w:after="0" w:line="20"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due to the One Source Equipment Rentals, Inc. (“OSR”) Acquisition.</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is related to the closing adjustments of the OSR Acquisition during the first quarter of 2023.</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 is related to the Parts Sales goodwill impairment calculated during the third quarter of 2023.</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 is related to the final closing adjustment of the OSR Acquisition during the third quarter of 2023.</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12529"/>
        </w:rPr>
        <w:t>Recent Accounting Pronouncements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On January 1, 2023 we adopted Accounting Standards Update (“ASU”) No. 2020-04, Reference Rate Reform (Topic 848): Facilitation of the Effects of Reference Rate Reform on Financial Reporting, which provided optional guidance for a limited time to ease the potential burden in accounting for or recognizing the effects of reference rate reform, particularly, the risk of cessation of the London Interbank Offered Rate (“LIBOR”) on financial reporting. Our exposure related to the expected cessation of LIBOR was limited to the interest expense and certain fees we incur on balances outstanding under our Senior Secured Credit Facility (the “Credit Facility”). We amended and restated our Credit Facility to transition to Secured Overnight Financing Rate (“SOFR”) as of February 2, 2023. The impact from the cessation of LIBOR as a reference rate did not have a material impact on our consolidated financial statements.</w:t>
      </w:r>
    </w:p>
    <w:p>
      <w:pPr>
        <w:spacing w:after="0" w:line="200" w:lineRule="exact"/>
        <w:rPr>
          <w:sz w:val="20"/>
          <w:szCs w:val="20"/>
          <w:color w:val="auto"/>
        </w:rPr>
      </w:pPr>
    </w:p>
    <w:p>
      <w:pPr>
        <w:spacing w:after="0" w:line="245" w:lineRule="exact"/>
        <w:rPr>
          <w:sz w:val="20"/>
          <w:szCs w:val="20"/>
          <w:color w:val="auto"/>
        </w:rPr>
      </w:pPr>
    </w:p>
    <w:p>
      <w:pPr>
        <w:ind w:left="380" w:right="8720" w:hanging="372"/>
        <w:spacing w:after="0" w:line="450" w:lineRule="auto"/>
        <w:tabs>
          <w:tab w:leader="none" w:pos="2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Dispositions </w:t>
      </w:r>
      <w:r>
        <w:rPr>
          <w:rFonts w:ascii="Arial" w:cs="Arial" w:eastAsia="Arial" w:hAnsi="Arial"/>
          <w:sz w:val="15"/>
          <w:szCs w:val="15"/>
          <w:i w:val="1"/>
          <w:iCs w:val="1"/>
          <w:color w:val="auto"/>
        </w:rPr>
        <w:t>2022 Acquisition</w:t>
      </w:r>
    </w:p>
    <w:p>
      <w:pPr>
        <w:ind w:left="380"/>
        <w:spacing w:after="0"/>
        <w:rPr>
          <w:sz w:val="20"/>
          <w:szCs w:val="20"/>
          <w:color w:val="auto"/>
        </w:rPr>
      </w:pPr>
      <w:r>
        <w:rPr>
          <w:rFonts w:ascii="Arial" w:cs="Arial" w:eastAsia="Arial" w:hAnsi="Arial"/>
          <w:sz w:val="18"/>
          <w:szCs w:val="18"/>
          <w:b w:val="1"/>
          <w:bCs w:val="1"/>
          <w:color w:val="auto"/>
        </w:rPr>
        <w:t>One Source Equipment Rentals, Inc.</w:t>
      </w:r>
    </w:p>
    <w:p>
      <w:pPr>
        <w:spacing w:after="0" w:line="121"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Effective October 1, 2022, we acquired 100% of the equity of One Source Equipment Rentals, Inc. (“OSR”), an equipment rental company with ten branches located in the Midwest. The acquisition expands our presence in the surrounding market, including initial locations in Illinois, Indiana, and Kentucky.</w:t>
      </w:r>
    </w:p>
    <w:p>
      <w:pPr>
        <w:spacing w:after="0" w:line="75"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The aggregate cash consideration paid was approximately $136.7 million. The acquisition and related fees and expenses were funded from available cash. Customary closing adjustments were finalized during the first quarter of 2023 and the update of a tax estimate upon filing the final tax returns concluded during the third quarter of 2023. The following table summarizes the fair value of the assets acquired and liabilities assumed as of the acquisition date.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 in thousands</w:t>
            </w:r>
          </w:p>
        </w:tc>
      </w:tr>
      <w:tr>
        <w:trPr>
          <w:trHeight w:val="236"/>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20"/>
                <w:szCs w:val="20"/>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Rental equipment</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102,436</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0"/>
                <w:szCs w:val="20"/>
                <w:color w:val="auto"/>
              </w:rPr>
            </w:pP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4"/>
                <w:szCs w:val="14"/>
                <w:color w:val="auto"/>
              </w:rPr>
              <w:t>(1)</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20"/>
                <w:szCs w:val="20"/>
                <w:color w:val="auto"/>
              </w:rPr>
            </w:pPr>
          </w:p>
        </w:tc>
      </w:tr>
      <w:tr>
        <w:trPr>
          <w:trHeight w:val="242"/>
        </w:trPr>
        <w:tc>
          <w:tcPr>
            <w:tcW w:w="9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identifiable assets acquired</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132,789</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(4,723 )</w:t>
            </w:r>
          </w:p>
        </w:tc>
      </w:tr>
      <w:tr>
        <w:trPr>
          <w:trHeight w:val="249"/>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payable</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(786 )</w:t>
            </w: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(2,388 )</w:t>
            </w:r>
          </w:p>
        </w:tc>
      </w:tr>
      <w:tr>
        <w:trPr>
          <w:trHeight w:val="243"/>
        </w:trPr>
        <w:tc>
          <w:tcPr>
            <w:tcW w:w="9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(27,653 )</w:t>
            </w:r>
          </w:p>
        </w:tc>
      </w:tr>
      <w:tr>
        <w:trPr>
          <w:trHeight w:val="20"/>
        </w:trPr>
        <w:tc>
          <w:tcPr>
            <w:tcW w:w="9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36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2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(35,550 )</w:t>
            </w:r>
          </w:p>
        </w:tc>
      </w:tr>
      <w:tr>
        <w:trPr>
          <w:trHeight w:val="242"/>
        </w:trPr>
        <w:tc>
          <w:tcPr>
            <w:tcW w:w="9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identifiable assets acquired</w:t>
            </w:r>
          </w:p>
        </w:tc>
        <w:tc>
          <w:tcPr>
            <w:tcW w:w="260" w:type="dxa"/>
            <w:vAlign w:val="bottom"/>
            <w:tcBorders>
              <w:top w:val="single" w:sz="8" w:color="auto"/>
            </w:tcBorders>
            <w:shd w:val="clear" w:color="auto" w:fill="CFF0FC"/>
          </w:tcPr>
          <w:p>
            <w:pPr>
              <w:spacing w:after="0"/>
              <w:rPr>
                <w:sz w:val="21"/>
                <w:szCs w:val="21"/>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97,239</w:t>
            </w:r>
          </w:p>
        </w:tc>
        <w:tc>
          <w:tcPr>
            <w:tcW w:w="100" w:type="dxa"/>
            <w:vAlign w:val="bottom"/>
            <w:shd w:val="clear" w:color="auto" w:fill="CFF0FC"/>
          </w:tcPr>
          <w:p>
            <w:pPr>
              <w:spacing w:after="0"/>
              <w:rPr>
                <w:sz w:val="21"/>
                <w:szCs w:val="21"/>
                <w:color w:val="auto"/>
              </w:rPr>
            </w:pPr>
          </w:p>
        </w:tc>
      </w:tr>
      <w:tr>
        <w:trPr>
          <w:trHeight w:val="236"/>
        </w:trPr>
        <w:tc>
          <w:tcPr>
            <w:tcW w:w="9360" w:type="dxa"/>
            <w:vAlign w:val="bottom"/>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4"/>
                <w:szCs w:val="14"/>
                <w:color w:val="auto"/>
              </w:rPr>
              <w:t>(2)</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39,451</w:t>
            </w:r>
          </w:p>
        </w:tc>
        <w:tc>
          <w:tcPr>
            <w:tcW w:w="100" w:type="dxa"/>
            <w:vAlign w:val="bottom"/>
          </w:tcPr>
          <w:p>
            <w:pPr>
              <w:spacing w:after="0"/>
              <w:rPr>
                <w:sz w:val="20"/>
                <w:szCs w:val="20"/>
                <w:color w:val="auto"/>
              </w:rPr>
            </w:pPr>
          </w:p>
        </w:tc>
      </w:tr>
      <w:tr>
        <w:trPr>
          <w:trHeight w:val="276"/>
        </w:trPr>
        <w:tc>
          <w:tcPr>
            <w:tcW w:w="9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1020" w:right="520" w:hanging="50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table reflects the estimated fair values and useful lives of the acquired intangible assets identified based on our purchase accounting assessments: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(amounts in</w:t>
            </w:r>
          </w:p>
        </w:tc>
        <w:tc>
          <w:tcPr>
            <w:tcW w:w="240" w:type="dxa"/>
            <w:vAlign w:val="bottom"/>
          </w:tcPr>
          <w:p>
            <w:pPr>
              <w:spacing w:after="0"/>
              <w:rPr>
                <w:sz w:val="12"/>
                <w:szCs w:val="12"/>
                <w:color w:val="auto"/>
              </w:rPr>
            </w:pPr>
          </w:p>
        </w:tc>
        <w:tc>
          <w:tcPr>
            <w:tcW w:w="16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Life (years)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thousands)</w:t>
            </w:r>
          </w:p>
        </w:tc>
        <w:tc>
          <w:tcPr>
            <w:tcW w:w="2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24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acquired goodwill has been allocated to the equipment rentals reporting unit.</w:t>
      </w:r>
    </w:p>
    <w:p>
      <w:pPr>
        <w:spacing w:after="0" w:line="225"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Included in the total goodwill amount of $39.5 million is approximately $0.8 million of accrued purchase price consideration to be paid to the sellers pursuant to the terms of the purchase agreement among the parties named thereto. The level of goodwill that resulted from the OSR acquisition is primarily reflective of OSR’s going-concern value, the value of assembled workforce, new customer relationships expected to arise from the acquisition and expected synergies from combining operations.</w:t>
      </w:r>
    </w:p>
    <w:p>
      <w:pPr>
        <w:spacing w:after="0" w:line="77"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Total acquisition costs were $0.8 million and included within selling, general and administrative (“SG&amp;A”) expenses on the Consolidated Statement of Operations during the year ended December 31, 2022. Since our acquisition of OSR on October 1, 2022, significant amounts of equipment rental fleet have been moved between H&amp;E locations and the acquired locations, and it is impractical to reasonably estimate the amount of OSR revenues and earnings since the acquisition date.</w:t>
      </w:r>
    </w:p>
    <w:p>
      <w:pPr>
        <w:spacing w:after="0" w:line="77"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assets and liabilities were recorded as of October 1, 2022 and the results of operations are included in the Company's consolidated results as of that date.</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117"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We completed the OSR acquisition effective October 1, 2022. Therefore, our reported Condensed Consolidated Statement of Income for the quarter ended September, 2022 does not include OSR.</w:t>
      </w:r>
    </w:p>
    <w:p>
      <w:pPr>
        <w:spacing w:after="0" w:line="62" w:lineRule="exact"/>
        <w:rPr>
          <w:sz w:val="20"/>
          <w:szCs w:val="20"/>
          <w:color w:val="auto"/>
        </w:rPr>
      </w:pPr>
    </w:p>
    <w:p>
      <w:pPr>
        <w:ind w:right="100" w:firstLine="374"/>
        <w:spacing w:after="0" w:line="291" w:lineRule="auto"/>
        <w:rPr>
          <w:sz w:val="20"/>
          <w:szCs w:val="20"/>
          <w:color w:val="auto"/>
        </w:rPr>
      </w:pPr>
      <w:r>
        <w:rPr>
          <w:rFonts w:ascii="Arial" w:cs="Arial" w:eastAsia="Arial" w:hAnsi="Arial"/>
          <w:sz w:val="16"/>
          <w:szCs w:val="16"/>
          <w:color w:val="auto"/>
        </w:rPr>
        <w:t>The pro forma information for the three and nine months ended September 30, 2022 in the table below (amounts in thousands) are for informational purposes only and gives effect to the OSR acquisition as if it had been completed on January 1, 2022 (the “pro forma acquisition date”). The pro forma information is not necessarily indicative of our results of operations had the acquisition been completed on the pro forma acquisition date, nor is it necessarily indicative of our future results. The pro forma information does not reflect any cost savings from operating efficiencies or synergies that could result from the acquisition, nor does it reflect additional revenue opportunities following the acquisition. The unaudited pro forma financial information includes adjustments primarily related to the incremental depreciation and amortization expense of the rental equipment and intangible assets acquired, the elimination of interest expense related to historical debt as well as other expenses that are not part of the combined entity and transaction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ind w:right="22"/>
              <w:spacing w:after="0"/>
              <w:rPr>
                <w:sz w:val="20"/>
                <w:szCs w:val="20"/>
                <w:color w:val="auto"/>
              </w:rPr>
            </w:pPr>
            <w:r>
              <w:rPr>
                <w:rFonts w:ascii="Arial" w:cs="Arial" w:eastAsia="Arial" w:hAnsi="Arial"/>
                <w:sz w:val="14"/>
                <w:szCs w:val="14"/>
                <w:b w:val="1"/>
                <w:bCs w:val="1"/>
                <w:color w:val="auto"/>
                <w:w w:val="97"/>
              </w:rPr>
              <w:t>Pro Forma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42"/>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r>
      <w:tr>
        <w:trPr>
          <w:trHeight w:val="148"/>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2"/>
                <w:szCs w:val="12"/>
                <w:color w:val="auto"/>
              </w:rPr>
            </w:pPr>
          </w:p>
        </w:tc>
      </w:tr>
      <w:tr>
        <w:trPr>
          <w:trHeight w:val="185"/>
        </w:trPr>
        <w:tc>
          <w:tcPr>
            <w:tcW w:w="7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339,309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936,488</w:t>
            </w:r>
          </w:p>
        </w:tc>
        <w:tc>
          <w:tcPr>
            <w:tcW w:w="100" w:type="dxa"/>
            <w:vAlign w:val="bottom"/>
          </w:tcPr>
          <w:p>
            <w:pPr>
              <w:spacing w:after="0"/>
              <w:rPr>
                <w:sz w:val="19"/>
                <w:szCs w:val="19"/>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38,365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83,626</w:t>
            </w:r>
          </w:p>
        </w:tc>
        <w:tc>
          <w:tcPr>
            <w:tcW w:w="10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2022 Disposition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Komatsu Earthmoving Distributorship</w:t>
      </w:r>
    </w:p>
    <w:p>
      <w:pPr>
        <w:spacing w:after="0" w:line="121"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On December 15, 2022, we sold our Komatsu earthmoving distribution business to Houston, Texas based Waukesha-Pearce Industries, LLC (“WPI”) for $29.2 million, subject to customary closing adjustments. The WPI sale included the rights to the distribution of Komatsu earthmoving equipment in the state of Louisiana and counties located in southwestern Arkansas, a branch location and its associated property, plant and equipment in Kenner, LA, Komatsu new equipment inventory, assets at a leased facility in Bossier City, LA and certain other equipment, parts and supplies with a net book value of approximately $14.7 million. We recorded a gain from sales of property and equipment, net of $12.9 million and a gain of $2.5 million within other income on the Consolidated Statement of Operations for the year ended December 31, 2022. The WPI sale did not qualify for discontinued operations as the divestiture does not meet the definition of a component.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2021 Disposition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Crane Sale</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July 19, 2021, the Company entered into a definitive agreement to sell its crane business to a wholly-owned subsidiary of The Manitowoc Company, Inc. for $130.0 million in cash, which was subject to adjustment based on actual amounts of net working capital and crane rental fleet net book value delivered at transaction closing. The Company executed the transaction closing on October 1, 2021 subject to customary closing conditions, including regulatory approval under the Hart-Scott-Rodino Act, resulting in proceeds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$135.9 million, which was subject to the finalization of adjustments. During June 2022, closing adjustments of $1.9 million were finalized and recorded as discontinued operations on the consolidated statement of income.</w:t>
      </w:r>
    </w:p>
    <w:p>
      <w:pPr>
        <w:spacing w:after="0" w:line="62"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This disposition represents the Company’s strategic shift to a pure-play rental business. In accordance with ASC 360, Property, Plant, and Equipment, the Company ceased recording depreciation and amortization for Crane Sale related rental fleet, property, plant and equipment, and right of use lease assets upon qualifying as held for sale. In accordance with ASC 205-20, the Company determined that discontinued operations presentation was met during the third quarter of fiscal year 2021. As part of the divestiture, we entered into a transition services agreement with the buyer to assist them in the transition of certain functions, including, but not limited to, information technology, accounting and human resources for a period of sixty days up to six months. Aside from these customary transition services, there will be no continuing involvement with the crane business after its disposal.</w:t>
      </w:r>
    </w:p>
    <w:p>
      <w:pPr>
        <w:spacing w:after="0" w:line="122"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The Company reported financial results of the crane business within all of our segments: equipment rentals, used equipment sales, new equipment sales, parts sales and service revenues. Additionally, the crane business was included within the equipment rental component 2, used equipment sales, new equipment sales, parts sales and service revenues goodwill reporting units.</w:t>
      </w:r>
    </w:p>
    <w:p>
      <w:pPr>
        <w:spacing w:after="0" w:line="156"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As a result of the agreement to sell the Company’s crane business, its results are reported separately as discontinued operations in our consolidated statements of income for all periods presented. As permitted, the Company elected not to adjust the consolidated statements of cash flows to exclude cash flows attributable to discontinued operations. Accordingly, we disclosed the depreciation, capital expenditures and significant operating and investing non-cash items related to the Crane Sale below.</w:t>
      </w:r>
    </w:p>
    <w:p>
      <w:pPr>
        <w:spacing w:after="0" w:line="145"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The following tables (amounts in thousands) present the Crane Sale results as reported in loss from discontinued operations within our condensed consolidated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gridSpan w:val="2"/>
          </w:tcPr>
          <w:p>
            <w:pPr>
              <w:jc w:val="center"/>
              <w:ind w:right="521"/>
              <w:spacing w:after="0"/>
              <w:rPr>
                <w:sz w:val="20"/>
                <w:szCs w:val="20"/>
                <w:color w:val="auto"/>
              </w:rPr>
            </w:pPr>
            <w:r>
              <w:rPr>
                <w:rFonts w:ascii="Arial" w:cs="Arial" w:eastAsia="Arial" w:hAnsi="Arial"/>
                <w:sz w:val="14"/>
                <w:szCs w:val="14"/>
                <w:b w:val="1"/>
                <w:bCs w:val="1"/>
                <w:color w:val="auto"/>
                <w:w w:val="94"/>
              </w:rPr>
              <w:t>Nine Months Ended</w:t>
            </w: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gridSpan w:val="2"/>
          </w:tcPr>
          <w:p>
            <w:pPr>
              <w:jc w:val="center"/>
              <w:ind w:right="521"/>
              <w:spacing w:after="0"/>
              <w:rPr>
                <w:sz w:val="20"/>
                <w:szCs w:val="20"/>
                <w:color w:val="auto"/>
              </w:rPr>
            </w:pPr>
            <w:r>
              <w:rPr>
                <w:rFonts w:ascii="Arial" w:cs="Arial" w:eastAsia="Arial" w:hAnsi="Arial"/>
                <w:sz w:val="14"/>
                <w:szCs w:val="14"/>
                <w:b w:val="1"/>
                <w:bCs w:val="1"/>
                <w:color w:val="auto"/>
                <w:w w:val="91"/>
              </w:rPr>
              <w:t>September 30,</w:t>
            </w: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940" w:type="dxa"/>
            <w:vAlign w:val="bottom"/>
            <w:tcBorders>
              <w:top w:val="single" w:sz="8" w:color="auto"/>
              <w:bottom w:val="single" w:sz="8" w:color="auto"/>
            </w:tcBorders>
          </w:tcPr>
          <w:p>
            <w:pPr>
              <w:jc w:val="center"/>
              <w:ind w:right="41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r>
      <w:tr>
        <w:trPr>
          <w:trHeight w:val="236"/>
        </w:trPr>
        <w:tc>
          <w:tcPr>
            <w:tcW w:w="20" w:type="dxa"/>
            <w:vAlign w:val="bottom"/>
            <w:shd w:val="clear" w:color="auto" w:fill="CFF0FC"/>
          </w:tcPr>
          <w:p>
            <w:pPr>
              <w:spacing w:after="0"/>
              <w:rPr>
                <w:sz w:val="20"/>
                <w:szCs w:val="20"/>
                <w:color w:val="auto"/>
              </w:rPr>
            </w:pPr>
          </w:p>
        </w:tc>
        <w:tc>
          <w:tcPr>
            <w:tcW w:w="868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8680" w:type="dxa"/>
            <w:vAlign w:val="bottom"/>
            <w:gridSpan w:val="2"/>
          </w:tcPr>
          <w:p>
            <w:pPr>
              <w:ind w:left="400"/>
              <w:spacing w:after="0"/>
              <w:rPr>
                <w:sz w:val="20"/>
                <w:szCs w:val="20"/>
                <w:color w:val="auto"/>
              </w:rPr>
            </w:pPr>
            <w:r>
              <w:rPr>
                <w:rFonts w:ascii="Arial" w:cs="Arial" w:eastAsia="Arial" w:hAnsi="Arial"/>
                <w:sz w:val="18"/>
                <w:szCs w:val="18"/>
                <w:color w:val="auto"/>
              </w:rPr>
              <w:t>Total cost of revenues</w:t>
            </w:r>
          </w:p>
        </w:tc>
        <w:tc>
          <w:tcPr>
            <w:tcW w:w="500" w:type="dxa"/>
            <w:vAlign w:val="bottom"/>
          </w:tcPr>
          <w:p>
            <w:pPr>
              <w:spacing w:after="0"/>
              <w:rPr>
                <w:sz w:val="20"/>
                <w:szCs w:val="20"/>
                <w:color w:val="auto"/>
              </w:rPr>
            </w:pPr>
          </w:p>
        </w:tc>
        <w:tc>
          <w:tcPr>
            <w:tcW w:w="2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2"/>
        </w:trPr>
        <w:tc>
          <w:tcPr>
            <w:tcW w:w="20" w:type="dxa"/>
            <w:vAlign w:val="bottom"/>
            <w:shd w:val="clear" w:color="auto" w:fill="CFF0FC"/>
          </w:tcPr>
          <w:p>
            <w:pPr>
              <w:spacing w:after="0"/>
              <w:rPr>
                <w:sz w:val="21"/>
                <w:szCs w:val="21"/>
                <w:color w:val="auto"/>
              </w:rPr>
            </w:pPr>
          </w:p>
        </w:tc>
        <w:tc>
          <w:tcPr>
            <w:tcW w:w="868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auto"/>
            </w:tcBorders>
            <w:shd w:val="clear" w:color="auto" w:fill="CFF0FC"/>
          </w:tcPr>
          <w:p>
            <w:pPr>
              <w:spacing w:after="0"/>
              <w:rPr>
                <w:sz w:val="21"/>
                <w:szCs w:val="21"/>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20"/>
                <w:szCs w:val="20"/>
                <w:color w:val="auto"/>
              </w:rPr>
            </w:pPr>
          </w:p>
        </w:tc>
        <w:tc>
          <w:tcPr>
            <w:tcW w:w="2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shd w:val="clear" w:color="auto" w:fill="CFF0FC"/>
          </w:tcPr>
          <w:p>
            <w:pPr>
              <w:spacing w:after="0"/>
              <w:rPr>
                <w:sz w:val="21"/>
                <w:szCs w:val="21"/>
                <w:color w:val="auto"/>
              </w:rPr>
            </w:pPr>
          </w:p>
        </w:tc>
        <w:tc>
          <w:tcPr>
            <w:tcW w:w="8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Merger and other</w:t>
            </w:r>
          </w:p>
        </w:tc>
        <w:tc>
          <w:tcPr>
            <w:tcW w:w="50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Loss on sales of property and equipment, net</w:t>
            </w:r>
          </w:p>
        </w:tc>
        <w:tc>
          <w:tcPr>
            <w:tcW w:w="500" w:type="dxa"/>
            <w:vAlign w:val="bottom"/>
          </w:tcPr>
          <w:p>
            <w:pPr>
              <w:spacing w:after="0"/>
              <w:rPr>
                <w:sz w:val="20"/>
                <w:szCs w:val="20"/>
                <w:color w:val="auto"/>
              </w:rPr>
            </w:pPr>
          </w:p>
        </w:tc>
        <w:tc>
          <w:tcPr>
            <w:tcW w:w="2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2"/>
        </w:trPr>
        <w:tc>
          <w:tcPr>
            <w:tcW w:w="20" w:type="dxa"/>
            <w:vAlign w:val="bottom"/>
            <w:shd w:val="clear" w:color="auto" w:fill="CFF0FC"/>
          </w:tcPr>
          <w:p>
            <w:pPr>
              <w:spacing w:after="0"/>
              <w:rPr>
                <w:sz w:val="21"/>
                <w:szCs w:val="21"/>
                <w:color w:val="auto"/>
              </w:rPr>
            </w:pPr>
          </w:p>
        </w:tc>
        <w:tc>
          <w:tcPr>
            <w:tcW w:w="86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Loss from discontinued operations</w:t>
            </w:r>
          </w:p>
        </w:tc>
        <w:tc>
          <w:tcPr>
            <w:tcW w:w="500" w:type="dxa"/>
            <w:vAlign w:val="bottom"/>
            <w:tcBorders>
              <w:top w:val="single" w:sz="8" w:color="auto"/>
            </w:tcBorders>
            <w:shd w:val="clear" w:color="auto" w:fill="CFF0FC"/>
          </w:tcPr>
          <w:p>
            <w:pPr>
              <w:spacing w:after="0"/>
              <w:rPr>
                <w:sz w:val="21"/>
                <w:szCs w:val="21"/>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50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(1,917 )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86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Loss before benefit from income taxes</w:t>
            </w: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50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(525 )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86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Net loss from discontinued operations</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472"/>
        </w:trPr>
        <w:tc>
          <w:tcPr>
            <w:tcW w:w="20" w:type="dxa"/>
            <w:vAlign w:val="bottom"/>
          </w:tcPr>
          <w:p>
            <w:pPr>
              <w:spacing w:after="0"/>
              <w:rPr>
                <w:sz w:val="24"/>
                <w:szCs w:val="24"/>
                <w:color w:val="auto"/>
              </w:rPr>
            </w:pPr>
          </w:p>
        </w:tc>
        <w:tc>
          <w:tcPr>
            <w:tcW w:w="8680" w:type="dxa"/>
            <w:vAlign w:val="bottom"/>
            <w:gridSpan w:val="2"/>
          </w:tcPr>
          <w:p>
            <w:pPr>
              <w:ind w:left="360"/>
              <w:spacing w:after="0"/>
              <w:rPr>
                <w:sz w:val="20"/>
                <w:szCs w:val="20"/>
                <w:color w:val="auto"/>
              </w:rPr>
            </w:pPr>
            <w:r>
              <w:rPr>
                <w:rFonts w:ascii="Arial" w:cs="Arial" w:eastAsia="Arial" w:hAnsi="Arial"/>
                <w:sz w:val="18"/>
                <w:szCs w:val="18"/>
                <w:color w:val="auto"/>
              </w:rPr>
              <w:t>Cash flows from discontinued operations was as follows (amounts in thousands):</w:t>
            </w:r>
          </w:p>
        </w:tc>
        <w:tc>
          <w:tcPr>
            <w:tcW w:w="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342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91"/>
              </w:rPr>
              <w:t>Operating activities of discontinued operations:</w:t>
            </w:r>
          </w:p>
        </w:tc>
        <w:tc>
          <w:tcPr>
            <w:tcW w:w="5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Loss on sale of discontinued operations</w:t>
            </w:r>
          </w:p>
        </w:tc>
        <w:tc>
          <w:tcPr>
            <w:tcW w:w="5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-1369695</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-1044575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-1027430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color w:val="auto"/>
        </w:rPr>
        <w:t>Fair value is defined as the amount that would be received for selling an asset or paid to transfer a liability in an orderly transaction between market participants at the measurement date. The FASB fair value measurement guidance established a fair value hierarchy that prioritizes the inputs used to measure fair value. The three broad levels of the fair value hierarchy are as follows: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117" w:lineRule="exact"/>
        <w:rPr>
          <w:sz w:val="20"/>
          <w:szCs w:val="20"/>
          <w:color w:val="auto"/>
        </w:rPr>
      </w:pPr>
    </w:p>
    <w:p>
      <w:pPr>
        <w:ind w:left="760" w:right="500" w:hanging="360"/>
        <w:spacing w:after="0" w:line="277" w:lineRule="auto"/>
        <w:rPr>
          <w:sz w:val="20"/>
          <w:szCs w:val="20"/>
          <w:color w:val="auto"/>
        </w:rPr>
      </w:pPr>
      <w:r>
        <w:rPr>
          <w:rFonts w:ascii="Arial" w:cs="Arial" w:eastAsia="Arial" w:hAnsi="Arial"/>
          <w:sz w:val="18"/>
          <w:szCs w:val="18"/>
          <w:color w:val="auto"/>
        </w:rPr>
        <w:t>Level 2 – Quoted prices for similar assets and liabilities in active markets or inputs that are observable for the asset or liability, either directly or indirectly</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3 – Unobservable inputs for which little or no market data exists, therefore requiring a company to develop its own assumptions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280" w:firstLine="374"/>
        <w:spacing w:after="0" w:line="301" w:lineRule="auto"/>
        <w:rPr>
          <w:sz w:val="20"/>
          <w:szCs w:val="20"/>
          <w:color w:val="auto"/>
        </w:rPr>
      </w:pPr>
      <w:r>
        <w:rPr>
          <w:rFonts w:ascii="Arial" w:cs="Arial" w:eastAsia="Arial" w:hAnsi="Arial"/>
          <w:sz w:val="16"/>
          <w:szCs w:val="16"/>
          <w:color w:val="auto"/>
        </w:rPr>
        <w:t>The carrying value of financial instruments reported in the accompanying condensed consolidated balance sheets for cash and cash equivalents, accounts receivable, Credit Facility, accounts payable and accrued expenses payable and other liabilities approximate fair value due to the immediate or short-term nature, maturity or market interest rate of these financial instruments. The carrying amounts and fair values of our other financial instruments subject to fair value disclosures as of September 30, 2023 and December 31, 2022 are presented in the table below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7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center"/>
              <w:ind w:right="45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85"/>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Manufacturer flooring plans payable with interest computed at 8.75% (Level 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Senior Unsecured Notes due 2028 with interest computed at 3.875% (Level 2)</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1,242,491</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1,067,188</w:t>
            </w:r>
          </w:p>
        </w:tc>
        <w:tc>
          <w:tcPr>
            <w:tcW w:w="100" w:type="dxa"/>
            <w:vAlign w:val="bottom"/>
          </w:tcPr>
          <w:p>
            <w:pPr>
              <w:spacing w:after="0"/>
              <w:rPr>
                <w:sz w:val="20"/>
                <w:szCs w:val="20"/>
                <w:color w:val="auto"/>
              </w:rPr>
            </w:pPr>
          </w:p>
        </w:tc>
      </w:tr>
      <w:tr>
        <w:trPr>
          <w:trHeight w:val="511"/>
        </w:trPr>
        <w:tc>
          <w:tcPr>
            <w:tcW w:w="7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7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center"/>
              <w:ind w:right="45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85"/>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Manufacturer flooring plans payable with interest computed at 7.75% (Level 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Senior Unsecured Notes due 2028 with interest computed at 3.875% (Level 2)</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1,241,409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1,070,088</w:t>
            </w:r>
          </w:p>
        </w:tc>
        <w:tc>
          <w:tcPr>
            <w:tcW w:w="100" w:type="dxa"/>
            <w:vAlign w:val="bottom"/>
          </w:tcPr>
          <w:p>
            <w:pPr>
              <w:spacing w:after="0"/>
              <w:rPr>
                <w:sz w:val="20"/>
                <w:szCs w:val="20"/>
                <w:color w:val="auto"/>
              </w:rPr>
            </w:pPr>
          </w:p>
        </w:tc>
      </w:tr>
    </w:tbl>
    <w:p>
      <w:pPr>
        <w:spacing w:after="0" w:line="322" w:lineRule="exact"/>
        <w:rPr>
          <w:sz w:val="20"/>
          <w:szCs w:val="20"/>
          <w:color w:val="auto"/>
        </w:rPr>
      </w:pPr>
    </w:p>
    <w:p>
      <w:pPr>
        <w:ind w:right="180" w:firstLine="374"/>
        <w:spacing w:after="0" w:line="311" w:lineRule="auto"/>
        <w:rPr>
          <w:sz w:val="20"/>
          <w:szCs w:val="20"/>
          <w:color w:val="auto"/>
        </w:rPr>
      </w:pPr>
      <w:r>
        <w:rPr>
          <w:rFonts w:ascii="Arial" w:cs="Arial" w:eastAsia="Arial" w:hAnsi="Arial"/>
          <w:sz w:val="16"/>
          <w:szCs w:val="16"/>
          <w:color w:val="auto"/>
        </w:rPr>
        <w:t>At September 30, 2023 and December 31, 2022, the fair value of our senior unsecured notes due 2028 (the “Senior Unsecured Notes”) was based on quoted bond trading market prices for those notes. For our Level 3 unobservable inputs, we calculate a discount rate for our manufacturing floor plans payable based on the U.S. prime rate plus the applicable margin on our Credit Facility. The discount rate is disclosed in the above table.</w:t>
      </w:r>
    </w:p>
    <w:p>
      <w:pPr>
        <w:spacing w:after="0" w:line="121"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During the three and nine months ended September 30, 2023 and 2022, there were no transfers of financial assets or liabilities in or out of Level 3 of the fair value hierarchy.</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Fair Value Measurements on a Nonrecurring Basis</w:t>
      </w:r>
    </w:p>
    <w:p>
      <w:pPr>
        <w:spacing w:after="0" w:line="117"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Our non-financial assets, such as goodwill, intangible assets and property and equipment, are adjusted to fair value only when an impairment charge is recognized or the underlying investment is sold. Such fair value measurements are based predominately on Level 3 inputs. The result of our Q3 2023 goodwill impairment quantitative test indicated that the fair value of the Parts Sales reporting unit was less than the carrying value of the reporting unit, resulting in a goodwill impairment of $5.7 million. See Note 2 to the Condensed Consolidated financial statements for additional information related to the impairment quantitative test.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The following table summarizes the activity in Stockholders’ Equity for the three and nine months ended September 30, 2023 and 2022, respectively (amounts in thousands, except share and per share data):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26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8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90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1"/>
              </w:rPr>
              <w:t>Retained</w:t>
            </w:r>
          </w:p>
        </w:tc>
        <w:tc>
          <w:tcPr>
            <w:tcW w:w="106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Issued</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December 31, 2022</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40,567,876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251,901</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(69,964 )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218,700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Cash dividends declared on common stock ($0.275 per share)</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(9,794 )</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(9,794 )</w:t>
            </w: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Issuance of common stock, net of forfeitures</w:t>
            </w:r>
          </w:p>
        </w:tc>
        <w:tc>
          <w:tcPr>
            <w:tcW w:w="1020" w:type="dxa"/>
            <w:vAlign w:val="bottom"/>
          </w:tcPr>
          <w:p>
            <w:pPr>
              <w:jc w:val="right"/>
              <w:spacing w:after="0"/>
              <w:rPr>
                <w:sz w:val="20"/>
                <w:szCs w:val="20"/>
                <w:color w:val="auto"/>
              </w:rPr>
            </w:pPr>
            <w:r>
              <w:rPr>
                <w:rFonts w:ascii="Arial" w:cs="Arial" w:eastAsia="Arial" w:hAnsi="Arial"/>
                <w:sz w:val="16"/>
                <w:szCs w:val="16"/>
                <w:color w:val="auto"/>
              </w:rPr>
              <w:t>132,501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Repurchase of 58,211 shares of restricted common stock</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(3,226 )</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(3,226 )</w:t>
            </w: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March 31, 2023</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40,700,377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(73,190 )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234,580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Cash dividends declared on common stock ($0.275 per share)</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(10,046 )</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(10,046 )</w:t>
            </w: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Restricted stock forfeitures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(5,323 )</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41,216</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41,216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6"/>
                <w:szCs w:val="16"/>
                <w:color w:val="auto"/>
              </w:rPr>
              <w:t>Balances at June 30, 2023</w:t>
            </w:r>
          </w:p>
        </w:tc>
        <w:tc>
          <w:tcPr>
            <w:tcW w:w="1020" w:type="dxa"/>
            <w:vAlign w:val="bottom"/>
          </w:tcPr>
          <w:p>
            <w:pPr>
              <w:jc w:val="right"/>
              <w:spacing w:after="0"/>
              <w:rPr>
                <w:sz w:val="20"/>
                <w:szCs w:val="20"/>
                <w:color w:val="auto"/>
              </w:rPr>
            </w:pPr>
            <w:r>
              <w:rPr>
                <w:rFonts w:ascii="Arial" w:cs="Arial" w:eastAsia="Arial" w:hAnsi="Arial"/>
                <w:sz w:val="16"/>
                <w:szCs w:val="16"/>
                <w:color w:val="auto"/>
              </w:rPr>
              <w:t>40,695,054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256,930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(73,190 )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265,750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449,896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w w:val="98"/>
              </w:rPr>
              <w:t>Cash dividends declared on common stock ($0.275 per share)</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(10,091 )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(10,091 )</w:t>
            </w: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net of restricted stock forfeitures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129,532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Repurchase of 57,421 shares of restricted common stock</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(2,827 )</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(2,827 )</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48,879</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48,879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Arial" w:cs="Arial" w:eastAsia="Arial" w:hAnsi="Arial"/>
                <w:sz w:val="16"/>
                <w:szCs w:val="16"/>
                <w:color w:val="auto"/>
              </w:rPr>
              <w:t>Balances at September 30, 2023</w:t>
            </w:r>
          </w:p>
        </w:tc>
        <w:tc>
          <w:tcPr>
            <w:tcW w:w="1020" w:type="dxa"/>
            <w:vAlign w:val="bottom"/>
          </w:tcPr>
          <w:p>
            <w:pPr>
              <w:jc w:val="right"/>
              <w:spacing w:after="0"/>
              <w:rPr>
                <w:sz w:val="20"/>
                <w:szCs w:val="20"/>
                <w:color w:val="auto"/>
              </w:rPr>
            </w:pPr>
            <w:r>
              <w:rPr>
                <w:rFonts w:ascii="Arial" w:cs="Arial" w:eastAsia="Arial" w:hAnsi="Arial"/>
                <w:sz w:val="16"/>
                <w:szCs w:val="16"/>
                <w:color w:val="auto"/>
              </w:rPr>
              <w:t>40,824,586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259,205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(76,017 )</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304,538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spacing w:after="0"/>
              <w:rPr>
                <w:sz w:val="18"/>
                <w:szCs w:val="18"/>
                <w:color w:val="auto"/>
              </w:rPr>
            </w:pPr>
          </w:p>
        </w:tc>
        <w:tc>
          <w:tcPr>
            <w:tcW w:w="102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Balances at December 31, 2021</w:t>
            </w:r>
          </w:p>
        </w:tc>
        <w:tc>
          <w:tcPr>
            <w:tcW w:w="1020" w:type="dxa"/>
            <w:vAlign w:val="bottom"/>
          </w:tcPr>
          <w:p>
            <w:pPr>
              <w:jc w:val="right"/>
              <w:spacing w:after="0"/>
              <w:rPr>
                <w:sz w:val="20"/>
                <w:szCs w:val="20"/>
                <w:color w:val="auto"/>
              </w:rPr>
            </w:pPr>
            <w:r>
              <w:rPr>
                <w:rFonts w:ascii="Arial" w:cs="Arial" w:eastAsia="Arial" w:hAnsi="Arial"/>
                <w:sz w:val="16"/>
                <w:szCs w:val="16"/>
                <w:color w:val="auto"/>
              </w:rPr>
              <w:t>40,353,299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403</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244,638</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(68,294 )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126,635</w:t>
            </w:r>
          </w:p>
        </w:tc>
        <w:tc>
          <w:tcPr>
            <w:tcW w:w="2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303,382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w w:val="98"/>
              </w:rPr>
              <w:t>Cash dividends declared on common stock ($0.275 per share)</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(9,851 )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(9,851 )</w:t>
            </w: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net of restricted stock forfeitures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Repurchase of 8,938 shares of restricted common stock</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(343 )</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16,296</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6"/>
                <w:szCs w:val="16"/>
                <w:color w:val="auto"/>
              </w:rPr>
              <w:t>Balances at March 31, 2022</w:t>
            </w:r>
          </w:p>
        </w:tc>
        <w:tc>
          <w:tcPr>
            <w:tcW w:w="1020" w:type="dxa"/>
            <w:vAlign w:val="bottom"/>
          </w:tcPr>
          <w:p>
            <w:pPr>
              <w:jc w:val="right"/>
              <w:spacing w:after="0"/>
              <w:rPr>
                <w:sz w:val="20"/>
                <w:szCs w:val="20"/>
                <w:color w:val="auto"/>
              </w:rPr>
            </w:pPr>
            <w:r>
              <w:rPr>
                <w:rFonts w:ascii="Arial" w:cs="Arial" w:eastAsia="Arial" w:hAnsi="Arial"/>
                <w:sz w:val="16"/>
                <w:szCs w:val="16"/>
                <w:color w:val="auto"/>
              </w:rPr>
              <w:t>40,382,124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246,316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(68,637 )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133,080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w w:val="98"/>
              </w:rPr>
              <w:t>Cash dividends declared on common stock ($0.275 per share)</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(9,964 )</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(9,964 )</w:t>
            </w: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forfeitures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(1,816 )</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June 30, 2022</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40,380,308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247,627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(68,637 )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149,462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Cash dividends declared on common stock ($0.275 per share)</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(10,145 )</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(10,145 )</w:t>
            </w: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Issuance of common stock, net of restricted stock forfeitures</w:t>
            </w:r>
          </w:p>
        </w:tc>
        <w:tc>
          <w:tcPr>
            <w:tcW w:w="1020" w:type="dxa"/>
            <w:vAlign w:val="bottom"/>
          </w:tcPr>
          <w:p>
            <w:pPr>
              <w:jc w:val="right"/>
              <w:spacing w:after="0"/>
              <w:rPr>
                <w:sz w:val="20"/>
                <w:szCs w:val="20"/>
                <w:color w:val="auto"/>
              </w:rPr>
            </w:pPr>
            <w:r>
              <w:rPr>
                <w:rFonts w:ascii="Arial" w:cs="Arial" w:eastAsia="Arial" w:hAnsi="Arial"/>
                <w:sz w:val="16"/>
                <w:szCs w:val="16"/>
                <w:color w:val="auto"/>
              </w:rPr>
              <w:t>187,568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Repurchase of 37,116 shares of restricted common stock</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(1,288 )</w:t>
            </w: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(1,288 )</w:t>
            </w: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 at September 30, 2022</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40,567,876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249,553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(69,925 )</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177,693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357,726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-3877945</wp:posOffset>
            </wp:positionV>
            <wp:extent cx="7683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-3877945</wp:posOffset>
            </wp:positionV>
            <wp:extent cx="7683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-3877945</wp:posOffset>
            </wp:positionV>
            <wp:extent cx="6858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-3877945</wp:posOffset>
            </wp:positionV>
            <wp:extent cx="6858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-3877945</wp:posOffset>
            </wp:positionV>
            <wp:extent cx="6858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-3877945</wp:posOffset>
            </wp:positionV>
            <wp:extent cx="6858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-2995930</wp:posOffset>
            </wp:positionV>
            <wp:extent cx="76835"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-2995930</wp:posOffset>
            </wp:positionV>
            <wp:extent cx="76835"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-2995930</wp:posOffset>
            </wp:positionV>
            <wp:extent cx="6858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-2995930</wp:posOffset>
            </wp:positionV>
            <wp:extent cx="6858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-2995930</wp:posOffset>
            </wp:positionV>
            <wp:extent cx="6858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-2995930</wp:posOffset>
            </wp:positionV>
            <wp:extent cx="6858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-1797685</wp:posOffset>
            </wp:positionV>
            <wp:extent cx="7683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-1797685</wp:posOffset>
            </wp:positionV>
            <wp:extent cx="7683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-1797685</wp:posOffset>
            </wp:positionV>
            <wp:extent cx="6858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-1797685</wp:posOffset>
            </wp:positionV>
            <wp:extent cx="6858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-1797685</wp:posOffset>
            </wp:positionV>
            <wp:extent cx="6858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460" w:firstLine="374"/>
        <w:spacing w:after="0" w:line="275" w:lineRule="auto"/>
        <w:rPr>
          <w:sz w:val="20"/>
          <w:szCs w:val="20"/>
          <w:color w:val="auto"/>
        </w:rPr>
      </w:pPr>
      <w:r>
        <w:rPr>
          <w:rFonts w:ascii="Arial" w:cs="Arial" w:eastAsia="Arial" w:hAnsi="Arial"/>
          <w:sz w:val="17"/>
          <w:szCs w:val="17"/>
          <w:color w:val="auto"/>
        </w:rPr>
        <w:t xml:space="preserve">We account for our stock-based compensation plans using the fair value recognition provisions of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Stock-based compensation is measured at the grant date, based on the calculated fair value of the award, net of an estimated forfeiture rate, and is recognized as an expense over the requisite employee service period (generally the vesting period of the grant). The estimated forfeiture rate is based on historical experience and revised, if necessary, in subsequent periods for actual forfeitures. There were 742,666 shares available for future stock-based payment awards under our 2016 Stock-Based Incentive Compensation Plan as of September 30, 2023.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8" w:name="page19"/>
    <w:bookmarkEnd w:id="18"/>
    <w:p>
      <w:pPr>
        <w:ind w:left="380"/>
        <w:spacing w:after="0"/>
        <w:rPr>
          <w:sz w:val="20"/>
          <w:szCs w:val="20"/>
          <w:color w:val="auto"/>
        </w:rPr>
      </w:pPr>
      <w:r>
        <w:rPr>
          <w:rFonts w:ascii="Arial" w:cs="Arial" w:eastAsia="Arial" w:hAnsi="Arial"/>
          <w:sz w:val="18"/>
          <w:szCs w:val="18"/>
          <w:i w:val="1"/>
          <w:iCs w:val="1"/>
          <w:color w:val="auto"/>
        </w:rPr>
        <w:t>Non-vested Stock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non-vested stock activity for the nine months ended September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71"/>
        </w:trPr>
        <w:tc>
          <w:tcPr>
            <w:tcW w:w="7740" w:type="dxa"/>
            <w:vAlign w:val="bottom"/>
          </w:tcPr>
          <w:p>
            <w:pPr>
              <w:spacing w:after="0"/>
              <w:rPr>
                <w:sz w:val="14"/>
                <w:szCs w:val="14"/>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6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Average Grant</w:t>
            </w:r>
          </w:p>
        </w:tc>
        <w:tc>
          <w:tcPr>
            <w:tcW w:w="100" w:type="dxa"/>
            <w:vAlign w:val="bottom"/>
          </w:tcPr>
          <w:p>
            <w:pPr>
              <w:spacing w:after="0"/>
              <w:rPr>
                <w:sz w:val="14"/>
                <w:szCs w:val="14"/>
                <w:color w:val="auto"/>
              </w:rPr>
            </w:pPr>
          </w:p>
        </w:tc>
      </w:tr>
      <w:tr>
        <w:trPr>
          <w:trHeight w:val="189"/>
        </w:trPr>
        <w:tc>
          <w:tcPr>
            <w:tcW w:w="7740" w:type="dxa"/>
            <w:vAlign w:val="bottom"/>
          </w:tcPr>
          <w:p>
            <w:pPr>
              <w:spacing w:after="0"/>
              <w:rPr>
                <w:sz w:val="16"/>
                <w:szCs w:val="16"/>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3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stock at December 31, 2022</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560,456</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235,938</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(283,332 )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(14,455 )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stock at September 30,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498,607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As of September 30, 2023, we had unrecognized compensation expense of approximately $17.3 million related to non-vested stock that we expect to be recognized over a weighted-average period of approximately 2.1 years. The following table summarizes compensation expense related to non-vested stock, which is included in selling, general and administrative expenses in the accompanying condensed consolidated statements of income for the three and nine months ended September 30, 2023 and 2022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06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6"/>
                <w:szCs w:val="16"/>
                <w:color w:val="auto"/>
              </w:rPr>
            </w:pPr>
          </w:p>
        </w:tc>
      </w:tr>
      <w:tr>
        <w:trPr>
          <w:trHeight w:val="187"/>
        </w:trPr>
        <w:tc>
          <w:tcPr>
            <w:tcW w:w="56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6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33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5"/>
                <w:szCs w:val="15"/>
                <w:color w:val="auto"/>
              </w:rPr>
            </w:pPr>
          </w:p>
        </w:tc>
      </w:tr>
      <w:tr>
        <w:trPr>
          <w:trHeight w:val="23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expense</w:t>
            </w:r>
          </w:p>
        </w:tc>
        <w:tc>
          <w:tcPr>
            <w:tcW w:w="700" w:type="dxa"/>
            <w:vAlign w:val="bottom"/>
            <w:tcBorders>
              <w:top w:val="single" w:sz="8" w:color="auto"/>
            </w:tcBorders>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2,275</w:t>
            </w:r>
          </w:p>
        </w:tc>
        <w:tc>
          <w:tcPr>
            <w:tcW w:w="24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1,926</w:t>
            </w:r>
          </w:p>
        </w:tc>
        <w:tc>
          <w:tcPr>
            <w:tcW w:w="5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7,304</w:t>
            </w:r>
          </w:p>
        </w:tc>
        <w:tc>
          <w:tcPr>
            <w:tcW w:w="2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per Share</w:t>
      </w:r>
    </w:p>
    <w:p>
      <w:pPr>
        <w:spacing w:after="0" w:line="121"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Income per common share for the three and nine months ended September 30, 2023 and 2022 is based on the weighted average number of common shares outstanding during the period. The effects of potentially dilutive securities that are anti-dilutive are not included in the computation of dilutive income per share. We include all common shares granted under our incentive compensation plan which remain unvested (“restricted common shares”) and contain non-forfeitable rights to dividends or dividend equivalents, whether paid or unpaid (“participating securities”), in the number of shares outstanding in our basic and diluted EPS calculations using the two-class method. All of our restricted common shares are currently participating securities.</w:t>
      </w:r>
    </w:p>
    <w:p>
      <w:pPr>
        <w:spacing w:after="0" w:line="133"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Under the two-class method, earnings per common share are computed by dividing the sum of distributed earnings allocated to common shareholders and undistributed earnings allocated to common shareholders by the weighted average number of common shares outstanding for the period. In applying the two-class method, distributed and undistributed earnings are allocated to both common shares and restricted common shares based on the total weighted average shares outstanding during the period. The number of restricted common shares outstanding was less than 1% of total outstanding shares for the three and nine months ended September 30, 2023 and 2022 and, consequently, was immaterial to the basic and diluted EPS calculations. Therefore, use of the two-class method had no impact on our basic and diluted EPS calculations for the periods presented. The following table sets forth the computation of basic and diluted net income per common share for the three and nine months ended September 30, 2023 and 2022 (amounts in thousands, except per share amounts):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04"/>
        </w:trPr>
        <w:tc>
          <w:tcPr>
            <w:tcW w:w="5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115,769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82,542</w:t>
            </w:r>
          </w:p>
        </w:tc>
        <w:tc>
          <w:tcPr>
            <w:tcW w:w="100" w:type="dxa"/>
            <w:vAlign w:val="bottom"/>
            <w:shd w:val="clear" w:color="auto" w:fill="CFF0FC"/>
          </w:tcPr>
          <w:p>
            <w:pPr>
              <w:spacing w:after="0"/>
              <w:rPr>
                <w:sz w:val="20"/>
                <w:szCs w:val="20"/>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Net loss from discontinued operations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(1,524 )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48,879</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115,769</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36,134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36,078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36,402</w:t>
            </w:r>
          </w:p>
        </w:tc>
        <w:tc>
          <w:tcPr>
            <w:tcW w:w="100" w:type="dxa"/>
            <w:vAlign w:val="bottom"/>
          </w:tcPr>
          <w:p>
            <w:pPr>
              <w:spacing w:after="0"/>
              <w:rPr>
                <w:sz w:val="20"/>
                <w:szCs w:val="20"/>
                <w:color w:val="auto"/>
              </w:rPr>
            </w:pPr>
          </w:p>
        </w:tc>
      </w:tr>
      <w:tr>
        <w:trPr>
          <w:trHeight w:val="249"/>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Effect of dilutive non-vested restricted stock</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36,544</w:t>
            </w:r>
          </w:p>
        </w:tc>
        <w:tc>
          <w:tcPr>
            <w:tcW w:w="100" w:type="dxa"/>
            <w:vAlign w:val="bottom"/>
          </w:tcPr>
          <w:p>
            <w:pPr>
              <w:spacing w:after="0"/>
              <w:rPr>
                <w:sz w:val="20"/>
                <w:szCs w:val="20"/>
                <w:color w:val="auto"/>
              </w:rPr>
            </w:pPr>
          </w:p>
        </w:tc>
      </w:tr>
      <w:tr>
        <w:trPr>
          <w:trHeight w:val="236"/>
        </w:trPr>
        <w:tc>
          <w:tcPr>
            <w:tcW w:w="5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Income (loss)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(0.04 )</w:t>
            </w:r>
          </w:p>
        </w:tc>
      </w:tr>
      <w:tr>
        <w:trPr>
          <w:trHeight w:val="236"/>
        </w:trPr>
        <w:tc>
          <w:tcPr>
            <w:tcW w:w="58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income per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(0.04 )</w:t>
            </w:r>
          </w:p>
        </w:tc>
      </w:tr>
      <w:tr>
        <w:trPr>
          <w:trHeight w:val="236"/>
        </w:trPr>
        <w:tc>
          <w:tcPr>
            <w:tcW w:w="58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income per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Pr>
          <w:p>
            <w:pPr>
              <w:ind w:left="20"/>
              <w:spacing w:after="0"/>
              <w:rPr>
                <w:sz w:val="20"/>
                <w:szCs w:val="20"/>
                <w:color w:val="auto"/>
              </w:rPr>
            </w:pPr>
            <w:r>
              <w:rPr>
                <w:rFonts w:ascii="Arial" w:cs="Arial" w:eastAsia="Arial" w:hAnsi="Arial"/>
                <w:sz w:val="18"/>
                <w:szCs w:val="18"/>
                <w:color w:val="auto"/>
              </w:rPr>
              <w:t>Common shares excluded from the denominator as anti-dilutive: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Non-vested restricted stock</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-2910840</wp:posOffset>
            </wp:positionV>
            <wp:extent cx="2696845"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-2268220</wp:posOffset>
            </wp:positionV>
            <wp:extent cx="7683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-2268220</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-2268220</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-1326515</wp:posOffset>
            </wp:positionV>
            <wp:extent cx="7683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-1326515</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-1326515</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-675640</wp:posOffset>
            </wp:positionV>
            <wp:extent cx="7683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-675640</wp:posOffset>
            </wp:positionV>
            <wp:extent cx="6858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-675640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Secured Credit Facility</w:t>
      </w:r>
    </w:p>
    <w:p>
      <w:pPr>
        <w:spacing w:after="0" w:line="121" w:lineRule="exact"/>
        <w:rPr>
          <w:sz w:val="20"/>
          <w:szCs w:val="20"/>
          <w:color w:val="auto"/>
        </w:rPr>
      </w:pPr>
    </w:p>
    <w:p>
      <w:pPr>
        <w:ind w:right="160" w:firstLine="374"/>
        <w:spacing w:after="0" w:line="256" w:lineRule="auto"/>
        <w:rPr>
          <w:sz w:val="20"/>
          <w:szCs w:val="20"/>
          <w:color w:val="auto"/>
        </w:rPr>
      </w:pPr>
      <w:r>
        <w:rPr>
          <w:rFonts w:ascii="Arial" w:cs="Arial" w:eastAsia="Arial" w:hAnsi="Arial"/>
          <w:sz w:val="18"/>
          <w:szCs w:val="18"/>
          <w:color w:val="auto"/>
        </w:rPr>
        <w:t>On February 2, 2023, we amended, extended and restated the $750.0 million Credit Facility by entering into the Sixth Amended and Restated Credit Agreement by and among the Company, Great Northern Equipment, Inc., H&amp;E Equipment Services (California), LLC, H&amp;E Equipment Services (Mid-Atlantic), LLC, H&amp;E Equipment Services (Midwest), LLC, the other credit parties named therein, the lenders named therein, Wells Fargo Bank, National Association, as administrative agent, the other credit parties named therein, the lenders named therein, and the joint lead arrangers, joint book runners, co-syndication agents and documentation agent named therein.</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Sixth Amended and Restated Credit Agreement, among other things, (i) extended the maturity date of the credit facility to February 2, 2028 and</w:t>
      </w:r>
    </w:p>
    <w:p>
      <w:pPr>
        <w:spacing w:after="0" w:line="46" w:lineRule="exact"/>
        <w:rPr>
          <w:sz w:val="20"/>
          <w:szCs w:val="20"/>
          <w:color w:val="auto"/>
        </w:rPr>
      </w:pPr>
    </w:p>
    <w:p>
      <w:pPr>
        <w:ind w:right="60" w:firstLine="8"/>
        <w:spacing w:after="0" w:line="260"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amended the interest rate to SOFR plus a credit spread adjustment plus an applicable margin of 1.25% to 1.75%, depending on the Average Availability (as defined in the Amended and Restated Credit Agreement).</w:t>
      </w:r>
    </w:p>
    <w:p>
      <w:pPr>
        <w:spacing w:after="0" w:line="157"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As of September 30, 2023, we were in compliance with our financial covenants under the Sixth Amended and Restated Credit Agreement. At September 30, 2023, we had $142.2 million in borrowings outstanding under the Credit Facility and could borrow up to approximately $597.2 million, net of a $10.6 million outstanding letter of credit, and remain in compliance with the debt covenants under the Credit Facility.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Senior Unsecured Note</w:t>
      </w:r>
      <w:r>
        <w:rPr>
          <w:rFonts w:ascii="Arial" w:cs="Arial" w:eastAsia="Arial" w:hAnsi="Arial"/>
          <w:sz w:val="18"/>
          <w:szCs w:val="18"/>
          <w:color w:val="auto"/>
        </w:rPr>
        <w:t>s</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On December 14, 2020, we completed the offering of our $1.25 billion, 3.875% Senior Unsecured Notes due 2028. For further information related to significant terms of the Senior Unsecured Notes, see Note 9 to the Company’s Consolidated Financial Statements included as Item 8 in the Company’s Annual Report on Form 10-K for the year ended December 31, 2022. As of September 30, 2023, we were in compliance with the covenants governing our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0" w:name="page21"/>
    <w:bookmarkEnd w:id="20"/>
    <w:p>
      <w:pPr>
        <w:ind w:left="380"/>
        <w:spacing w:after="0"/>
        <w:rPr>
          <w:sz w:val="20"/>
          <w:szCs w:val="20"/>
          <w:color w:val="auto"/>
        </w:rPr>
      </w:pPr>
      <w:r>
        <w:rPr>
          <w:rFonts w:ascii="Arial" w:cs="Arial" w:eastAsia="Arial" w:hAnsi="Arial"/>
          <w:sz w:val="18"/>
          <w:szCs w:val="18"/>
          <w:color w:val="auto"/>
        </w:rPr>
        <w:t>The following table reconciles our Senior Unsecured Notes to our Condensed Consolidated Balance Sheets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1,239,967</w:t>
            </w:r>
          </w:p>
        </w:tc>
        <w:tc>
          <w:tcPr>
            <w:tcW w:w="100" w:type="dxa"/>
            <w:vAlign w:val="bottom"/>
            <w:shd w:val="clear" w:color="auto" w:fill="CFF0FC"/>
          </w:tcPr>
          <w:p>
            <w:pPr>
              <w:spacing w:after="0"/>
              <w:rPr>
                <w:sz w:val="21"/>
                <w:szCs w:val="21"/>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8"/>
                <w:szCs w:val="18"/>
                <w:color w:val="auto"/>
              </w:rPr>
              <w:t>Accretion of discount through December 31, 2022</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0"/>
                <w:szCs w:val="20"/>
                <w:color w:val="auto"/>
              </w:rPr>
            </w:pP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deferred financing costs through December 31, 2022</w:t>
            </w:r>
          </w:p>
        </w:tc>
        <w:tc>
          <w:tcPr>
            <w:tcW w:w="6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1,241,409</w:t>
            </w:r>
          </w:p>
        </w:tc>
        <w:tc>
          <w:tcPr>
            <w:tcW w:w="100" w:type="dxa"/>
            <w:vAlign w:val="bottom"/>
          </w:tcPr>
          <w:p>
            <w:pPr>
              <w:spacing w:after="0"/>
              <w:rPr>
                <w:sz w:val="19"/>
                <w:szCs w:val="19"/>
                <w:color w:val="auto"/>
              </w:rPr>
            </w:pPr>
          </w:p>
        </w:tc>
      </w:tr>
      <w:tr>
        <w:trPr>
          <w:trHeight w:val="24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of discount through September 30, 2023</w:t>
            </w:r>
          </w:p>
        </w:tc>
        <w:tc>
          <w:tcPr>
            <w:tcW w:w="6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FF0FC"/>
          </w:tcPr>
          <w:p>
            <w:pPr>
              <w:spacing w:after="0"/>
              <w:rPr>
                <w:sz w:val="21"/>
                <w:szCs w:val="21"/>
                <w:color w:val="auto"/>
              </w:rPr>
            </w:pP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 through September 30, 2023</w:t>
            </w:r>
          </w:p>
        </w:tc>
        <w:tc>
          <w:tcPr>
            <w:tcW w:w="6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2023</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1,242,491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For a discussion of Topic 842 and related disclosures, see Note 2 and Note 11 to the Consolidated Financial Statements in our Annual Report on Form 10-K for the year ended December 31, 2022.</w:t>
      </w:r>
    </w:p>
    <w:p>
      <w:pPr>
        <w:spacing w:after="0" w:line="142" w:lineRule="exact"/>
        <w:rPr>
          <w:sz w:val="20"/>
          <w:szCs w:val="20"/>
          <w:color w:val="auto"/>
        </w:rPr>
      </w:pPr>
    </w:p>
    <w:p>
      <w:pPr>
        <w:ind w:right="360" w:firstLine="374"/>
        <w:spacing w:after="0" w:line="263" w:lineRule="auto"/>
        <w:rPr>
          <w:sz w:val="20"/>
          <w:szCs w:val="20"/>
          <w:color w:val="auto"/>
        </w:rPr>
      </w:pPr>
      <w:r>
        <w:rPr>
          <w:rFonts w:ascii="Arial" w:cs="Arial" w:eastAsia="Arial" w:hAnsi="Arial"/>
          <w:sz w:val="18"/>
          <w:szCs w:val="18"/>
          <w:color w:val="auto"/>
        </w:rPr>
        <w:t>At September 30, 2023, the weighted average remaining lease term for operating leases was approximately 7.6 years and for finance leases was approximately 8.8 years. The weighted average discount rate for operating leases and finance leases was approximately 6.4% and 5.9%, respectively at September 30, 2023.</w:t>
      </w:r>
    </w:p>
    <w:p>
      <w:pPr>
        <w:spacing w:after="0" w:line="142"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future minimum lease payments of operating leases executed but not commenced as of September 30, 2023 are estimated to be $0.2 million, $1.3 million, $1.6 million, $1.6 million and $1.7 million for the years ended December 31, 2023, 2024, 2025, 2026 and 2027, respectively, and $13.5 million thereafter. It is expected that these leases will commence during 2023 and 2024.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right="140" w:firstLine="374"/>
        <w:spacing w:after="0" w:line="275" w:lineRule="auto"/>
        <w:rPr>
          <w:sz w:val="20"/>
          <w:szCs w:val="20"/>
          <w:color w:val="auto"/>
        </w:rPr>
      </w:pPr>
      <w:r>
        <w:rPr>
          <w:rFonts w:ascii="Arial" w:cs="Arial" w:eastAsia="Arial" w:hAnsi="Arial"/>
          <w:sz w:val="17"/>
          <w:szCs w:val="17"/>
          <w:color w:val="auto"/>
        </w:rPr>
        <w:t>We have identified five reportable segments: equipment rentals, used equipment sales, new equipment sales, parts sales and services revenues. These segments are based upon revenue streams and how management of the Company allocates resources and assesses performance. Our non-segmented revenues and costs relate primarily to ancillary charges associated with equipment repair services, and are not generally allocated to the segments. There were no sales between segments for any of the periods presented. Selling, general and administrative expenses as well as all other income and expense items below gross profit are not generally allocated to reportable segments.</w:t>
      </w:r>
    </w:p>
    <w:p>
      <w:pPr>
        <w:spacing w:after="0" w:line="134"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We do not compile discrete financial information by segments other than the information presented below. The following table presents information about our reportable segments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3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Revenues:</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3"/>
        </w:trPr>
        <w:tc>
          <w:tcPr>
            <w:tcW w:w="434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315,811</w:t>
            </w:r>
          </w:p>
        </w:tc>
        <w:tc>
          <w:tcPr>
            <w:tcW w:w="300" w:type="dxa"/>
            <w:vAlign w:val="bottom"/>
          </w:tcPr>
          <w:p>
            <w:pPr>
              <w:spacing w:after="0"/>
              <w:rPr>
                <w:sz w:val="22"/>
                <w:szCs w:val="22"/>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253,564</w:t>
            </w:r>
          </w:p>
        </w:tc>
        <w:tc>
          <w:tcPr>
            <w:tcW w:w="28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869,278</w:t>
            </w:r>
          </w:p>
        </w:tc>
        <w:tc>
          <w:tcPr>
            <w:tcW w:w="26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680,366</w:t>
            </w:r>
          </w:p>
        </w:tc>
        <w:tc>
          <w:tcPr>
            <w:tcW w:w="100" w:type="dxa"/>
            <w:vAlign w:val="bottom"/>
          </w:tcPr>
          <w:p>
            <w:pPr>
              <w:spacing w:after="0"/>
              <w:rPr>
                <w:sz w:val="22"/>
                <w:szCs w:val="22"/>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Used equipment sales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52,708</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124,476</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60,659</w:t>
            </w:r>
          </w:p>
        </w:tc>
        <w:tc>
          <w:tcPr>
            <w:tcW w:w="100" w:type="dxa"/>
            <w:vAlign w:val="bottom"/>
            <w:shd w:val="clear" w:color="auto" w:fill="CFF0FC"/>
          </w:tcPr>
          <w:p>
            <w:pPr>
              <w:spacing w:after="0"/>
              <w:rPr>
                <w:sz w:val="21"/>
                <w:szCs w:val="21"/>
                <w:color w:val="auto"/>
              </w:rPr>
            </w:pPr>
          </w:p>
        </w:tc>
      </w:tr>
      <w:tr>
        <w:trPr>
          <w:trHeight w:val="236"/>
        </w:trPr>
        <w:tc>
          <w:tcPr>
            <w:tcW w:w="434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12,633</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29,308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71,013</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Parts sales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36,082</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48,976</w:t>
            </w:r>
          </w:p>
        </w:tc>
        <w:tc>
          <w:tcPr>
            <w:tcW w:w="100" w:type="dxa"/>
            <w:vAlign w:val="bottom"/>
            <w:shd w:val="clear" w:color="auto" w:fill="CFF0FC"/>
          </w:tcPr>
          <w:p>
            <w:pPr>
              <w:spacing w:after="0"/>
              <w:rPr>
                <w:sz w:val="21"/>
                <w:szCs w:val="21"/>
                <w:color w:val="auto"/>
              </w:rPr>
            </w:pPr>
          </w:p>
        </w:tc>
      </w:tr>
      <w:tr>
        <w:trPr>
          <w:trHeight w:val="256"/>
        </w:trPr>
        <w:tc>
          <w:tcPr>
            <w:tcW w:w="434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3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21,058</w:t>
            </w:r>
          </w:p>
        </w:tc>
        <w:tc>
          <w:tcPr>
            <w:tcW w:w="2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25,633</w:t>
            </w:r>
          </w:p>
        </w:tc>
        <w:tc>
          <w:tcPr>
            <w:tcW w:w="100" w:type="dxa"/>
            <w:vAlign w:val="bottom"/>
          </w:tcPr>
          <w:p>
            <w:pPr>
              <w:spacing w:after="0"/>
              <w:rPr>
                <w:sz w:val="22"/>
                <w:szCs w:val="22"/>
                <w:color w:val="auto"/>
              </w:rPr>
            </w:pPr>
          </w:p>
        </w:tc>
      </w:tr>
      <w:tr>
        <w:trPr>
          <w:trHeight w:val="236"/>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segmented revenues</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399,788</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322,710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1,080,202</w:t>
            </w: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886,647</w:t>
            </w:r>
          </w:p>
        </w:tc>
        <w:tc>
          <w:tcPr>
            <w:tcW w:w="100" w:type="dxa"/>
            <w:vAlign w:val="bottom"/>
            <w:shd w:val="clear" w:color="auto" w:fill="CFF0FC"/>
          </w:tcPr>
          <w:p>
            <w:pPr>
              <w:spacing w:after="0"/>
              <w:rPr>
                <w:sz w:val="20"/>
                <w:szCs w:val="20"/>
                <w:color w:val="auto"/>
              </w:rPr>
            </w:pPr>
          </w:p>
        </w:tc>
      </w:tr>
      <w:tr>
        <w:trPr>
          <w:trHeight w:val="256"/>
        </w:trPr>
        <w:tc>
          <w:tcPr>
            <w:tcW w:w="4340" w:type="dxa"/>
            <w:vAlign w:val="bottom"/>
          </w:tcPr>
          <w:p>
            <w:pPr>
              <w:ind w:left="380"/>
              <w:spacing w:after="0"/>
              <w:rPr>
                <w:sz w:val="20"/>
                <w:szCs w:val="20"/>
                <w:color w:val="auto"/>
              </w:rPr>
            </w:pPr>
            <w:r>
              <w:rPr>
                <w:rFonts w:ascii="Arial" w:cs="Arial" w:eastAsia="Arial" w:hAnsi="Arial"/>
                <w:sz w:val="18"/>
                <w:szCs w:val="18"/>
                <w:color w:val="auto"/>
              </w:rPr>
              <w:t>Non-segmented revenues</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3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2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2"/>
                <w:szCs w:val="22"/>
                <w:color w:val="auto"/>
              </w:rPr>
            </w:pPr>
          </w:p>
        </w:tc>
      </w:tr>
      <w:tr>
        <w:trPr>
          <w:trHeight w:val="276"/>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400,696</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324,280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1,083,410</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891,401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Segment Gross Profit:</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Equipment rentals</w:t>
            </w:r>
          </w:p>
        </w:tc>
        <w:tc>
          <w:tcPr>
            <w:tcW w:w="900" w:type="dxa"/>
            <w:vAlign w:val="bottom"/>
            <w:shd w:val="clear" w:color="auto" w:fill="CFF0FC"/>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149,849</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128,080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400,582</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328,213</w:t>
            </w:r>
          </w:p>
        </w:tc>
        <w:tc>
          <w:tcPr>
            <w:tcW w:w="100" w:type="dxa"/>
            <w:vAlign w:val="bottom"/>
            <w:shd w:val="clear" w:color="auto" w:fill="CFF0FC"/>
          </w:tcPr>
          <w:p>
            <w:pPr>
              <w:spacing w:after="0"/>
              <w:rPr>
                <w:sz w:val="21"/>
                <w:szCs w:val="21"/>
                <w:color w:val="auto"/>
              </w:rPr>
            </w:pPr>
          </w:p>
        </w:tc>
      </w:tr>
      <w:tr>
        <w:trPr>
          <w:trHeight w:val="236"/>
        </w:trPr>
        <w:tc>
          <w:tcPr>
            <w:tcW w:w="434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30,815</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73,080</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28,844</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New equipment sales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shd w:val="clear" w:color="auto" w:fill="CFF0FC"/>
          </w:tcPr>
          <w:p>
            <w:pPr>
              <w:spacing w:after="0"/>
              <w:rPr>
                <w:sz w:val="21"/>
                <w:szCs w:val="21"/>
                <w:color w:val="auto"/>
              </w:rPr>
            </w:pPr>
          </w:p>
        </w:tc>
      </w:tr>
      <w:tr>
        <w:trPr>
          <w:trHeight w:val="263"/>
        </w:trPr>
        <w:tc>
          <w:tcPr>
            <w:tcW w:w="434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3,277</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4,864</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10,346</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13,559</w:t>
            </w:r>
          </w:p>
        </w:tc>
        <w:tc>
          <w:tcPr>
            <w:tcW w:w="100" w:type="dxa"/>
            <w:vAlign w:val="bottom"/>
          </w:tcPr>
          <w:p>
            <w:pPr>
              <w:spacing w:after="0"/>
              <w:rPr>
                <w:sz w:val="22"/>
                <w:szCs w:val="22"/>
                <w:color w:val="auto"/>
              </w:rPr>
            </w:pPr>
          </w:p>
        </w:tc>
      </w:tr>
      <w:tr>
        <w:trPr>
          <w:trHeight w:val="249"/>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Services revenues</w:t>
            </w:r>
          </w:p>
        </w:tc>
        <w:tc>
          <w:tcPr>
            <w:tcW w:w="9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13,028</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4340" w:type="dxa"/>
            <w:vAlign w:val="bottom"/>
          </w:tcPr>
          <w:p>
            <w:pPr>
              <w:ind w:left="380"/>
              <w:spacing w:after="0"/>
              <w:rPr>
                <w:sz w:val="20"/>
                <w:szCs w:val="20"/>
                <w:color w:val="auto"/>
              </w:rPr>
            </w:pPr>
            <w:r>
              <w:rPr>
                <w:rFonts w:ascii="Arial" w:cs="Arial" w:eastAsia="Arial" w:hAnsi="Arial"/>
                <w:sz w:val="18"/>
                <w:szCs w:val="18"/>
                <w:color w:val="auto"/>
              </w:rPr>
              <w:t>Total segmented gross profit</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189,609</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152,535</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501,066</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397,291</w:t>
            </w:r>
          </w:p>
        </w:tc>
        <w:tc>
          <w:tcPr>
            <w:tcW w:w="100" w:type="dxa"/>
            <w:vAlign w:val="bottom"/>
          </w:tcPr>
          <w:p>
            <w:pPr>
              <w:spacing w:after="0"/>
              <w:rPr>
                <w:sz w:val="22"/>
                <w:szCs w:val="22"/>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Non-segmented gross loss</w:t>
            </w:r>
          </w:p>
        </w:tc>
        <w:tc>
          <w:tcPr>
            <w:tcW w:w="9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(1,226 )</w:t>
            </w:r>
          </w:p>
        </w:tc>
        <w:tc>
          <w:tcPr>
            <w:tcW w:w="5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(652 )</w:t>
            </w: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(2,944 )</w:t>
            </w:r>
          </w:p>
        </w:tc>
        <w:tc>
          <w:tcPr>
            <w:tcW w:w="5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(1,494 )</w:t>
            </w:r>
          </w:p>
        </w:tc>
      </w:tr>
      <w:tr>
        <w:trPr>
          <w:trHeight w:val="236"/>
        </w:trPr>
        <w:tc>
          <w:tcPr>
            <w:tcW w:w="43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gross profit</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188,383</w:t>
            </w:r>
          </w:p>
        </w:tc>
        <w:tc>
          <w:tcPr>
            <w:tcW w:w="30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151,883</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498,122</w:t>
            </w:r>
          </w:p>
        </w:tc>
        <w:tc>
          <w:tcPr>
            <w:tcW w:w="26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395,797</w:t>
            </w:r>
          </w:p>
        </w:tc>
        <w:tc>
          <w:tcPr>
            <w:tcW w:w="100" w:type="dxa"/>
            <w:vAlign w:val="bottom"/>
            <w:tcBorders>
              <w:top w:val="single" w:sz="8" w:color="CFF0FC"/>
            </w:tcBorders>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-2002790</wp:posOffset>
            </wp:positionV>
            <wp:extent cx="3425190" cy="196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5190" cy="19685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-1018540</wp:posOffset>
            </wp:positionV>
            <wp:extent cx="76835"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-1018540</wp:posOffset>
            </wp:positionV>
            <wp:extent cx="7683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-1018540</wp:posOffset>
            </wp:positionV>
            <wp:extent cx="6858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-684530</wp:posOffset>
            </wp:positionV>
            <wp:extent cx="7683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-684530</wp:posOffset>
            </wp:positionV>
            <wp:extent cx="7683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-684530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Balances at</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6"/>
              <w:spacing w:after="0" w:line="15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275"/>
              <w:spacing w:after="0" w:line="159"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3"/>
                <w:szCs w:val="13"/>
                <w:color w:val="auto"/>
              </w:rPr>
            </w:pP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Segment identified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Equipment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123,230</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94,918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1,705,367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1,418,951</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Parts and services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13,787</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ind w:left="380"/>
              <w:spacing w:after="0"/>
              <w:rPr>
                <w:sz w:val="20"/>
                <w:szCs w:val="20"/>
                <w:color w:val="auto"/>
              </w:rPr>
            </w:pPr>
            <w:r>
              <w:rPr>
                <w:rFonts w:ascii="Arial" w:cs="Arial" w:eastAsia="Arial" w:hAnsi="Arial"/>
                <w:sz w:val="18"/>
                <w:szCs w:val="18"/>
                <w:color w:val="auto"/>
              </w:rPr>
              <w:t>Total segment identified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1,842,384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1,526,793</w:t>
            </w:r>
          </w:p>
        </w:tc>
        <w:tc>
          <w:tcPr>
            <w:tcW w:w="100" w:type="dxa"/>
            <w:vAlign w:val="bottom"/>
          </w:tcPr>
          <w:p>
            <w:pPr>
              <w:spacing w:after="0"/>
              <w:rPr>
                <w:sz w:val="19"/>
                <w:szCs w:val="19"/>
                <w:color w:val="auto"/>
              </w:rPr>
            </w:pPr>
          </w:p>
        </w:tc>
      </w:tr>
      <w:tr>
        <w:trPr>
          <w:trHeight w:val="24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Non-segment identified assets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746,750</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764,906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2,589,134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2,291,699</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-504825</wp:posOffset>
            </wp:positionV>
            <wp:extent cx="7683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right="60" w:firstLine="374"/>
        <w:spacing w:after="0" w:line="286" w:lineRule="auto"/>
        <w:rPr>
          <w:sz w:val="20"/>
          <w:szCs w:val="20"/>
          <w:color w:val="auto"/>
        </w:rPr>
      </w:pPr>
      <w:r>
        <w:rPr>
          <w:rFonts w:ascii="Arial" w:cs="Arial" w:eastAsia="Arial" w:hAnsi="Arial"/>
          <w:sz w:val="17"/>
          <w:szCs w:val="17"/>
          <w:color w:val="auto"/>
        </w:rPr>
        <w:t>The Company operates primarily in the United States. Our sales to international customers for both the three months ended September 30, 2023 and 2022 were 0.1% of total revenues and for the nine months ended September 30, 2023 and 2022 were 0.1% and 0.4% of total revenues, respectively. No one customer accounted for more than 10% of our revenues on an overall or segment basis for any of the periods presented.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61" w:lineRule="exact"/>
        <w:rPr>
          <w:sz w:val="20"/>
          <w:szCs w:val="20"/>
          <w:color w:val="auto"/>
        </w:rPr>
      </w:pPr>
    </w:p>
    <w:p>
      <w:pPr>
        <w:ind w:right="200" w:firstLine="374"/>
        <w:spacing w:after="0" w:line="290" w:lineRule="auto"/>
        <w:rPr>
          <w:sz w:val="20"/>
          <w:szCs w:val="20"/>
          <w:color w:val="auto"/>
        </w:rPr>
      </w:pPr>
      <w:r>
        <w:rPr>
          <w:rFonts w:ascii="Arial" w:cs="Arial" w:eastAsia="Arial" w:hAnsi="Arial"/>
          <w:sz w:val="16"/>
          <w:szCs w:val="16"/>
          <w:color w:val="auto"/>
        </w:rPr>
        <w:t>The following discussion summarizes the financial position of H&amp;E Equipment Services, Inc. and its subsidiaries as of September 30, 2023, and its results of operations for the three and nine months ended September 30, 2023, and should be read in conjunction with (i) the unaudited condensed consolidated financial statements and notes thereto included elsewhere in this Quarterly Report on Form 10-Q and (ii) the audited consolidated financial statements and accompanying notes to our Annual Report on Form 10-K for the year ended December 31, 2022. The following discussion contains, in addition to historical information, forward-looking statements that include risks and uncertainties (see discussion of “Forward-Looking Statements” included elsewhere in this Quarterly Report on Form 10-Q). Our actual results may differ materially from those anticipated in these forward-looking statements as a result of certain factors, including those factors set forth under Item 1A – “Risk Factors” of our Annual Report on Form 10-K for the year ended December 31, 2022 and in Item 1A – “Risk Factors” in this Quarterly Report on Form 10-Q for the quarterly period ended September 30, 2023.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100" w:firstLine="374"/>
        <w:spacing w:after="0" w:line="279" w:lineRule="auto"/>
        <w:rPr>
          <w:sz w:val="20"/>
          <w:szCs w:val="20"/>
          <w:color w:val="auto"/>
        </w:rPr>
      </w:pPr>
      <w:r>
        <w:rPr>
          <w:rFonts w:ascii="Arial" w:cs="Arial" w:eastAsia="Arial" w:hAnsi="Arial"/>
          <w:sz w:val="17"/>
          <w:szCs w:val="17"/>
          <w:color w:val="auto"/>
        </w:rPr>
        <w:t>Founded in 1961 through our predecessor companies, we have been in the equipment services business for approximately 62 years and are one of the largest rental equipment companies in the nation. H&amp;E Equipment Services L.L.C. (“ H&amp;E L.L.C.”) was formed in June 2002 through the business combination of Head &amp; Engquist, a wholly-owned subsidiary of Gulf Wide Industries, L.L.C., and ICM Equipment Company L.L.C. In connection with our initial public offering in February 2006, we converted H&amp;E L.L.C. into H&amp;E Equipment Services, Inc., a Delaware corporation.</w:t>
      </w:r>
    </w:p>
    <w:p>
      <w:pPr>
        <w:spacing w:after="0" w:line="62"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H&amp;E serves a diverse set of end markets in many high-growth geographies including branches throughout the Pacific Northwest, West Coast, Intermountain, Southwest, Gulf Coast, Southeast, Midwest and Mid-Atlantic regions. As of September 30, 2023, we operated 131 branch locations across 30 states throughout the United States.</w:t>
      </w:r>
    </w:p>
    <w:p>
      <w:pPr>
        <w:spacing w:after="0" w:line="142"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While focusing primarily on equipment rentals, we additionally engage in used equipment sales, new equipment sales, parts sales and repair and maintenance services. The Company’s construction rental fleet is among the industry’s youngest with an equipment mix comprised of aerial work platforms, earthmoving, material handling, and other general and specialty lines. We are confident our operating experience and extensive infrastructure developed throughout our history as an integrated equipment services company qualified us to successfully transition to a pure-play rental company. This experience and infrastructure continues to provide us with a competitive advantage enabling us to broaden our industry expansion. Our workforce includes an outside and inside sales force for our rental operations and equipment sales, highly skilled service technicians, transportation drivers and regional and district managers. Our management, from the corporate level down to the branch store level, has extensive industry experience. We believe this allows us to provide specialized equipment knowledge, improve the effectiveness of our sales force and strengthen our customer relationships. In addition, we operate our day-to-day business on a branch basis, which allows us to more closely service our customers, fosters management accountability at local levels and strengthens our local and regional relationships.</w:t>
      </w:r>
    </w:p>
    <w:p>
      <w:pPr>
        <w:spacing w:after="0" w:line="142" w:lineRule="exact"/>
        <w:rPr>
          <w:sz w:val="20"/>
          <w:szCs w:val="20"/>
          <w:color w:val="auto"/>
        </w:rPr>
      </w:pPr>
    </w:p>
    <w:p>
      <w:pPr>
        <w:ind w:right="20" w:firstLine="374"/>
        <w:spacing w:after="0" w:line="301" w:lineRule="auto"/>
        <w:rPr>
          <w:sz w:val="20"/>
          <w:szCs w:val="20"/>
          <w:color w:val="auto"/>
        </w:rPr>
      </w:pPr>
      <w:r>
        <w:rPr>
          <w:rFonts w:ascii="Arial" w:cs="Arial" w:eastAsia="Arial" w:hAnsi="Arial"/>
          <w:sz w:val="16"/>
          <w:szCs w:val="16"/>
          <w:color w:val="auto"/>
        </w:rPr>
        <w:t>Effective October 1, 2021, the Company sold its crane business to a wholly-owned subsidiary of The Manitowoc Company, Inc. for $130 million in cash (“the Crane Sale”). The Crane Sale met the criteria for discontinued operations presentation and as such, the results of operations of the Crane Sale are reported in discontinued operations in the Consolidated Statements of Income for the 2022 period presented. The financial results and information below are presented on a continuing operations basis and exclude the Crane Sale, unless otherwise noted specifically as discontinued operations.</w:t>
      </w:r>
    </w:p>
    <w:p>
      <w:pPr>
        <w:spacing w:after="0" w:line="129" w:lineRule="exact"/>
        <w:rPr>
          <w:sz w:val="20"/>
          <w:szCs w:val="20"/>
          <w:color w:val="auto"/>
        </w:rPr>
      </w:pPr>
    </w:p>
    <w:p>
      <w:pPr>
        <w:ind w:right="460" w:firstLine="374"/>
        <w:spacing w:after="0" w:line="277" w:lineRule="auto"/>
        <w:rPr>
          <w:sz w:val="20"/>
          <w:szCs w:val="20"/>
          <w:color w:val="auto"/>
        </w:rPr>
      </w:pPr>
      <w:r>
        <w:rPr>
          <w:rFonts w:ascii="Arial" w:cs="Arial" w:eastAsia="Arial" w:hAnsi="Arial"/>
          <w:sz w:val="18"/>
          <w:szCs w:val="18"/>
          <w:color w:val="auto"/>
        </w:rPr>
        <w:t>Effective October 1, 2022, the Company completed the acquisition of One Source Equipment Rentals, Inc. (“OSR”), a privately-held equipment rentals company with 10 branch locations primarily in the Midwest.</w:t>
      </w:r>
    </w:p>
    <w:p>
      <w:pPr>
        <w:spacing w:after="0" w:line="129"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Effective December 15, 2022, the Company sold its Komatsu distributorship in Louisiana. The sale included a branch location in Kenner, LA, a branch in Shreveport, LA and accompanying new equipment inventory, parts and supplies.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Item 7, included in Part II of our Annual Report on Form 10-K for the year ended December 31, 2022, presents the accounting policies and related estimates that we believe are the most critical to understanding our consolidated financial statements, financial condition, and results of operations and cash flows, and which require complex management judgment and assumptions, or involve uncertainties. There have been no significant changes to these critical accounting policies and estimates during the three and nine months ended September 30, 2023. Our critical accounting policies include, among others, useful lives of rental equipment and property and equipment, acquisition accounting, goodwill, long-lived assets and income taxes.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3" w:name="page24"/>
    <w:bookmarkEnd w:id="23"/>
    <w:p>
      <w:pPr>
        <w:ind w:right="200" w:firstLine="374"/>
        <w:spacing w:after="0" w:line="263" w:lineRule="auto"/>
        <w:rPr>
          <w:sz w:val="20"/>
          <w:szCs w:val="20"/>
          <w:color w:val="auto"/>
        </w:rPr>
      </w:pPr>
      <w:r>
        <w:rPr>
          <w:rFonts w:ascii="Arial" w:cs="Arial" w:eastAsia="Arial" w:hAnsi="Arial"/>
          <w:sz w:val="18"/>
          <w:szCs w:val="18"/>
          <w:color w:val="auto"/>
        </w:rPr>
        <w:t>Information regarding our other significant accounting policies is included in Note 2 to our Consolidated Financial Statements in Item 8 of Part II of our Annual Report on Form 10-K for the year ended December 31, 2022 and in Note 2 to the Condensed Consolidated Financial Statements in this Quarterly Report on Form 10-Q.</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color w:val="auto"/>
        </w:rPr>
        <w:t>We have five reportable segments because we derive our revenues from five business activities: (1) equipment rentals; (2) used equipment sales; (3) new equipment sales; (4) parts sales; and (5) repair and maintenance services. Our primary segment is equipment rentals. In addition, we also have non-segmented revenues and costs that relate to equipment support activities. These segments are based upon how we allocate resources and assess performance.</w:t>
      </w:r>
    </w:p>
    <w:p>
      <w:pPr>
        <w:spacing w:after="0" w:line="77" w:lineRule="exact"/>
        <w:rPr>
          <w:sz w:val="20"/>
          <w:szCs w:val="20"/>
          <w:color w:val="auto"/>
        </w:rPr>
      </w:pPr>
    </w:p>
    <w:p>
      <w:pPr>
        <w:ind w:left="1020" w:right="100" w:hanging="504"/>
        <w:spacing w:after="0" w:line="270"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Equipment Rentals. </w:t>
      </w:r>
      <w:r>
        <w:rPr>
          <w:rFonts w:ascii="Arial" w:cs="Arial" w:eastAsia="Arial" w:hAnsi="Arial"/>
          <w:sz w:val="17"/>
          <w:szCs w:val="17"/>
          <w:color w:val="auto"/>
        </w:rPr>
        <w:t>Our rental operation is our principal focus and we primarily rent our core types of construction and industrial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(aerial work platforms, earthmoving equipment, material handling equipment and other general and specialty lines). We have a well-maintained rental fleet and a dedicated sales team. We actively manage the size, quality, age and composition of our rental fleet based on our analysis of key measures such as time utilization (a reflection of equipment usage based on customer demand and calculated as our fleet’s original equipment cost on-rent divided by our fleet’s total original equipment cost, averaged over the time period), rental rate trends and targets, rental equipment dollar utilization, and maintenance and repair costs, which we closely monitor. Given the use of these measures by management, we believe that investors’ understanding of our performance is enhanced by the disclosure of the measures as it allows investors to view performance from management’s perspective. Additionally, we maintain fleet quality through quality control inspections and our parts and services operations.</w:t>
      </w:r>
    </w:p>
    <w:p>
      <w:pPr>
        <w:spacing w:after="0" w:line="70" w:lineRule="exact"/>
        <w:rPr>
          <w:rFonts w:ascii="Arial" w:cs="Arial" w:eastAsia="Arial" w:hAnsi="Arial"/>
          <w:sz w:val="17"/>
          <w:szCs w:val="17"/>
          <w:color w:val="auto"/>
        </w:rPr>
      </w:pPr>
    </w:p>
    <w:p>
      <w:pPr>
        <w:ind w:left="1020" w:right="40" w:hanging="504"/>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Used Equipment Sales. </w:t>
      </w:r>
      <w:r>
        <w:rPr>
          <w:rFonts w:ascii="Arial" w:cs="Arial" w:eastAsia="Arial" w:hAnsi="Arial"/>
          <w:sz w:val="18"/>
          <w:szCs w:val="18"/>
          <w:color w:val="auto"/>
        </w:rPr>
        <w:t>Our used equipment sales are generated primarily from sales from our rental fleet. Sales of our rental fleet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allow us to manage the size, quality, composition and age of our rental fleet, and provide us with a profitable distribution channel for the disposal of rental equipment.</w:t>
      </w:r>
    </w:p>
    <w:p>
      <w:pPr>
        <w:spacing w:after="0" w:line="74" w:lineRule="exact"/>
        <w:rPr>
          <w:rFonts w:ascii="Arial" w:cs="Arial" w:eastAsia="Arial" w:hAnsi="Arial"/>
          <w:sz w:val="18"/>
          <w:szCs w:val="18"/>
          <w:color w:val="auto"/>
        </w:rPr>
      </w:pPr>
    </w:p>
    <w:p>
      <w:pPr>
        <w:ind w:left="1020" w:right="180" w:hanging="504"/>
        <w:spacing w:after="0" w:line="34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New Equipment Sales. </w:t>
      </w:r>
      <w:r>
        <w:rPr>
          <w:rFonts w:ascii="Arial" w:cs="Arial" w:eastAsia="Arial" w:hAnsi="Arial"/>
          <w:sz w:val="16"/>
          <w:szCs w:val="16"/>
          <w:color w:val="auto"/>
        </w:rPr>
        <w:t>We sell equipment through a professional sales force. While sales of new equipment are impacted by the availability</w:t>
      </w:r>
      <w:r>
        <w:rPr>
          <w:rFonts w:ascii="Arial" w:cs="Arial" w:eastAsia="Arial" w:hAnsi="Arial"/>
          <w:sz w:val="16"/>
          <w:szCs w:val="16"/>
          <w:i w:val="1"/>
          <w:iCs w:val="1"/>
          <w:color w:val="auto"/>
        </w:rPr>
        <w:t xml:space="preserve"> </w:t>
      </w:r>
      <w:r>
        <w:rPr>
          <w:rFonts w:ascii="Arial" w:cs="Arial" w:eastAsia="Arial" w:hAnsi="Arial"/>
          <w:sz w:val="16"/>
          <w:szCs w:val="16"/>
          <w:color w:val="auto"/>
        </w:rPr>
        <w:t>of equipment from the manufacturer, we believe our relationship with some of our key suppliers improves our ability to obtain equipment.</w:t>
      </w:r>
    </w:p>
    <w:p>
      <w:pPr>
        <w:spacing w:after="0" w:line="16" w:lineRule="exact"/>
        <w:rPr>
          <w:rFonts w:ascii="Arial" w:cs="Arial" w:eastAsia="Arial" w:hAnsi="Arial"/>
          <w:sz w:val="16"/>
          <w:szCs w:val="16"/>
          <w:color w:val="auto"/>
        </w:rPr>
      </w:pPr>
    </w:p>
    <w:p>
      <w:pPr>
        <w:ind w:left="1020" w:hanging="504"/>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Our parts business provides parts to our own rental fleet and sells parts for the equipment we sell. In order to provide timely parts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support to our rental fleet as well as our customers, we maintain a parts inventory.</w:t>
      </w:r>
    </w:p>
    <w:p>
      <w:pPr>
        <w:spacing w:after="0" w:line="61" w:lineRule="exact"/>
        <w:rPr>
          <w:rFonts w:ascii="Arial" w:cs="Arial" w:eastAsia="Arial" w:hAnsi="Arial"/>
          <w:sz w:val="18"/>
          <w:szCs w:val="18"/>
          <w:color w:val="auto"/>
        </w:rPr>
      </w:pPr>
    </w:p>
    <w:p>
      <w:pPr>
        <w:ind w:left="1020" w:right="300" w:hanging="504"/>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Our services operation provides maintenance and repair services to our own rental fleet and for our customers’ equipment at our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as well as at our customers’ locations.</w:t>
      </w:r>
    </w:p>
    <w:p>
      <w:pPr>
        <w:spacing w:after="0" w:line="142"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Our non-segmented revenues and costs relate primarily to ancillary charges associated with equipment maintenance and repair services, and are not generally allocated to reportable segments.</w:t>
      </w:r>
    </w:p>
    <w:p>
      <w:pPr>
        <w:spacing w:after="0" w:line="129"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For additional information about our business segments, see Note 11 to the Condensed Consolidated Financial Statements in this Quarterly Report on Form 10-Q.</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 Sources</w:t>
      </w:r>
    </w:p>
    <w:p>
      <w:pPr>
        <w:spacing w:after="0" w:line="117"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auto"/>
        </w:rPr>
        <w:t>We generate all of our total revenues from our five business segments and our non-segmented equipment support activities. Equipment rentals account for the majority of our total revenues. For the nine months ended September 30, 2023, of our total revenues, approximately 80.2% were attributable to equipment rentals, 11.5% were attributable to used equipment sales, 2.7% were attributable to new equipment sales, 3.3% were attributable to parts sales, 1.9% were attributable to our services revenues and 0.4% were attributable to our non-segmented other revenues.</w:t>
      </w:r>
    </w:p>
    <w:p>
      <w:pPr>
        <w:spacing w:after="0" w:line="129" w:lineRule="exact"/>
        <w:rPr>
          <w:sz w:val="20"/>
          <w:szCs w:val="20"/>
          <w:color w:val="auto"/>
        </w:rPr>
      </w:pPr>
    </w:p>
    <w:p>
      <w:pPr>
        <w:ind w:right="120" w:firstLine="374"/>
        <w:spacing w:after="0" w:line="256" w:lineRule="auto"/>
        <w:rPr>
          <w:sz w:val="20"/>
          <w:szCs w:val="20"/>
          <w:color w:val="auto"/>
        </w:rPr>
      </w:pPr>
      <w:r>
        <w:rPr>
          <w:rFonts w:ascii="Arial" w:cs="Arial" w:eastAsia="Arial" w:hAnsi="Arial"/>
          <w:sz w:val="18"/>
          <w:szCs w:val="18"/>
          <w:color w:val="auto"/>
        </w:rPr>
        <w:t>The equipment that we rent, sell and service is principally used in the construction industry, as well as by companies for commercial and industrial uses such as plant maintenance and turnarounds, and in the petrochemical and energy sectors. As a result, our total revenues are affected by several factors including, but not limited to, the demand for and availability of rental equipment, rental rates and other competitive factors, the demand for used and new equipment, the level of construction and industrial activities, spending levels by our customers, adverse weather conditions, supply chain disruptions and general economic conditions.</w:t>
      </w:r>
    </w:p>
    <w:p>
      <w:pPr>
        <w:spacing w:after="0" w:line="83" w:lineRule="exact"/>
        <w:rPr>
          <w:sz w:val="20"/>
          <w:szCs w:val="20"/>
          <w:color w:val="auto"/>
        </w:rPr>
      </w:pPr>
    </w:p>
    <w:p>
      <w:pPr>
        <w:jc w:val="both"/>
        <w:ind w:left="380" w:right="80"/>
        <w:spacing w:after="0" w:line="296" w:lineRule="auto"/>
        <w:rPr>
          <w:sz w:val="20"/>
          <w:szCs w:val="20"/>
          <w:color w:val="auto"/>
        </w:rPr>
      </w:pPr>
      <w:r>
        <w:rPr>
          <w:rFonts w:ascii="Arial" w:cs="Arial" w:eastAsia="Arial" w:hAnsi="Arial"/>
          <w:sz w:val="16"/>
          <w:szCs w:val="16"/>
          <w:i w:val="1"/>
          <w:iCs w:val="1"/>
          <w:color w:val="auto"/>
        </w:rPr>
        <w:t xml:space="preserve">Equipment Rentals. </w:t>
      </w:r>
      <w:r>
        <w:rPr>
          <w:rFonts w:ascii="Arial" w:cs="Arial" w:eastAsia="Arial" w:hAnsi="Arial"/>
          <w:sz w:val="16"/>
          <w:szCs w:val="16"/>
          <w:color w:val="auto"/>
        </w:rPr>
        <w:t>Our rental operation primarily represents revenues from renting owned equipment of our core types of construction and industrial</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(aerial work platforms, earthmoving equipment, material handling equipment and other general and specialty lines). We primarily account for these rental contracts as operating leases. We recognize revenue from equipment rentals in the period earned, regardless of the timing of billing to customers. A rental contract includes rates for daily, weekly or monthly use, and rental revenues are earned on a daily basis as rental contracts remain outstanding. We have a well-maintained rental fleet and we actively manage the size, quality, age and composition of our rental fleet.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4" w:name="page25"/>
    <w:bookmarkEnd w:id="24"/>
    <w:p>
      <w:pPr>
        <w:ind w:left="380"/>
        <w:spacing w:after="0"/>
        <w:rPr>
          <w:sz w:val="20"/>
          <w:szCs w:val="20"/>
          <w:color w:val="auto"/>
        </w:rPr>
      </w:pPr>
      <w:r>
        <w:rPr>
          <w:rFonts w:ascii="Arial" w:cs="Arial" w:eastAsia="Arial" w:hAnsi="Arial"/>
          <w:sz w:val="18"/>
          <w:szCs w:val="18"/>
          <w:i w:val="1"/>
          <w:iCs w:val="1"/>
          <w:color w:val="auto"/>
        </w:rPr>
        <w:t xml:space="preserve">Used Equipment Sales. </w:t>
      </w:r>
      <w:r>
        <w:rPr>
          <w:rFonts w:ascii="Arial" w:cs="Arial" w:eastAsia="Arial" w:hAnsi="Arial"/>
          <w:sz w:val="18"/>
          <w:szCs w:val="18"/>
          <w:color w:val="auto"/>
        </w:rPr>
        <w:t>We generate the majority of our used equipment sales revenues by selling equipment from our rental fleet.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New Equipment Sales. </w:t>
      </w:r>
      <w:r>
        <w:rPr>
          <w:rFonts w:ascii="Arial" w:cs="Arial" w:eastAsia="Arial" w:hAnsi="Arial"/>
          <w:sz w:val="18"/>
          <w:szCs w:val="18"/>
          <w:color w:val="auto"/>
        </w:rPr>
        <w:t>Our new equipment sales operation sells new equipment across all of our core categories of equipment.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We primarily generate revenues from the sale of parts for equipment that we rent or sell.</w:t>
      </w:r>
    </w:p>
    <w:p>
      <w:pPr>
        <w:spacing w:after="0" w:line="117" w:lineRule="exact"/>
        <w:rPr>
          <w:sz w:val="20"/>
          <w:szCs w:val="20"/>
          <w:color w:val="auto"/>
        </w:rPr>
      </w:pPr>
    </w:p>
    <w:p>
      <w:pPr>
        <w:ind w:left="380" w:right="460"/>
        <w:spacing w:after="0" w:line="277"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We primarily derive our services revenues from maintenance and repair services for equipment that we rent or sell and from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equipment.</w:t>
      </w:r>
    </w:p>
    <w:p>
      <w:pPr>
        <w:spacing w:after="0" w:line="62" w:lineRule="exact"/>
        <w:rPr>
          <w:sz w:val="20"/>
          <w:szCs w:val="20"/>
          <w:color w:val="auto"/>
        </w:rPr>
      </w:pPr>
    </w:p>
    <w:p>
      <w:pPr>
        <w:ind w:left="380" w:right="340"/>
        <w:spacing w:after="0" w:line="277" w:lineRule="auto"/>
        <w:rPr>
          <w:sz w:val="20"/>
          <w:szCs w:val="20"/>
          <w:color w:val="auto"/>
        </w:rPr>
      </w:pPr>
      <w:r>
        <w:rPr>
          <w:rFonts w:ascii="Arial" w:cs="Arial" w:eastAsia="Arial" w:hAnsi="Arial"/>
          <w:sz w:val="18"/>
          <w:szCs w:val="18"/>
          <w:color w:val="auto"/>
        </w:rPr>
        <w:t>Our non-segmented revenues for the periods presented in this Quarterly Report on Form 10-Q relate primarily to ancillary charges associated with equipment maintenance and repair services, and are not generally allocated to reportable segments.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Principal Costs and Expenses</w:t>
      </w:r>
    </w:p>
    <w:p>
      <w:pPr>
        <w:spacing w:after="0" w:line="117" w:lineRule="exact"/>
        <w:rPr>
          <w:sz w:val="20"/>
          <w:szCs w:val="20"/>
          <w:color w:val="auto"/>
        </w:rPr>
      </w:pPr>
    </w:p>
    <w:p>
      <w:pPr>
        <w:jc w:val="both"/>
        <w:ind w:right="240" w:firstLine="374"/>
        <w:spacing w:after="0" w:line="286" w:lineRule="auto"/>
        <w:rPr>
          <w:sz w:val="20"/>
          <w:szCs w:val="20"/>
          <w:color w:val="auto"/>
        </w:rPr>
      </w:pPr>
      <w:r>
        <w:rPr>
          <w:rFonts w:ascii="Arial" w:cs="Arial" w:eastAsia="Arial" w:hAnsi="Arial"/>
          <w:sz w:val="16"/>
          <w:szCs w:val="16"/>
          <w:color w:val="auto"/>
        </w:rPr>
        <w:t>Our largest expenses are rental expenses, rental depreciation, the costs to purchase new equipment, the costs associated with the used equipment we sell, and costs associated with parts sales and services, all of which are included in cost of revenues. For the nine months ended September 30, 2023, our total cost of revenues was $585.3 million. Our operating expenses consist principally of selling, general and administrative (“SG&amp;A”) expenses. For the nine months ended September 30, 2023, our SG&amp;A expenses were $298.8 million. In addition, we have interest expense related to our debt instruments.</w:t>
      </w:r>
    </w:p>
    <w:p>
      <w:pPr>
        <w:ind w:right="60"/>
        <w:spacing w:after="0" w:line="260" w:lineRule="auto"/>
        <w:rPr>
          <w:sz w:val="20"/>
          <w:szCs w:val="20"/>
          <w:color w:val="auto"/>
        </w:rPr>
      </w:pPr>
      <w:r>
        <w:rPr>
          <w:rFonts w:ascii="Arial" w:cs="Arial" w:eastAsia="Arial" w:hAnsi="Arial"/>
          <w:sz w:val="18"/>
          <w:szCs w:val="18"/>
          <w:color w:val="auto"/>
        </w:rPr>
        <w:t>Operating expenses and all other income and expense items below the gross profit line of our consolidated statements of income are not generally allocated to our reportable segments.</w:t>
      </w:r>
    </w:p>
    <w:p>
      <w:pPr>
        <w:spacing w:after="0" w:line="144"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We are also subject to federal and state income taxes. Future income tax examinations by state and federal agencies could result in additional income tax expense based on potential outcomes of such matters.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380"/>
        <w:spacing w:after="0" w:line="256" w:lineRule="auto"/>
        <w:rPr>
          <w:sz w:val="20"/>
          <w:szCs w:val="20"/>
          <w:color w:val="auto"/>
        </w:rPr>
      </w:pPr>
      <w:r>
        <w:rPr>
          <w:rFonts w:ascii="Arial" w:cs="Arial" w:eastAsia="Arial" w:hAnsi="Arial"/>
          <w:sz w:val="18"/>
          <w:szCs w:val="18"/>
          <w:i w:val="1"/>
          <w:iCs w:val="1"/>
          <w:color w:val="auto"/>
        </w:rPr>
        <w:t xml:space="preserve">Rental Depreciation. </w:t>
      </w:r>
      <w:r>
        <w:rPr>
          <w:rFonts w:ascii="Arial" w:cs="Arial" w:eastAsia="Arial" w:hAnsi="Arial"/>
          <w:sz w:val="18"/>
          <w:szCs w:val="18"/>
          <w:color w:val="auto"/>
        </w:rPr>
        <w:t>Depreciation of rental equipment represents the depreciation costs attributable to rental equipment. Estimated useful lives vary</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type of equipment. Generally, we depreciate aerial work platforms over a ten year estimated useful life, earthmoving equipment over a five year estimated useful life with a 25% salvage value, and material handling equipment over a seven year estimated useful life. Attachments and other smaller type equipment are depreciated over a three year estimated useful life. We periodically evaluate the appropriateness of remaining depreciable lives assigned to rental equipment.</w:t>
      </w:r>
    </w:p>
    <w:p>
      <w:pPr>
        <w:spacing w:after="0" w:line="123" w:lineRule="exact"/>
        <w:rPr>
          <w:sz w:val="20"/>
          <w:szCs w:val="20"/>
          <w:color w:val="auto"/>
        </w:rPr>
      </w:pPr>
    </w:p>
    <w:p>
      <w:pPr>
        <w:ind w:left="380" w:right="640"/>
        <w:spacing w:after="0" w:line="307" w:lineRule="auto"/>
        <w:rPr>
          <w:sz w:val="20"/>
          <w:szCs w:val="20"/>
          <w:color w:val="auto"/>
        </w:rPr>
      </w:pPr>
      <w:r>
        <w:rPr>
          <w:rFonts w:ascii="Arial" w:cs="Arial" w:eastAsia="Arial" w:hAnsi="Arial"/>
          <w:sz w:val="17"/>
          <w:szCs w:val="17"/>
          <w:i w:val="1"/>
          <w:iCs w:val="1"/>
          <w:color w:val="auto"/>
        </w:rPr>
        <w:t xml:space="preserve">Rental Expense. </w:t>
      </w:r>
      <w:r>
        <w:rPr>
          <w:rFonts w:ascii="Arial" w:cs="Arial" w:eastAsia="Arial" w:hAnsi="Arial"/>
          <w:sz w:val="17"/>
          <w:szCs w:val="17"/>
          <w:color w:val="auto"/>
        </w:rPr>
        <w:t>Rental expense represents the costs associated with rental equipment, including, among other things, the cost of repairing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our rental equipment, property taxes on our fleet and other miscellaneous costs of owning rental equipment.</w:t>
      </w:r>
    </w:p>
    <w:p>
      <w:pPr>
        <w:spacing w:after="0" w:line="80" w:lineRule="exact"/>
        <w:rPr>
          <w:sz w:val="20"/>
          <w:szCs w:val="20"/>
          <w:color w:val="auto"/>
        </w:rPr>
      </w:pPr>
    </w:p>
    <w:p>
      <w:pPr>
        <w:ind w:left="380" w:right="580"/>
        <w:spacing w:after="0" w:line="307" w:lineRule="auto"/>
        <w:rPr>
          <w:sz w:val="20"/>
          <w:szCs w:val="20"/>
          <w:color w:val="auto"/>
        </w:rPr>
      </w:pPr>
      <w:r>
        <w:rPr>
          <w:rFonts w:ascii="Arial" w:cs="Arial" w:eastAsia="Arial" w:hAnsi="Arial"/>
          <w:sz w:val="17"/>
          <w:szCs w:val="17"/>
          <w:i w:val="1"/>
          <w:iCs w:val="1"/>
          <w:color w:val="auto"/>
        </w:rPr>
        <w:t xml:space="preserve">Rental Other. </w:t>
      </w:r>
      <w:r>
        <w:rPr>
          <w:rFonts w:ascii="Arial" w:cs="Arial" w:eastAsia="Arial" w:hAnsi="Arial"/>
          <w:sz w:val="17"/>
          <w:szCs w:val="17"/>
          <w:color w:val="auto"/>
        </w:rPr>
        <w:t>Rental other expenses consist primarily of equipment support activities that we provide our customers in connection with renting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such as hauling services, damage waiver policies, environmental fees and other recovery fees.</w:t>
      </w:r>
    </w:p>
    <w:p>
      <w:pPr>
        <w:spacing w:after="0" w:line="66" w:lineRule="exact"/>
        <w:rPr>
          <w:sz w:val="20"/>
          <w:szCs w:val="20"/>
          <w:color w:val="auto"/>
        </w:rPr>
      </w:pPr>
    </w:p>
    <w:p>
      <w:pPr>
        <w:ind w:left="380" w:right="300"/>
        <w:spacing w:after="0" w:line="277" w:lineRule="auto"/>
        <w:rPr>
          <w:sz w:val="20"/>
          <w:szCs w:val="20"/>
          <w:color w:val="auto"/>
        </w:rPr>
      </w:pPr>
      <w:r>
        <w:rPr>
          <w:rFonts w:ascii="Arial" w:cs="Arial" w:eastAsia="Arial" w:hAnsi="Arial"/>
          <w:sz w:val="18"/>
          <w:szCs w:val="18"/>
          <w:i w:val="1"/>
          <w:iCs w:val="1"/>
          <w:color w:val="auto"/>
        </w:rPr>
        <w:t xml:space="preserve">Used Equipment Sales. </w:t>
      </w:r>
      <w:r>
        <w:rPr>
          <w:rFonts w:ascii="Arial" w:cs="Arial" w:eastAsia="Arial" w:hAnsi="Arial"/>
          <w:sz w:val="18"/>
          <w:szCs w:val="18"/>
          <w:color w:val="auto"/>
        </w:rPr>
        <w:t>Cost of used equipment sold primarily consists of the net book value of rental equipment for used equipment sold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rental fleet.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New Equipment Sales. </w:t>
      </w:r>
      <w:r>
        <w:rPr>
          <w:rFonts w:ascii="Arial" w:cs="Arial" w:eastAsia="Arial" w:hAnsi="Arial"/>
          <w:sz w:val="18"/>
          <w:szCs w:val="18"/>
          <w:color w:val="auto"/>
        </w:rPr>
        <w:t>Cost of new equipment sold primarily consists of the equipment cost of the new equipment that is sold.</w:t>
      </w:r>
    </w:p>
    <w:p>
      <w:pPr>
        <w:spacing w:after="0" w:line="157"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i w:val="1"/>
          <w:iCs w:val="1"/>
          <w:color w:val="auto"/>
        </w:rPr>
        <w:t xml:space="preserve">Parts Sales. </w:t>
      </w:r>
      <w:r>
        <w:rPr>
          <w:rFonts w:ascii="Arial" w:cs="Arial" w:eastAsia="Arial" w:hAnsi="Arial"/>
          <w:sz w:val="18"/>
          <w:szCs w:val="18"/>
          <w:color w:val="auto"/>
        </w:rPr>
        <w:t>Cost of parts sales represents costs attributable to the sale of parts used in the maintenance and repair of equipment on-rent by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directly to customers for their owned equipment.</w:t>
      </w:r>
    </w:p>
    <w:p>
      <w:pPr>
        <w:spacing w:after="0" w:line="89" w:lineRule="exact"/>
        <w:rPr>
          <w:sz w:val="20"/>
          <w:szCs w:val="20"/>
          <w:color w:val="auto"/>
        </w:rPr>
      </w:pPr>
    </w:p>
    <w:p>
      <w:pPr>
        <w:ind w:left="380" w:right="240"/>
        <w:spacing w:after="0" w:line="277" w:lineRule="auto"/>
        <w:rPr>
          <w:sz w:val="20"/>
          <w:szCs w:val="20"/>
          <w:color w:val="auto"/>
        </w:rPr>
      </w:pPr>
      <w:r>
        <w:rPr>
          <w:rFonts w:ascii="Arial" w:cs="Arial" w:eastAsia="Arial" w:hAnsi="Arial"/>
          <w:sz w:val="18"/>
          <w:szCs w:val="18"/>
          <w:i w:val="1"/>
          <w:iCs w:val="1"/>
          <w:color w:val="auto"/>
        </w:rPr>
        <w:t xml:space="preserve">Services Support. </w:t>
      </w:r>
      <w:r>
        <w:rPr>
          <w:rFonts w:ascii="Arial" w:cs="Arial" w:eastAsia="Arial" w:hAnsi="Arial"/>
          <w:sz w:val="18"/>
          <w:szCs w:val="18"/>
          <w:color w:val="auto"/>
        </w:rPr>
        <w:t>Cost of services revenues represents costs attributable to service provided for the maintenance and repair of equipment on-rent by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of customer-owned equipment.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non-segmented other expenses include costs associated with ancillary charges associated with equipment maintenance and repair services</w:t>
      </w:r>
      <w:r>
        <w:rPr>
          <w:rFonts w:ascii="Arial" w:cs="Arial" w:eastAsia="Arial" w:hAnsi="Arial"/>
          <w:sz w:val="16"/>
          <w:szCs w:val="16"/>
          <w:i w:val="1"/>
          <w:iCs w:val="1"/>
          <w:color w:val="auto"/>
        </w:rPr>
        <w:t>.</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80" w:firstLine="374"/>
        <w:spacing w:after="0" w:line="259" w:lineRule="auto"/>
        <w:rPr>
          <w:sz w:val="20"/>
          <w:szCs w:val="20"/>
          <w:color w:val="auto"/>
        </w:rPr>
      </w:pPr>
      <w:r>
        <w:rPr>
          <w:rFonts w:ascii="Arial" w:cs="Arial" w:eastAsia="Arial" w:hAnsi="Arial"/>
          <w:sz w:val="18"/>
          <w:szCs w:val="18"/>
          <w:color w:val="auto"/>
        </w:rPr>
        <w:t>Our SG&amp;A expenses include sales and marketing expenses, payroll and related benefit costs, including stock compensation expense, insurance expenses, professional fees, rent and other occupancy costs, property and other taxes, administrative overhead, acquisition costs, depreciation associated with property and equipment (other than rental equipment) and amortization expense associated with intangible assets. These expenses are not generally allocated to our reportable segments.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3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Interest expense for the periods presented represents the interest on our outstanding debt instruments, including aggregate amounts outstanding under our revolving $750.0 million senior secured credit facility (the “Credit Facility”), our $1.25 billion, 3.875% senior unsecured notes due 2028 (the “Senior Unsecured Notes”) and finance lease obligations. Non-cash interest expense related to the amortization cost of deferred financing costs and the accretion/amortization of note discount/premium are also included in interest expense.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Principal Cash Flows</w:t>
      </w:r>
    </w:p>
    <w:p>
      <w:pPr>
        <w:spacing w:after="0" w:line="117"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We generate cash primarily from our operating activities and, historically, we have used cash flows from operating activities and available borrowings under the Credit Facility as the primary sources of funds to purchase inventory and to fund working capital and capital expenditures, growth and expansion opportunities (see also “Liquidity and Capital Resources” below). The management of our working capital is closely tied to operating cash flows, as working capital can be impacted by, among other things, our accounts receivable activities, the level of used and new equipment inventories, which may increase or decrease in response to current and expected demand, and the size and timing of our trade accounts payable payment cycles.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Rental Fleet</w:t>
      </w:r>
    </w:p>
    <w:p>
      <w:pPr>
        <w:spacing w:after="0" w:line="117"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A substantial portion of our overall value is in our rental fleet equipment. The net book value of our rental equipment at September 30, 2023 was $1.7 billion, or approximately 65.9% of our total assets. Our rental fleet as of September 30, 2023 consisted of 61,195 units having an original acquisition cost (which we define as the cost originally paid to manufacturers) of $2.7 billion. As of September 30, 2023, our rental fleet composition was as follows (dollars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 of</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8"/>
              </w:rPr>
              <w:t>Original</w:t>
            </w:r>
          </w:p>
        </w:tc>
        <w:tc>
          <w:tcPr>
            <w:tcW w:w="240" w:type="dxa"/>
            <w:vAlign w:val="bottom"/>
          </w:tcPr>
          <w:p>
            <w:pPr>
              <w:spacing w:after="0"/>
              <w:rPr>
                <w:sz w:val="14"/>
                <w:szCs w:val="14"/>
                <w:color w:val="auto"/>
              </w:rPr>
            </w:pPr>
          </w:p>
        </w:tc>
        <w:tc>
          <w:tcPr>
            <w:tcW w:w="15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 of</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8"/>
              </w:rPr>
              <w:t>Original</w:t>
            </w: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2"/>
                <w:szCs w:val="12"/>
                <w:color w:val="auto"/>
              </w:rPr>
            </w:pPr>
          </w:p>
        </w:tc>
        <w:tc>
          <w:tcPr>
            <w:tcW w:w="8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40" w:type="dxa"/>
            <w:vAlign w:val="bottom"/>
          </w:tcPr>
          <w:p>
            <w:pPr>
              <w:spacing w:after="0"/>
              <w:rPr>
                <w:sz w:val="12"/>
                <w:szCs w:val="12"/>
                <w:color w:val="auto"/>
              </w:rPr>
            </w:pPr>
          </w:p>
        </w:tc>
        <w:tc>
          <w:tcPr>
            <w:tcW w:w="150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Age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500"/>
              <w:spacing w:after="0"/>
              <w:rPr>
                <w:sz w:val="20"/>
                <w:szCs w:val="20"/>
                <w:color w:val="auto"/>
              </w:rPr>
            </w:pPr>
            <w:r>
              <w:rPr>
                <w:rFonts w:ascii="Arial" w:cs="Arial" w:eastAsia="Arial" w:hAnsi="Arial"/>
                <w:sz w:val="14"/>
                <w:szCs w:val="14"/>
                <w:b w:val="1"/>
                <w:bCs w:val="1"/>
                <w:color w:val="auto"/>
                <w:w w:val="97"/>
              </w:rPr>
              <w:t>Units</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5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Cost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Aerial Work Platforms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27,251</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902.8</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Earthmoving</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14.0 %</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w:t>
            </w:r>
          </w:p>
        </w:tc>
        <w:tc>
          <w:tcPr>
            <w:tcW w:w="1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27.3 %</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8"/>
                <w:szCs w:val="18"/>
                <w:color w:val="auto"/>
              </w:rPr>
              <w:t>Material Handling Equipment</w:t>
            </w:r>
          </w:p>
        </w:tc>
        <w:tc>
          <w:tcPr>
            <w:tcW w:w="1280" w:type="dxa"/>
            <w:vAlign w:val="bottom"/>
          </w:tcPr>
          <w:p>
            <w:pPr>
              <w:jc w:val="right"/>
              <w:spacing w:after="0"/>
              <w:rPr>
                <w:sz w:val="20"/>
                <w:szCs w:val="20"/>
                <w:color w:val="auto"/>
              </w:rPr>
            </w:pPr>
            <w:r>
              <w:rPr>
                <w:rFonts w:ascii="Arial" w:cs="Arial" w:eastAsia="Arial" w:hAnsi="Arial"/>
                <w:sz w:val="18"/>
                <w:szCs w:val="18"/>
                <w:color w:val="auto"/>
              </w:rPr>
              <w:t>9,937</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16.2 %</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29.0 %</w:t>
            </w:r>
          </w:p>
        </w:tc>
        <w:tc>
          <w:tcPr>
            <w:tcW w:w="124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25.3 %</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w:t>
            </w:r>
          </w:p>
        </w:tc>
        <w:tc>
          <w:tcPr>
            <w:tcW w:w="1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10.6 %</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60" w:type="dxa"/>
            <w:vAlign w:val="bottom"/>
          </w:tcPr>
          <w:p>
            <w:pPr>
              <w:ind w:left="200"/>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color w:val="auto"/>
              </w:rPr>
              <w:t>61,195</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 xml:space="preserve">100.0 </w:t>
            </w:r>
            <w:r>
              <w:rPr>
                <w:rFonts w:ascii="Arial" w:cs="Arial" w:eastAsia="Arial" w:hAnsi="Arial"/>
                <w:sz w:val="18"/>
                <w:szCs w:val="18"/>
                <w:color w:val="auto"/>
                <w:highlight w:val="white"/>
                <w:w w:val="87"/>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2,726.9</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color w:val="auto"/>
                <w:highlight w:val="white"/>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-187960</wp:posOffset>
            </wp:positionV>
            <wp:extent cx="7683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-187960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Determining the optimal age and mix for our rental fleet equipment is subjective and requires considerable estimates and judgments by management. We constantly evaluate the mix, age and quality of the equipment in our rental fleet in response to current economic and market conditions, competition and customer demand as part of our fleet management strategy. The mix and age of our rental fleet, as well as our cash flows, are impacted by sales of equipment from the rental fleet, which are influenced by used equipment pricing at the retail and secondary auction market levels, the demand for our rental fleet, the availability of new equipment and the capital expenditures to acquire new rental fleet equipment. In making equipment acquisition decisions, we evaluate current economic and market conditions, competition, manufacturers’ availability, pricing and return on investment over the estimated useful life of the specific equipment, among other things. As a result of our in-house service capabilities and extensive maintenance program, our rental fleet is well-maintained.</w:t>
      </w:r>
    </w:p>
    <w:p>
      <w:pPr>
        <w:spacing w:after="0" w:line="156"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auto"/>
        </w:rPr>
        <w:t>The original acquisition cost of our gross rental fleet increased by approximately $368.5 million, or 15.6%, for the nine months ended September 30, 2023. The average age of our rental fleet equipment decreased by approximately 2.5 months for the nine months ended September 30, 2023. Our average rental rates for the nine months ended September 30, 2023 were approximately 7.0% higher than last year (see further discussion on rental rates in “Results of Operations” below). Our average rental rates for the nine months ended September 30, 2023 do not include the impact of the OSR acquisition.</w:t>
      </w:r>
    </w:p>
    <w:p>
      <w:pPr>
        <w:spacing w:after="0" w:line="129"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rental equipment mix among our core product lines for the nine months ended September 30, 2023 was largely consistent with that of the prior year comparable period as a percentage of total units available for rent and as a percentage of original acquisition cost.</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Principal External Factors that Affect our Businesses</w:t>
      </w:r>
    </w:p>
    <w:p>
      <w:pPr>
        <w:spacing w:after="0" w:line="117" w:lineRule="exact"/>
        <w:rPr>
          <w:sz w:val="20"/>
          <w:szCs w:val="20"/>
          <w:color w:val="auto"/>
        </w:rPr>
      </w:pPr>
    </w:p>
    <w:p>
      <w:pPr>
        <w:ind w:right="320" w:firstLine="374"/>
        <w:spacing w:after="0" w:line="311" w:lineRule="auto"/>
        <w:rPr>
          <w:sz w:val="20"/>
          <w:szCs w:val="20"/>
          <w:color w:val="auto"/>
        </w:rPr>
      </w:pPr>
      <w:r>
        <w:rPr>
          <w:rFonts w:ascii="Arial" w:cs="Arial" w:eastAsia="Arial" w:hAnsi="Arial"/>
          <w:sz w:val="16"/>
          <w:szCs w:val="16"/>
          <w:color w:val="auto"/>
        </w:rPr>
        <w:t>We are subject to a number of external factors that may adversely affect our businesses. These factors, and other factors, are discussed below and under the heading “Forward-Looking Statements,” and in Item 1A—Risk Factors in our Annual Report on Form 10-K for the year ended December 31, 2022 and in Item 1A—“Risk Factors” in this Quarterly Report on Form 10-Q for the quarterly period ended September 30, 2023.</w:t>
      </w:r>
    </w:p>
    <w:p>
      <w:pPr>
        <w:spacing w:after="0" w:line="40" w:lineRule="exact"/>
        <w:rPr>
          <w:sz w:val="20"/>
          <w:szCs w:val="20"/>
          <w:color w:val="auto"/>
        </w:rPr>
      </w:pPr>
    </w:p>
    <w:p>
      <w:pPr>
        <w:ind w:left="900" w:right="14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Economic downturns. </w:t>
      </w:r>
      <w:r>
        <w:rPr>
          <w:rFonts w:ascii="Arial" w:cs="Arial" w:eastAsia="Arial" w:hAnsi="Arial"/>
          <w:sz w:val="18"/>
          <w:szCs w:val="18"/>
          <w:color w:val="auto"/>
        </w:rPr>
        <w:t>The demand for our products is dependent on the general economy, which is in turn affected by geopolitical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stability of the global credit markets, the industries in which our customers operate or serve,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900" w:right="200"/>
        <w:spacing w:after="0" w:line="277" w:lineRule="auto"/>
        <w:rPr>
          <w:sz w:val="20"/>
          <w:szCs w:val="20"/>
          <w:color w:val="auto"/>
        </w:rPr>
      </w:pPr>
      <w:r>
        <w:rPr>
          <w:rFonts w:ascii="Arial" w:cs="Arial" w:eastAsia="Arial" w:hAnsi="Arial"/>
          <w:sz w:val="18"/>
          <w:szCs w:val="18"/>
          <w:color w:val="auto"/>
        </w:rPr>
        <w:t>other factors. Downturns in the general economy or in the construction and industrial markets, as well as adverse credit market conditions, can cause demand for our products to materially decrease.</w:t>
      </w:r>
    </w:p>
    <w:p>
      <w:pPr>
        <w:spacing w:after="0" w:line="62" w:lineRule="exact"/>
        <w:rPr>
          <w:sz w:val="20"/>
          <w:szCs w:val="20"/>
          <w:color w:val="auto"/>
        </w:rPr>
      </w:pPr>
    </w:p>
    <w:p>
      <w:pPr>
        <w:ind w:left="900" w:right="300" w:hanging="383"/>
        <w:spacing w:after="0" w:line="28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Spending levels by customers. </w:t>
      </w:r>
      <w:r>
        <w:rPr>
          <w:rFonts w:ascii="Arial" w:cs="Arial" w:eastAsia="Arial" w:hAnsi="Arial"/>
          <w:sz w:val="17"/>
          <w:szCs w:val="17"/>
          <w:color w:val="auto"/>
        </w:rPr>
        <w:t>Rentals and sales of equipment to the construction industry and to industrial companies constitute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our total revenues. As a result, we depend upon customers in these businesses and their ability and willingness to rent or buy equipment. Accordingly, our business is impacted by fluctuations in customers’ spending levels.</w:t>
      </w:r>
    </w:p>
    <w:p>
      <w:pPr>
        <w:spacing w:after="0" w:line="56" w:lineRule="exact"/>
        <w:rPr>
          <w:rFonts w:ascii="Arial" w:cs="Arial" w:eastAsia="Arial" w:hAnsi="Arial"/>
          <w:sz w:val="17"/>
          <w:szCs w:val="17"/>
          <w:color w:val="auto"/>
        </w:rPr>
      </w:pPr>
    </w:p>
    <w:p>
      <w:pPr>
        <w:ind w:left="900" w:right="220" w:hanging="383"/>
        <w:spacing w:after="0" w:line="31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Adverse weather. </w:t>
      </w:r>
      <w:r>
        <w:rPr>
          <w:rFonts w:ascii="Arial" w:cs="Arial" w:eastAsia="Arial" w:hAnsi="Arial"/>
          <w:sz w:val="16"/>
          <w:szCs w:val="16"/>
          <w:color w:val="auto"/>
        </w:rPr>
        <w:t>Adverse weather in a geographic region in which we operate may depress demand for equipment in that region. Our</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is primarily used outdoors and, as a result, prolonged adverse weather conditions may prohibit our customers from continuing their work projects. Adverse weather also has a seasonal impact in parts of our Intermountain region, particularly in the winter months.</w:t>
      </w:r>
    </w:p>
    <w:p>
      <w:pPr>
        <w:spacing w:after="0" w:line="39" w:lineRule="exact"/>
        <w:rPr>
          <w:rFonts w:ascii="Arial" w:cs="Arial" w:eastAsia="Arial" w:hAnsi="Arial"/>
          <w:sz w:val="16"/>
          <w:szCs w:val="16"/>
          <w:color w:val="auto"/>
        </w:rPr>
      </w:pPr>
    </w:p>
    <w:p>
      <w:pPr>
        <w:ind w:left="900" w:right="220" w:hanging="383"/>
        <w:spacing w:after="0" w:line="30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Regional and Industry-Specific Activity and Trends. </w:t>
      </w:r>
      <w:r>
        <w:rPr>
          <w:rFonts w:ascii="Arial" w:cs="Arial" w:eastAsia="Arial" w:hAnsi="Arial"/>
          <w:sz w:val="16"/>
          <w:szCs w:val="16"/>
          <w:color w:val="auto"/>
        </w:rPr>
        <w:t>Expenditures by our customers may be impacted by the overall level of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 in the markets and regions in which they operate, the price of oil and other commodities, the price of materials, supply chain disruptions and other general economic trends impacting the industries in which our customers and end users operate. As our customers adjust their activity and spending levels in response to these external factors, our rentals and sales of equipment to those customers will be impacted.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40" w:firstLine="374"/>
        <w:spacing w:after="0" w:line="311" w:lineRule="auto"/>
        <w:rPr>
          <w:sz w:val="20"/>
          <w:szCs w:val="20"/>
          <w:color w:val="auto"/>
        </w:rPr>
      </w:pPr>
      <w:r>
        <w:rPr>
          <w:rFonts w:ascii="Arial" w:cs="Arial" w:eastAsia="Arial" w:hAnsi="Arial"/>
          <w:sz w:val="16"/>
          <w:szCs w:val="16"/>
          <w:color w:val="auto"/>
        </w:rPr>
        <w:t>The tables included in the period-to-period comparisons below provide summaries of our revenues and gross profits for our business segments and non-segmented revenues for the three and nine months ended September 30, 2023 and 2022. The period-to-period comparisons of our financial results are not necessarily indicative of future results. All financial results and metrics discussed below are on a continuing operations basis.</w:t>
      </w:r>
    </w:p>
    <w:p>
      <w:pPr>
        <w:spacing w:after="0" w:line="107"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color w:val="auto"/>
        </w:rPr>
        <w:t>As discussed further in Note 1 and Note 3 to our Condensed Consolidated Financial Statements, on October 1, 2021 the Company sold its crane business and during the second quarter of 2022 the Company finalized closing adjustments. The results of operations of the Crane Sale are reported in discontinued operations in the Condensed Consolidated Statements of Income for the 2022 period presented. The Condensed Consolidated Statements of Cash Flows includes cash flows related to the discontinued operations and accordingly, cash flow amounts for discontinued operations are disclosed in Note 3 “Acquisitions and Dispositions”.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the Three Months Ended September 30, 2022</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Increase</w:t>
            </w:r>
          </w:p>
        </w:tc>
        <w:tc>
          <w:tcPr>
            <w:tcW w:w="15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(in thousands,</w:t>
            </w:r>
          </w:p>
        </w:tc>
        <w:tc>
          <w:tcPr>
            <w:tcW w:w="13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0"/>
              </w:rPr>
              <w:t>except percentages)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Revenues: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Rentals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280,257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224,126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56,131</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56"/>
        </w:trPr>
        <w:tc>
          <w:tcPr>
            <w:tcW w:w="5780" w:type="dxa"/>
            <w:vAlign w:val="bottom"/>
          </w:tcPr>
          <w:p>
            <w:pPr>
              <w:ind w:left="380"/>
              <w:spacing w:after="0"/>
              <w:rPr>
                <w:sz w:val="20"/>
                <w:szCs w:val="20"/>
                <w:color w:val="auto"/>
              </w:rPr>
            </w:pPr>
            <w:r>
              <w:rPr>
                <w:rFonts w:ascii="Arial" w:cs="Arial" w:eastAsia="Arial" w:hAnsi="Arial"/>
                <w:sz w:val="18"/>
                <w:szCs w:val="18"/>
                <w:color w:val="auto"/>
              </w:rPr>
              <w:t>Rentals other</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35,554</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29,438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6,116</w:t>
            </w:r>
          </w:p>
        </w:tc>
        <w:tc>
          <w:tcPr>
            <w:tcW w:w="220" w:type="dxa"/>
            <w:vAlign w:val="bottom"/>
          </w:tcPr>
          <w:p>
            <w:pPr>
              <w:spacing w:after="0"/>
              <w:rPr>
                <w:sz w:val="22"/>
                <w:szCs w:val="22"/>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4"/>
        </w:trPr>
        <w:tc>
          <w:tcPr>
            <w:tcW w:w="5780" w:type="dxa"/>
            <w:vAlign w:val="bottom"/>
          </w:tcPr>
          <w:p>
            <w:pPr>
              <w:ind w:left="480"/>
              <w:spacing w:after="0"/>
              <w:rPr>
                <w:sz w:val="20"/>
                <w:szCs w:val="20"/>
                <w:color w:val="auto"/>
              </w:rPr>
            </w:pPr>
            <w:r>
              <w:rPr>
                <w:rFonts w:ascii="Arial" w:cs="Arial" w:eastAsia="Arial" w:hAnsi="Arial"/>
                <w:sz w:val="18"/>
                <w:szCs w:val="18"/>
                <w:color w:val="auto"/>
              </w:rPr>
              <w:t>Total equipment rentals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315,811</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253,564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62,247</w:t>
            </w:r>
          </w:p>
        </w:tc>
        <w:tc>
          <w:tcPr>
            <w:tcW w:w="2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78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52,708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32,408</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159.6 %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12,633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(10,858 )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(46.2 )%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11,897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(4,848 )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(1,871 )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56"/>
        </w:trPr>
        <w:tc>
          <w:tcPr>
            <w:tcW w:w="5780" w:type="dxa"/>
            <w:vAlign w:val="bottom"/>
          </w:tcPr>
          <w:p>
            <w:pPr>
              <w:ind w:left="20"/>
              <w:spacing w:after="0"/>
              <w:rPr>
                <w:sz w:val="20"/>
                <w:szCs w:val="20"/>
                <w:color w:val="auto"/>
              </w:rPr>
            </w:pPr>
            <w:r>
              <w:rPr>
                <w:rFonts w:ascii="Arial" w:cs="Arial" w:eastAsia="Arial" w:hAnsi="Arial"/>
                <w:sz w:val="18"/>
                <w:szCs w:val="18"/>
                <w:color w:val="auto"/>
              </w:rPr>
              <w:t>Non-Segmented revenues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(662 )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36"/>
        </w:trPr>
        <w:tc>
          <w:tcPr>
            <w:tcW w:w="5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400,696</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324,280</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76,416</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9" w:lineRule="exact"/>
        <w:rPr>
          <w:sz w:val="20"/>
          <w:szCs w:val="20"/>
          <w:color w:val="auto"/>
        </w:rPr>
      </w:pPr>
    </w:p>
    <w:p>
      <w:pPr>
        <w:ind w:right="420" w:firstLine="374"/>
        <w:spacing w:after="0" w:line="263"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Our total revenues were $400.7 million for the three months ended September 30, 2023 compared to $324.3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an increase of $76.4 million, or 23.6%. Revenues for all reportable segments and non-segmented other revenues are further discussed below.</w:t>
      </w:r>
    </w:p>
    <w:p>
      <w:pPr>
        <w:spacing w:after="0" w:line="156" w:lineRule="exact"/>
        <w:rPr>
          <w:sz w:val="20"/>
          <w:szCs w:val="20"/>
          <w:color w:val="auto"/>
        </w:rPr>
      </w:pPr>
    </w:p>
    <w:p>
      <w:pPr>
        <w:ind w:right="280" w:firstLine="374"/>
        <w:spacing w:after="0" w:line="311" w:lineRule="auto"/>
        <w:rPr>
          <w:sz w:val="20"/>
          <w:szCs w:val="20"/>
          <w:color w:val="auto"/>
        </w:rPr>
      </w:pPr>
      <w:r>
        <w:rPr>
          <w:rFonts w:ascii="Arial" w:cs="Arial" w:eastAsia="Arial" w:hAnsi="Arial"/>
          <w:sz w:val="16"/>
          <w:szCs w:val="16"/>
          <w:i w:val="1"/>
          <w:iCs w:val="1"/>
          <w:color w:val="auto"/>
        </w:rPr>
        <w:t>Equipment Rental Revenues</w:t>
      </w:r>
      <w:r>
        <w:rPr>
          <w:rFonts w:ascii="Arial" w:cs="Arial" w:eastAsia="Arial" w:hAnsi="Arial"/>
          <w:sz w:val="16"/>
          <w:szCs w:val="16"/>
          <w:color w:val="auto"/>
        </w:rPr>
        <w:t>. Our total revenues from equipment rentals for the three months ended September 30, 2023 increased $62.2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24.5%, to $315.8 million from $253.6 million in the three months ended September 30, 2022. The increased equipment rental revenues was primarily due to our larger fleet and increased rental rates as compared to the prior year. See Rentals and Rentals Other below for additional information.</w:t>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7" w:name="page28"/>
    <w:bookmarkEnd w:id="27"/>
    <w:p>
      <w:pPr>
        <w:ind w:right="180" w:firstLine="374"/>
        <w:spacing w:after="0" w:line="269" w:lineRule="auto"/>
        <w:rPr>
          <w:sz w:val="20"/>
          <w:szCs w:val="20"/>
          <w:color w:val="auto"/>
        </w:rPr>
      </w:pPr>
      <w:r>
        <w:rPr>
          <w:rFonts w:ascii="Arial" w:cs="Arial" w:eastAsia="Arial" w:hAnsi="Arial"/>
          <w:sz w:val="17"/>
          <w:szCs w:val="17"/>
          <w:i w:val="1"/>
          <w:iCs w:val="1"/>
          <w:color w:val="auto"/>
        </w:rPr>
        <w:t>Rentals</w:t>
      </w:r>
      <w:r>
        <w:rPr>
          <w:rFonts w:ascii="Arial" w:cs="Arial" w:eastAsia="Arial" w:hAnsi="Arial"/>
          <w:sz w:val="17"/>
          <w:szCs w:val="17"/>
          <w:color w:val="auto"/>
        </w:rPr>
        <w:t>: Rental revenues increased $56.1 million, or 25.0%, to $280.3 million for the three months ended September 30, 2023 compared to $224.1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September 30, 2022. Rental revenues from material handling equipment increased $16.9 million, aerial work platform equipment increased $15.3 million, earthmoving equipment increased $12.8 million and other equipment increased $11.1 million. Our average rental rates for the three months ended September 30, 2023 increased 4.9% compared to the same three months last year and increased 1.2% from the three months ended June 30, 2023. Our average rental rates do not include the impact of the OSR acquisition for the 2023 period. Rental equipment dollar utilization (annual rental revenues divided by the average original rental fleet equipment costs) for the three months ended September 30, 2023 was 41.5% compared to 42.7% in the three months ended September 30, 2022, a decrease of 1.2%. The decrease in comparative rental equipment dollar utilization was the net result of a decrease in rental equipment time utilization and an increase in equipment rental rates. Rental equipment time utilization as a percentage of original equipment cost was 70.0% for the three months ended September 30, 2023 compared to 73.3% in the three months ended September 30, 2022, a decrease of 3.3%. The decrease in rental equipment time utilization as a percentage of original equipment cost was largely reflective of the increase in fleet size and our expansion efforts.</w:t>
      </w:r>
    </w:p>
    <w:p>
      <w:pPr>
        <w:spacing w:after="0" w:line="152" w:lineRule="exact"/>
        <w:rPr>
          <w:sz w:val="20"/>
          <w:szCs w:val="20"/>
          <w:color w:val="auto"/>
        </w:rPr>
      </w:pPr>
    </w:p>
    <w:p>
      <w:pPr>
        <w:ind w:right="280" w:firstLine="374"/>
        <w:spacing w:after="0" w:line="279" w:lineRule="auto"/>
        <w:rPr>
          <w:sz w:val="20"/>
          <w:szCs w:val="20"/>
          <w:color w:val="auto"/>
        </w:rPr>
      </w:pPr>
      <w:r>
        <w:rPr>
          <w:rFonts w:ascii="Arial" w:cs="Arial" w:eastAsia="Arial" w:hAnsi="Arial"/>
          <w:sz w:val="17"/>
          <w:szCs w:val="17"/>
          <w:i w:val="1"/>
          <w:iCs w:val="1"/>
          <w:color w:val="auto"/>
        </w:rPr>
        <w:t xml:space="preserve">Rentals Other: </w:t>
      </w:r>
      <w:r>
        <w:rPr>
          <w:rFonts w:ascii="Arial" w:cs="Arial" w:eastAsia="Arial" w:hAnsi="Arial"/>
          <w:sz w:val="17"/>
          <w:szCs w:val="17"/>
          <w:color w:val="auto"/>
        </w:rPr>
        <w:t>Our rentals other revenues consists primarily of equipment support activities that we provide to customers in connection with renting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such as hauling charges, damage waiver policies, environmental and other recovery fees. Rental other revenues for the three months ended September 30, 2023 were $35.6 million compared to $29.4 million for the three months ended September 30, 2022, an increase of approximately $6.1 million, or 20.8%. This increase was primarily related to increased rental revenues discussed above.</w:t>
      </w:r>
    </w:p>
    <w:p>
      <w:pPr>
        <w:spacing w:after="0" w:line="129"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i w:val="1"/>
          <w:iCs w:val="1"/>
          <w:color w:val="auto"/>
        </w:rPr>
        <w:t>Used Equipment Sales Revenues</w:t>
      </w:r>
      <w:r>
        <w:rPr>
          <w:rFonts w:ascii="Arial" w:cs="Arial" w:eastAsia="Arial" w:hAnsi="Arial"/>
          <w:sz w:val="18"/>
          <w:szCs w:val="18"/>
          <w:color w:val="auto"/>
        </w:rPr>
        <w:t>. Our used equipment sales increased $32.4 million, or 159.6%, to $52.7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from $20.3 million for the same three months in 2022. This increase is reflective of our fleet management strategy and our decision to capitalize on the high demand for used equipment. Sales of used earthmoving equipment, used material handling equipment and used aerial work platform equipment increased $18.1 million, $9.8 million and $2.3 million, respectively.</w:t>
      </w:r>
    </w:p>
    <w:p>
      <w:pPr>
        <w:spacing w:after="0" w:line="145" w:lineRule="exact"/>
        <w:rPr>
          <w:sz w:val="20"/>
          <w:szCs w:val="20"/>
          <w:color w:val="auto"/>
        </w:rPr>
      </w:pPr>
    </w:p>
    <w:p>
      <w:pPr>
        <w:ind w:right="100" w:firstLine="374"/>
        <w:spacing w:after="0" w:line="279" w:lineRule="auto"/>
        <w:rPr>
          <w:sz w:val="20"/>
          <w:szCs w:val="20"/>
          <w:color w:val="auto"/>
        </w:rPr>
      </w:pPr>
      <w:r>
        <w:rPr>
          <w:rFonts w:ascii="Arial" w:cs="Arial" w:eastAsia="Arial" w:hAnsi="Arial"/>
          <w:sz w:val="17"/>
          <w:szCs w:val="17"/>
          <w:i w:val="1"/>
          <w:iCs w:val="1"/>
          <w:color w:val="auto"/>
        </w:rPr>
        <w:t>New Equipment Sales Revenues</w:t>
      </w:r>
      <w:r>
        <w:rPr>
          <w:rFonts w:ascii="Arial" w:cs="Arial" w:eastAsia="Arial" w:hAnsi="Arial"/>
          <w:sz w:val="17"/>
          <w:szCs w:val="17"/>
          <w:color w:val="auto"/>
        </w:rPr>
        <w:t>. Our new equipment sales for the three months ended September 30, 2023 decreased $10.9 million, or 46.2%, to $12.6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$23.5 million for the three months ended September 30, 2022. This decrease is primarily reflective of the sale of our Komatsu Earthmoving Distributorship during the fourth quarter of 2022 as sales of new earthmoving equipment decreased $13.9 million. Offsetting this decrease, sales of new aerial work platform equipment and material handling equipment increased $1.7 million and $0.9 million, respectively.</w:t>
      </w:r>
    </w:p>
    <w:p>
      <w:pPr>
        <w:spacing w:after="0" w:line="143" w:lineRule="exact"/>
        <w:rPr>
          <w:sz w:val="20"/>
          <w:szCs w:val="20"/>
          <w:color w:val="auto"/>
        </w:rPr>
      </w:pPr>
    </w:p>
    <w:p>
      <w:pPr>
        <w:ind w:right="460" w:firstLine="374"/>
        <w:spacing w:after="0" w:line="277" w:lineRule="auto"/>
        <w:rPr>
          <w:sz w:val="20"/>
          <w:szCs w:val="20"/>
          <w:color w:val="auto"/>
        </w:rPr>
      </w:pPr>
      <w:r>
        <w:rPr>
          <w:rFonts w:ascii="Arial" w:cs="Arial" w:eastAsia="Arial" w:hAnsi="Arial"/>
          <w:sz w:val="18"/>
          <w:szCs w:val="18"/>
          <w:i w:val="1"/>
          <w:iCs w:val="1"/>
          <w:color w:val="auto"/>
        </w:rPr>
        <w:t>Parts Sales Revenues</w:t>
      </w:r>
      <w:r>
        <w:rPr>
          <w:rFonts w:ascii="Arial" w:cs="Arial" w:eastAsia="Arial" w:hAnsi="Arial"/>
          <w:sz w:val="18"/>
          <w:szCs w:val="18"/>
          <w:color w:val="auto"/>
        </w:rPr>
        <w:t>. Our parts sales revenues for the three months ended September 30, 2023 decreased $4.8 million, or 29.0%, to $11.9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$16.7 million for the same three months last year.</w:t>
      </w:r>
    </w:p>
    <w:p>
      <w:pPr>
        <w:spacing w:after="0" w:line="129"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i w:val="1"/>
          <w:iCs w:val="1"/>
          <w:color w:val="auto"/>
        </w:rPr>
        <w:t>Services Revenues</w:t>
      </w:r>
      <w:r>
        <w:rPr>
          <w:rFonts w:ascii="Arial" w:cs="Arial" w:eastAsia="Arial" w:hAnsi="Arial"/>
          <w:sz w:val="18"/>
          <w:szCs w:val="18"/>
          <w:color w:val="auto"/>
        </w:rPr>
        <w:t>. Our services revenues for the three months ended September 30, 2023 decreased $1.9 million, or 21.7%, to $6.7 million from $8.6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three months last year.</w:t>
      </w:r>
    </w:p>
    <w:p>
      <w:pPr>
        <w:spacing w:after="0" w:line="129" w:lineRule="exact"/>
        <w:rPr>
          <w:sz w:val="20"/>
          <w:szCs w:val="20"/>
          <w:color w:val="auto"/>
        </w:rPr>
      </w:pPr>
    </w:p>
    <w:p>
      <w:pPr>
        <w:ind w:right="180" w:firstLine="374"/>
        <w:spacing w:after="0" w:line="286" w:lineRule="auto"/>
        <w:rPr>
          <w:sz w:val="20"/>
          <w:szCs w:val="20"/>
          <w:color w:val="auto"/>
        </w:rPr>
      </w:pPr>
      <w:r>
        <w:rPr>
          <w:rFonts w:ascii="Arial" w:cs="Arial" w:eastAsia="Arial" w:hAnsi="Arial"/>
          <w:sz w:val="17"/>
          <w:szCs w:val="17"/>
          <w:i w:val="1"/>
          <w:iCs w:val="1"/>
          <w:color w:val="auto"/>
        </w:rPr>
        <w:t>Non-Segmented Other Revenues</w:t>
      </w:r>
      <w:r>
        <w:rPr>
          <w:rFonts w:ascii="Arial" w:cs="Arial" w:eastAsia="Arial" w:hAnsi="Arial"/>
          <w:sz w:val="17"/>
          <w:szCs w:val="17"/>
          <w:color w:val="auto"/>
        </w:rPr>
        <w:t>. Our non-segmented other revenues relate to equipment support activities that we provide to customers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new and used equipment sales and parts and services revenues and are not generally allocated to reportable segments. For the three months ended September 30, 2023, our other revenues were $0.9 million, a decrease of $0.7 million from the same three months in 2022.</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Gross Profit.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948"/>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Increase</w:t>
            </w:r>
          </w:p>
        </w:tc>
        <w:tc>
          <w:tcPr>
            <w:tcW w:w="15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(in thousands,</w:t>
            </w:r>
          </w:p>
        </w:tc>
        <w:tc>
          <w:tcPr>
            <w:tcW w:w="13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0"/>
              </w:rPr>
              <w:t>except percentages)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Gross Profit (Loss):</w:t>
            </w:r>
          </w:p>
        </w:tc>
        <w:tc>
          <w:tcPr>
            <w:tcW w:w="1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60" w:type="dxa"/>
            <w:vAlign w:val="bottom"/>
          </w:tcPr>
          <w:p>
            <w:pPr>
              <w:ind w:left="380"/>
              <w:spacing w:after="0"/>
              <w:rPr>
                <w:sz w:val="20"/>
                <w:szCs w:val="20"/>
                <w:color w:val="auto"/>
              </w:rPr>
            </w:pPr>
            <w:r>
              <w:rPr>
                <w:rFonts w:ascii="Arial" w:cs="Arial" w:eastAsia="Arial" w:hAnsi="Arial"/>
                <w:sz w:val="18"/>
                <w:szCs w:val="18"/>
                <w:color w:val="auto"/>
              </w:rPr>
              <w:t>Rentals</w:t>
            </w:r>
          </w:p>
        </w:tc>
        <w:tc>
          <w:tcPr>
            <w:tcW w:w="1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149,351</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124,631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24,720</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56"/>
        </w:trPr>
        <w:tc>
          <w:tcPr>
            <w:tcW w:w="4060" w:type="dxa"/>
            <w:vAlign w:val="bottom"/>
          </w:tcPr>
          <w:p>
            <w:pPr>
              <w:ind w:left="380"/>
              <w:spacing w:after="0"/>
              <w:rPr>
                <w:sz w:val="20"/>
                <w:szCs w:val="20"/>
                <w:color w:val="auto"/>
              </w:rPr>
            </w:pPr>
            <w:r>
              <w:rPr>
                <w:rFonts w:ascii="Arial" w:cs="Arial" w:eastAsia="Arial" w:hAnsi="Arial"/>
                <w:sz w:val="18"/>
                <w:szCs w:val="18"/>
                <w:color w:val="auto"/>
              </w:rPr>
              <w:t>Rentals other</w:t>
            </w:r>
          </w:p>
        </w:tc>
        <w:tc>
          <w:tcPr>
            <w:tcW w:w="1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(2,951 )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(85.6 )%</w:t>
            </w:r>
          </w:p>
        </w:tc>
        <w:tc>
          <w:tcPr>
            <w:tcW w:w="0" w:type="dxa"/>
            <w:vAlign w:val="bottom"/>
          </w:tcPr>
          <w:p>
            <w:pPr>
              <w:spacing w:after="0"/>
              <w:rPr>
                <w:sz w:val="1"/>
                <w:szCs w:val="1"/>
                <w:color w:val="auto"/>
              </w:rPr>
            </w:pPr>
          </w:p>
        </w:tc>
      </w:tr>
      <w:tr>
        <w:trPr>
          <w:trHeight w:val="224"/>
        </w:trPr>
        <w:tc>
          <w:tcPr>
            <w:tcW w:w="4060" w:type="dxa"/>
            <w:vAlign w:val="bottom"/>
          </w:tcPr>
          <w:p>
            <w:pPr>
              <w:ind w:left="480"/>
              <w:spacing w:after="0"/>
              <w:rPr>
                <w:sz w:val="20"/>
                <w:szCs w:val="20"/>
                <w:color w:val="auto"/>
              </w:rPr>
            </w:pPr>
            <w:r>
              <w:rPr>
                <w:rFonts w:ascii="Arial" w:cs="Arial" w:eastAsia="Arial" w:hAnsi="Arial"/>
                <w:sz w:val="18"/>
                <w:szCs w:val="18"/>
                <w:color w:val="auto"/>
              </w:rPr>
              <w:t>Total equipment rentals</w:t>
            </w:r>
          </w:p>
        </w:tc>
        <w:tc>
          <w:tcPr>
            <w:tcW w:w="1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149,849</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128,080</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21,769</w:t>
            </w:r>
          </w:p>
        </w:tc>
        <w:tc>
          <w:tcPr>
            <w:tcW w:w="2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406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1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30,815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19,911</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182.6 %</w:t>
            </w:r>
          </w:p>
        </w:tc>
        <w:tc>
          <w:tcPr>
            <w:tcW w:w="0" w:type="dxa"/>
            <w:vAlign w:val="bottom"/>
          </w:tcPr>
          <w:p>
            <w:pPr>
              <w:spacing w:after="0"/>
              <w:rPr>
                <w:sz w:val="1"/>
                <w:szCs w:val="1"/>
                <w:color w:val="auto"/>
              </w:rPr>
            </w:pP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1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(1,571 )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1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(1,587 )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43"/>
        </w:trPr>
        <w:tc>
          <w:tcPr>
            <w:tcW w:w="406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1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(1,448 )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56"/>
        </w:trPr>
        <w:tc>
          <w:tcPr>
            <w:tcW w:w="4060" w:type="dxa"/>
            <w:vAlign w:val="bottom"/>
          </w:tcPr>
          <w:p>
            <w:pPr>
              <w:ind w:left="20"/>
              <w:spacing w:after="0"/>
              <w:rPr>
                <w:sz w:val="20"/>
                <w:szCs w:val="20"/>
                <w:color w:val="auto"/>
              </w:rPr>
            </w:pPr>
            <w:r>
              <w:rPr>
                <w:rFonts w:ascii="Arial" w:cs="Arial" w:eastAsia="Arial" w:hAnsi="Arial"/>
                <w:sz w:val="18"/>
                <w:szCs w:val="18"/>
                <w:color w:val="auto"/>
              </w:rPr>
              <w:t>Non-segmented revenues gross loss</w:t>
            </w:r>
          </w:p>
        </w:tc>
        <w:tc>
          <w:tcPr>
            <w:tcW w:w="1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(1,226 )</w:t>
            </w:r>
          </w:p>
        </w:tc>
        <w:tc>
          <w:tcPr>
            <w:tcW w:w="180" w:type="dxa"/>
            <w:vAlign w:val="bottom"/>
          </w:tcPr>
          <w:p>
            <w:pPr>
              <w:spacing w:after="0"/>
              <w:rPr>
                <w:sz w:val="22"/>
                <w:szCs w:val="22"/>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(652 )</w:t>
            </w: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(574 )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(88.0 )%</w:t>
            </w:r>
          </w:p>
        </w:tc>
        <w:tc>
          <w:tcPr>
            <w:tcW w:w="0" w:type="dxa"/>
            <w:vAlign w:val="bottom"/>
          </w:tcPr>
          <w:p>
            <w:pPr>
              <w:spacing w:after="0"/>
              <w:rPr>
                <w:sz w:val="1"/>
                <w:szCs w:val="1"/>
                <w:color w:val="auto"/>
              </w:rPr>
            </w:pPr>
          </w:p>
        </w:tc>
      </w:tr>
      <w:tr>
        <w:trPr>
          <w:trHeight w:val="236"/>
        </w:trPr>
        <w:tc>
          <w:tcPr>
            <w:tcW w:w="4060" w:type="dxa"/>
            <w:vAlign w:val="bottom"/>
          </w:tcPr>
          <w:p>
            <w:pPr>
              <w:ind w:left="380"/>
              <w:spacing w:after="0"/>
              <w:rPr>
                <w:sz w:val="20"/>
                <w:szCs w:val="20"/>
                <w:color w:val="auto"/>
              </w:rPr>
            </w:pPr>
            <w:r>
              <w:rPr>
                <w:rFonts w:ascii="Arial" w:cs="Arial" w:eastAsia="Arial" w:hAnsi="Arial"/>
                <w:sz w:val="18"/>
                <w:szCs w:val="18"/>
                <w:color w:val="auto"/>
              </w:rPr>
              <w:t>Total gross profit</w:t>
            </w:r>
          </w:p>
        </w:tc>
        <w:tc>
          <w:tcPr>
            <w:tcW w:w="17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188,383</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151,883</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36,500</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40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-1634490</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-1326515</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-1018540</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713232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28" w:name="page29"/>
    <w:bookmarkEnd w:id="28"/>
    <w:p>
      <w:pPr>
        <w:ind w:right="100" w:firstLine="374"/>
        <w:spacing w:after="0" w:line="259" w:lineRule="auto"/>
        <w:rPr>
          <w:sz w:val="20"/>
          <w:szCs w:val="20"/>
          <w:color w:val="auto"/>
        </w:rPr>
      </w:pPr>
      <w:r>
        <w:rPr>
          <w:rFonts w:ascii="Arial" w:cs="Arial" w:eastAsia="Arial" w:hAnsi="Arial"/>
          <w:sz w:val="18"/>
          <w:szCs w:val="18"/>
          <w:i w:val="1"/>
          <w:iCs w:val="1"/>
          <w:color w:val="auto"/>
        </w:rPr>
        <w:t>Total Gross Profit</w:t>
      </w:r>
      <w:r>
        <w:rPr>
          <w:rFonts w:ascii="Arial" w:cs="Arial" w:eastAsia="Arial" w:hAnsi="Arial"/>
          <w:sz w:val="18"/>
          <w:szCs w:val="18"/>
          <w:color w:val="auto"/>
        </w:rPr>
        <w:t>. Our total gross profit was $188.4 million for the three months ended September 30, 2023 compared to $151.9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in 2022, an increase of $36.5 million, or 24.0%. Total gross profit margin for the three months ended September 30, 2023 was approximately 47.0%, an increase of 0.2% from the 46.8% gross profit margin for the same three months in 2022. Gross profit and gross margin for all reportable segments and non-segmented other revenues are further described below.</w:t>
      </w:r>
    </w:p>
    <w:p>
      <w:pPr>
        <w:spacing w:after="0" w:line="145"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i w:val="1"/>
          <w:iCs w:val="1"/>
          <w:color w:val="auto"/>
        </w:rPr>
        <w:t>Equipment Rentals Gross Profit</w:t>
      </w:r>
      <w:r>
        <w:rPr>
          <w:rFonts w:ascii="Arial" w:cs="Arial" w:eastAsia="Arial" w:hAnsi="Arial"/>
          <w:sz w:val="18"/>
          <w:szCs w:val="18"/>
          <w:color w:val="auto"/>
        </w:rPr>
        <w:t>. Our total gross profit from equipment rentals for the three months ended September 30, 2023 increased $21.8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17.0%, to $149.8 million from $128.1 million in the same three months in 2022. Total gross profit margin from equipment rentals for the three months ended September 30, 2023 was 47.4% compared to 50.5% for the same period in 2022, a decrease of approximately 3.1%. See Rentals and Rentals Other below for additional information.</w:t>
      </w:r>
    </w:p>
    <w:p>
      <w:pPr>
        <w:spacing w:after="0" w:line="145"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i w:val="1"/>
          <w:iCs w:val="1"/>
          <w:color w:val="auto"/>
        </w:rPr>
        <w:t xml:space="preserve">Rentals: </w:t>
      </w:r>
      <w:r>
        <w:rPr>
          <w:rFonts w:ascii="Arial" w:cs="Arial" w:eastAsia="Arial" w:hAnsi="Arial"/>
          <w:sz w:val="16"/>
          <w:szCs w:val="16"/>
          <w:color w:val="auto"/>
        </w:rPr>
        <w:t>Rental revenues gross profit increased $24.7 million, or 19.8%, to $149.4 million for the three months ended September 30, 2023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$124.6 million for the same three months in 2022. The increased gross profit was due to increased rental revenues of $56.1 million for the three months ended September 30, 2023 compared to the same period last year, partially offset by a $24.4 million increase in rental equipment depreciation expense and a $7.0 million increase in rental expenses. The increase in depreciation expense is primarily due to a larger fleet size in the current year as compared to the prior period. Our fleet size, based on original equipment cost, at September 30, 2023 was $589.9 million, or 27.6%, larger than our fleet at September 30, 2022. Gross profit margin on equipment rentals for the three months ended September 30, 2023 was 53.3% compared to 55.6% for the same period in 2022, a decrease of 2.3%. Depreciation expense was 32.2% of equipment rental revenues for the three months ended September 30, 2023 compared to 29.4% for the same period in 2022, an increase of approximately 2.8%, resulting primarily from our OSR acquired fleet. As a percentage of revenues, rental expenses were 14.5% for the three months ended September 30, 2023 compared to 15.0% for the same period last year, a decrease of 0.5%.</w:t>
      </w:r>
    </w:p>
    <w:p>
      <w:pPr>
        <w:spacing w:after="0" w:line="143"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i w:val="1"/>
          <w:iCs w:val="1"/>
          <w:color w:val="auto"/>
        </w:rPr>
        <w:t xml:space="preserve">Rentals Other: </w:t>
      </w:r>
      <w:r>
        <w:rPr>
          <w:rFonts w:ascii="Arial" w:cs="Arial" w:eastAsia="Arial" w:hAnsi="Arial"/>
          <w:sz w:val="17"/>
          <w:szCs w:val="17"/>
          <w:color w:val="auto"/>
        </w:rPr>
        <w:t>Our rentals other revenues consists primarily of equipment support activities that we provide to customers in connection with renting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such as hauling charges, damage waiver policies, environmental and other recovery fees. Rental other revenues gross profit for the three months ended September 30, 2023 was $0.5 million, a decrease of $3.0 million as compared to the same period in 2022. The gross margin was 1.4% for the three months ended September 30, 2023 compared to a gross margin of 11.7% for the same period last year.</w:t>
      </w:r>
    </w:p>
    <w:p>
      <w:pPr>
        <w:spacing w:after="0" w:line="129"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i w:val="1"/>
          <w:iCs w:val="1"/>
          <w:color w:val="auto"/>
        </w:rPr>
        <w:t xml:space="preserve">Used Equipment Sales Gross Profit. </w:t>
      </w:r>
      <w:r>
        <w:rPr>
          <w:rFonts w:ascii="Arial" w:cs="Arial" w:eastAsia="Arial" w:hAnsi="Arial"/>
          <w:sz w:val="16"/>
          <w:szCs w:val="16"/>
          <w:color w:val="auto"/>
        </w:rPr>
        <w:t>Our used equipment sales gross profit for the three months ended September 30, 2023 increased $19.9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182.6%, to $30.8 million from $10.9 million in the same period in 2022, as used equipment sales revenues increased $32.4 million. Gross profit margin on used equipment sales for the three months ended September 30, 2023 was approximately 58.5%, up 4.8% from 53.7% for the same three months in 2022, primarily as a result of higher gross margins in our aerial work platform and material handling equipment product lines. Our used equipment sales from the rental fleet, which comprised 99.3% and 95.6% of our used equipment sales for the three months ended September 30, 2023 and 2022, respectively, were approximately 242.3% and 225.2% of net book value for the three months ended September 30, 2023 and 2022, respectively.</w:t>
      </w:r>
    </w:p>
    <w:p>
      <w:pPr>
        <w:spacing w:after="0" w:line="122"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i w:val="1"/>
          <w:iCs w:val="1"/>
          <w:color w:val="auto"/>
        </w:rPr>
        <w:t xml:space="preserve">New Equipment Sales Gross Profit. </w:t>
      </w:r>
      <w:r>
        <w:rPr>
          <w:rFonts w:ascii="Arial" w:cs="Arial" w:eastAsia="Arial" w:hAnsi="Arial"/>
          <w:sz w:val="17"/>
          <w:szCs w:val="17"/>
          <w:color w:val="auto"/>
        </w:rPr>
        <w:t>Our new equipment sales gross profit for the three months ended September 30, 2023 decreased $1.6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48.5%, to $1.7 million compared to $3.2 million for the same three months in 2022. The decreased gross profit was primarily due to decreased earthmoving equipment sales due to the sale of our Komatsu Earthmoving Distributorship. Gross profit margin on new equipment sales was 13.2% for the three months ended September 30, 2023, compared to 13.8% for the same period last year, a decrease of 0.6%.</w:t>
      </w:r>
    </w:p>
    <w:p>
      <w:pPr>
        <w:spacing w:after="0" w:line="143" w:lineRule="exact"/>
        <w:rPr>
          <w:sz w:val="20"/>
          <w:szCs w:val="20"/>
          <w:color w:val="auto"/>
        </w:rPr>
      </w:pPr>
    </w:p>
    <w:p>
      <w:pPr>
        <w:ind w:right="400" w:firstLine="374"/>
        <w:spacing w:after="0" w:line="263" w:lineRule="auto"/>
        <w:rPr>
          <w:sz w:val="20"/>
          <w:szCs w:val="20"/>
          <w:color w:val="auto"/>
        </w:rPr>
      </w:pPr>
      <w:r>
        <w:rPr>
          <w:rFonts w:ascii="Arial" w:cs="Arial" w:eastAsia="Arial" w:hAnsi="Arial"/>
          <w:sz w:val="18"/>
          <w:szCs w:val="18"/>
          <w:i w:val="1"/>
          <w:iCs w:val="1"/>
          <w:color w:val="auto"/>
        </w:rPr>
        <w:t xml:space="preserve">Parts Sales Gross Profit. </w:t>
      </w:r>
      <w:r>
        <w:rPr>
          <w:rFonts w:ascii="Arial" w:cs="Arial" w:eastAsia="Arial" w:hAnsi="Arial"/>
          <w:sz w:val="18"/>
          <w:szCs w:val="18"/>
          <w:color w:val="auto"/>
        </w:rPr>
        <w:t>Our parts sales gross profit for the three months ended September 30, 2023 was $3.3 million, a decrease of 32.6%, from</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of $4.9 million for the same period last year on parts sales that decreased $4.8 million. Gross profit margin for the three months ended September 30, 2023 and 2022 was 27.5% and 29.0%, respectively.</w:t>
      </w:r>
    </w:p>
    <w:p>
      <w:pPr>
        <w:spacing w:after="0" w:line="142"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i w:val="1"/>
          <w:iCs w:val="1"/>
          <w:color w:val="auto"/>
        </w:rPr>
        <w:t xml:space="preserve">Services Revenues Gross Profit. </w:t>
      </w:r>
      <w:r>
        <w:rPr>
          <w:rFonts w:ascii="Arial" w:cs="Arial" w:eastAsia="Arial" w:hAnsi="Arial"/>
          <w:sz w:val="17"/>
          <w:szCs w:val="17"/>
          <w:color w:val="auto"/>
        </w:rPr>
        <w:t>For the three months ended September 30, 2023, our services revenues gross profit decreased $1.4 million, or 26.6%,</w:t>
      </w:r>
      <w:r>
        <w:rPr>
          <w:rFonts w:ascii="Arial" w:cs="Arial" w:eastAsia="Arial" w:hAnsi="Arial"/>
          <w:sz w:val="17"/>
          <w:szCs w:val="17"/>
          <w:i w:val="1"/>
          <w:iCs w:val="1"/>
          <w:color w:val="auto"/>
        </w:rPr>
        <w:t xml:space="preserve"> </w:t>
      </w:r>
      <w:r>
        <w:rPr>
          <w:rFonts w:ascii="Arial" w:cs="Arial" w:eastAsia="Arial" w:hAnsi="Arial"/>
          <w:sz w:val="17"/>
          <w:szCs w:val="17"/>
          <w:color w:val="auto"/>
        </w:rPr>
        <w:t>to $4.0 million from $5.4 million for the same three months in 2022 on service revenues that decreased $1.9 million. Gross profit margin for the three months ended September 30, 2023 was 59.3%, a decrease of 3.9% from 63.2% in the same three months in 2022.</w:t>
      </w:r>
    </w:p>
    <w:p>
      <w:pPr>
        <w:spacing w:after="0" w:line="124" w:lineRule="exact"/>
        <w:rPr>
          <w:sz w:val="20"/>
          <w:szCs w:val="20"/>
          <w:color w:val="auto"/>
        </w:rPr>
      </w:pPr>
    </w:p>
    <w:p>
      <w:pPr>
        <w:jc w:val="both"/>
        <w:ind w:right="40" w:firstLine="374"/>
        <w:spacing w:after="0" w:line="259" w:lineRule="auto"/>
        <w:rPr>
          <w:sz w:val="20"/>
          <w:szCs w:val="20"/>
          <w:color w:val="auto"/>
        </w:rPr>
      </w:pPr>
      <w:r>
        <w:rPr>
          <w:rFonts w:ascii="Arial" w:cs="Arial" w:eastAsia="Arial" w:hAnsi="Arial"/>
          <w:sz w:val="18"/>
          <w:szCs w:val="18"/>
          <w:i w:val="1"/>
          <w:iCs w:val="1"/>
          <w:color w:val="auto"/>
        </w:rPr>
        <w:t xml:space="preserve">Non-Segmented Other Revenues Gross Loss. </w:t>
      </w:r>
      <w:r>
        <w:rPr>
          <w:rFonts w:ascii="Arial" w:cs="Arial" w:eastAsia="Arial" w:hAnsi="Arial"/>
          <w:sz w:val="18"/>
          <w:szCs w:val="18"/>
          <w:color w:val="auto"/>
        </w:rPr>
        <w:t>Our non-segmented other revenues relate to equipment support activities that we provide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used and new equipment sales and parts and services revenues and are not generally allocated to reportable segments. For the three months ended September 30, 2023, our other revenues gross loss was $1.2 million compared to a gross loss of $0.7 million, in the same period in 2022, a decrease of $0.6 million.</w:t>
      </w:r>
    </w:p>
    <w:p>
      <w:pPr>
        <w:spacing w:after="0" w:line="158"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$15.8 million, or 17.9%, to $104.2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compared to $88.4 million for the three months ended September 30, 2022. Employee salaries, wages, payroll taxes and other employee related expenses increased $8.7 million due to increased wages, commissions,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29" w:name="page30"/>
    <w:bookmarkEnd w:id="29"/>
    <w:p>
      <w:pPr>
        <w:ind w:right="120"/>
        <w:spacing w:after="0" w:line="275" w:lineRule="auto"/>
        <w:rPr>
          <w:sz w:val="20"/>
          <w:szCs w:val="20"/>
          <w:color w:val="auto"/>
        </w:rPr>
      </w:pPr>
      <w:r>
        <w:rPr>
          <w:rFonts w:ascii="Arial" w:cs="Arial" w:eastAsia="Arial" w:hAnsi="Arial"/>
          <w:sz w:val="17"/>
          <w:szCs w:val="17"/>
          <w:color w:val="auto"/>
        </w:rPr>
        <w:t>headcount and health insurance. Depreciation and amortization expenses increased $1.7 million, facility expenses increased $1.6 million, professional fees increased $0.8 million and liability insurance costs increased $0.6 million. Approximately $7.7 million of comparative incremental SG&amp;A expenses in the three months ended September 30, 2023 was attributable to branches opened or acquired since January 1, 2022 with less than three months of comparable operations in either or both of the three months ended September 30, 2023 and 2022. SG&amp;A expenses as a percentage of total revenues for the three months ended September 30, 2023 and 2022 were 26.0% and 27.3%, respectively, a decrease of 1.3%.</w:t>
      </w:r>
    </w:p>
    <w:p>
      <w:pPr>
        <w:spacing w:after="0" w:line="148"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b w:val="1"/>
          <w:bCs w:val="1"/>
          <w:i w:val="1"/>
          <w:iCs w:val="1"/>
          <w:color w:val="auto"/>
        </w:rPr>
        <w:t xml:space="preserve">Impairment of Goodwill. </w:t>
      </w:r>
      <w:r>
        <w:rPr>
          <w:rFonts w:ascii="Arial" w:cs="Arial" w:eastAsia="Arial" w:hAnsi="Arial"/>
          <w:sz w:val="18"/>
          <w:szCs w:val="18"/>
          <w:color w:val="auto"/>
        </w:rPr>
        <w:t>Impairment of goodwill incurred in the three months ended September 30, 2023 was $5.7 million. The impairment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our five reporting units, Parts Sales. There was no impairment of goodwill for the three months ended September 30, 2022. See Note 2 to the Condensed Consolidated financial statements for additional information.</w:t>
      </w:r>
    </w:p>
    <w:p>
      <w:pPr>
        <w:spacing w:after="0" w:line="142" w:lineRule="exact"/>
        <w:rPr>
          <w:sz w:val="20"/>
          <w:szCs w:val="20"/>
          <w:color w:val="auto"/>
        </w:rPr>
      </w:pPr>
    </w:p>
    <w:p>
      <w:pPr>
        <w:ind w:right="320" w:firstLine="374"/>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For the three months ended September 30, 2023, our net other expenses increased approximately $0.4 million to $13.1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compared to $12.7 million for the same three months in 2022. Interest expense was $16.1 million for the three months ended September 30, 2023 and $13.5 million for the three months ended September 30, 2022.</w:t>
      </w:r>
    </w:p>
    <w:p>
      <w:pPr>
        <w:spacing w:after="0" w:line="142" w:lineRule="exact"/>
        <w:rPr>
          <w:sz w:val="20"/>
          <w:szCs w:val="20"/>
          <w:color w:val="auto"/>
        </w:rPr>
      </w:pPr>
    </w:p>
    <w:p>
      <w:pPr>
        <w:ind w:right="180" w:firstLine="374"/>
        <w:spacing w:after="0" w:line="29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income tax expense of $17.3 million for the three months ended September 30, 2023 compared to an income tax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$13.0 million for the three months ended September 30, 2022. Our effective income tax rate for the three months ended September 30, 2023 was 26.1% compared to 25.2% for the same period in 2022. Based on available evidence, both positive and negative, we believe it is more likely than not that our federal deferred tax assets at September 30, 2023 are fully realizable through future reversals of existing taxable temporary differences and future taxable income. As of September 30, 2023, we have a valuation allowance of $5.9 million for certain state tax credits that may not be realized.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Increase</w:t>
            </w:r>
          </w:p>
        </w:tc>
        <w:tc>
          <w:tcPr>
            <w:tcW w:w="15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(in thousands,</w:t>
            </w:r>
          </w:p>
        </w:tc>
        <w:tc>
          <w:tcPr>
            <w:tcW w:w="13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0"/>
              </w:rPr>
              <w:t>except percentages)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Revenues: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Equipment rentals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80" w:type="dxa"/>
            <w:vAlign w:val="bottom"/>
          </w:tcPr>
          <w:p>
            <w:pPr>
              <w:ind w:left="380"/>
              <w:spacing w:after="0"/>
              <w:rPr>
                <w:sz w:val="20"/>
                <w:szCs w:val="20"/>
                <w:color w:val="auto"/>
              </w:rPr>
            </w:pPr>
            <w:r>
              <w:rPr>
                <w:rFonts w:ascii="Arial" w:cs="Arial" w:eastAsia="Arial" w:hAnsi="Arial"/>
                <w:sz w:val="18"/>
                <w:szCs w:val="18"/>
                <w:color w:val="auto"/>
              </w:rPr>
              <w:t>Rentals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771,056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602,551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168,505</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56"/>
        </w:trPr>
        <w:tc>
          <w:tcPr>
            <w:tcW w:w="5780" w:type="dxa"/>
            <w:vAlign w:val="bottom"/>
          </w:tcPr>
          <w:p>
            <w:pPr>
              <w:ind w:left="380"/>
              <w:spacing w:after="0"/>
              <w:rPr>
                <w:sz w:val="20"/>
                <w:szCs w:val="20"/>
                <w:color w:val="auto"/>
              </w:rPr>
            </w:pPr>
            <w:r>
              <w:rPr>
                <w:rFonts w:ascii="Arial" w:cs="Arial" w:eastAsia="Arial" w:hAnsi="Arial"/>
                <w:sz w:val="18"/>
                <w:szCs w:val="18"/>
                <w:color w:val="auto"/>
              </w:rPr>
              <w:t>Rentals other</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98,222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77,815</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20,407</w:t>
            </w:r>
          </w:p>
        </w:tc>
        <w:tc>
          <w:tcPr>
            <w:tcW w:w="220" w:type="dxa"/>
            <w:vAlign w:val="bottom"/>
          </w:tcPr>
          <w:p>
            <w:pPr>
              <w:spacing w:after="0"/>
              <w:rPr>
                <w:sz w:val="22"/>
                <w:szCs w:val="22"/>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24"/>
        </w:trPr>
        <w:tc>
          <w:tcPr>
            <w:tcW w:w="5780" w:type="dxa"/>
            <w:vAlign w:val="bottom"/>
          </w:tcPr>
          <w:p>
            <w:pPr>
              <w:ind w:left="480"/>
              <w:spacing w:after="0"/>
              <w:rPr>
                <w:sz w:val="20"/>
                <w:szCs w:val="20"/>
                <w:color w:val="auto"/>
              </w:rPr>
            </w:pPr>
            <w:r>
              <w:rPr>
                <w:rFonts w:ascii="Arial" w:cs="Arial" w:eastAsia="Arial" w:hAnsi="Arial"/>
                <w:sz w:val="18"/>
                <w:szCs w:val="18"/>
                <w:color w:val="auto"/>
              </w:rPr>
              <w:t>Total equipment rentals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869,278</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680,366</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188,912</w:t>
            </w:r>
          </w:p>
        </w:tc>
        <w:tc>
          <w:tcPr>
            <w:tcW w:w="2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78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124,476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63,817</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105.2 %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29,308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71,013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(41,705 )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36,082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48,976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(12,894 )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21,058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(4,575 )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56"/>
        </w:trPr>
        <w:tc>
          <w:tcPr>
            <w:tcW w:w="5780" w:type="dxa"/>
            <w:vAlign w:val="bottom"/>
          </w:tcPr>
          <w:p>
            <w:pPr>
              <w:ind w:left="20"/>
              <w:spacing w:after="0"/>
              <w:rPr>
                <w:sz w:val="20"/>
                <w:szCs w:val="20"/>
                <w:color w:val="auto"/>
              </w:rPr>
            </w:pPr>
            <w:r>
              <w:rPr>
                <w:rFonts w:ascii="Arial" w:cs="Arial" w:eastAsia="Arial" w:hAnsi="Arial"/>
                <w:sz w:val="18"/>
                <w:szCs w:val="18"/>
                <w:color w:val="auto"/>
              </w:rPr>
              <w:t>Non-Segmented revenues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3,208</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(1,546 )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36"/>
        </w:trPr>
        <w:tc>
          <w:tcPr>
            <w:tcW w:w="5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1,083,410</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891,401</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192,009</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9" w:lineRule="exact"/>
        <w:rPr>
          <w:sz w:val="20"/>
          <w:szCs w:val="20"/>
          <w:color w:val="auto"/>
        </w:rPr>
      </w:pPr>
    </w:p>
    <w:p>
      <w:pPr>
        <w:jc w:val="both"/>
        <w:ind w:right="280" w:firstLine="374"/>
        <w:spacing w:after="0" w:line="263"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Our total revenues were $1.1 billion for the nine months ended September 30, 2023 compared to $891.4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an increase of $192.0 million, or 21.5%. Revenues for all reportable segments and non-segmented other revenues are further discussed below.</w:t>
      </w:r>
    </w:p>
    <w:p>
      <w:pPr>
        <w:spacing w:after="0" w:line="156"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i w:val="1"/>
          <w:iCs w:val="1"/>
          <w:color w:val="auto"/>
        </w:rPr>
        <w:t>Equipment Rental Revenues</w:t>
      </w:r>
      <w:r>
        <w:rPr>
          <w:rFonts w:ascii="Arial" w:cs="Arial" w:eastAsia="Arial" w:hAnsi="Arial"/>
          <w:sz w:val="18"/>
          <w:szCs w:val="18"/>
          <w:color w:val="auto"/>
        </w:rPr>
        <w:t>. Our total revenues from equipment rentals for the nine months ended September 30, 2023 increased $188.9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27.8%, to $869.3 million from $680.4 million in the nine months ended September 30, 2022. The increase in equipment rental revenues was primarily due to our larger fleet and increased rental rates as compared to the prior year.</w:t>
      </w:r>
    </w:p>
    <w:p>
      <w:pPr>
        <w:spacing w:after="0" w:line="142" w:lineRule="exact"/>
        <w:rPr>
          <w:sz w:val="20"/>
          <w:szCs w:val="20"/>
          <w:color w:val="auto"/>
        </w:rPr>
      </w:pPr>
    </w:p>
    <w:p>
      <w:pPr>
        <w:ind w:right="180" w:firstLine="374"/>
        <w:spacing w:after="0" w:line="288" w:lineRule="auto"/>
        <w:rPr>
          <w:sz w:val="20"/>
          <w:szCs w:val="20"/>
          <w:color w:val="auto"/>
        </w:rPr>
      </w:pPr>
      <w:r>
        <w:rPr>
          <w:rFonts w:ascii="Arial" w:cs="Arial" w:eastAsia="Arial" w:hAnsi="Arial"/>
          <w:sz w:val="16"/>
          <w:szCs w:val="16"/>
          <w:i w:val="1"/>
          <w:iCs w:val="1"/>
          <w:color w:val="auto"/>
        </w:rPr>
        <w:t xml:space="preserve">Rentals. </w:t>
      </w:r>
      <w:r>
        <w:rPr>
          <w:rFonts w:ascii="Arial" w:cs="Arial" w:eastAsia="Arial" w:hAnsi="Arial"/>
          <w:sz w:val="16"/>
          <w:szCs w:val="16"/>
          <w:color w:val="auto"/>
        </w:rPr>
        <w:t>Rental revenues increased $168.5 million, or 28.0%, to $771.1 million for the nine months ended September 30, 2023 compared to $602.6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2022. Rental revenues from material handling equipment increased $52.7 million, aerial work platform equipment increased $47.2 million, earthmoving equipment increased $40.1 million and other equipment increased $28.5 million. Our average rental rates for the nine months ended September 30, 2023 increased 7.0% compared to the same period last year. Our average rental rates do not include the impact of the OSR acquisition for the 2023 period. Rental equipment dollar utilization (annual rental revenues divided by the average original rental fleet equipment costs) for the nine months ended September 30, 2023 was 40.3% compared to 40.5% in the nine months ended September 30, 2022, a decrease of 0.2%. The decrease in comparative rental equipment dollar utilization was the net result of a decrease in rental equipment time utilization and an increase in equipment rental rates. Rental equipment time utilization as a percentage of original equipment cost was 68.9% for the nine months ended September 30, 2023 compared to 72.4% in the nine months ended September 30, 2022, a decrease of 3.5%.</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30" w:name="page31"/>
    <w:bookmarkEnd w:id="30"/>
    <w:p>
      <w:pPr>
        <w:ind w:right="580"/>
        <w:spacing w:after="0" w:line="277" w:lineRule="auto"/>
        <w:rPr>
          <w:sz w:val="20"/>
          <w:szCs w:val="20"/>
          <w:color w:val="auto"/>
        </w:rPr>
      </w:pPr>
      <w:r>
        <w:rPr>
          <w:rFonts w:ascii="Arial" w:cs="Arial" w:eastAsia="Arial" w:hAnsi="Arial"/>
          <w:sz w:val="18"/>
          <w:szCs w:val="18"/>
          <w:color w:val="auto"/>
        </w:rPr>
        <w:t>The decrease in rental equipment time utilization as a percentage of original equipment cost was largely reflective of the increase in fleet size and our expansion efforts.</w:t>
      </w:r>
    </w:p>
    <w:p>
      <w:pPr>
        <w:spacing w:after="0" w:line="142"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i w:val="1"/>
          <w:iCs w:val="1"/>
          <w:color w:val="auto"/>
        </w:rPr>
        <w:t xml:space="preserve">Rentals Other. </w:t>
      </w:r>
      <w:r>
        <w:rPr>
          <w:rFonts w:ascii="Arial" w:cs="Arial" w:eastAsia="Arial" w:hAnsi="Arial"/>
          <w:sz w:val="18"/>
          <w:szCs w:val="18"/>
          <w:color w:val="auto"/>
        </w:rPr>
        <w:t>Our rentals other revenue consists primarily of equipment support activities that we provide to customers in connection with renting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such as hauling charges, damage waiver policies, environmental and other recovery fees. Rental other revenues for the nine months ended September 30, 2023 were $98.2 million compared to $77.8 million for the nine months ended September 30, 2022, an increase of $20.4 million, or 26.2%. The increase was primarily related to increased rental revenues discussed above.</w:t>
      </w:r>
    </w:p>
    <w:p>
      <w:pPr>
        <w:spacing w:after="0" w:line="145" w:lineRule="exact"/>
        <w:rPr>
          <w:sz w:val="20"/>
          <w:szCs w:val="20"/>
          <w:color w:val="auto"/>
        </w:rPr>
      </w:pPr>
    </w:p>
    <w:p>
      <w:pPr>
        <w:ind w:right="140" w:firstLine="374"/>
        <w:spacing w:after="0" w:line="279" w:lineRule="auto"/>
        <w:rPr>
          <w:sz w:val="20"/>
          <w:szCs w:val="20"/>
          <w:color w:val="auto"/>
        </w:rPr>
      </w:pPr>
      <w:r>
        <w:rPr>
          <w:rFonts w:ascii="Arial" w:cs="Arial" w:eastAsia="Arial" w:hAnsi="Arial"/>
          <w:sz w:val="17"/>
          <w:szCs w:val="17"/>
          <w:i w:val="1"/>
          <w:iCs w:val="1"/>
          <w:color w:val="auto"/>
        </w:rPr>
        <w:t>Used Equipment Sales Revenues</w:t>
      </w:r>
      <w:r>
        <w:rPr>
          <w:rFonts w:ascii="Arial" w:cs="Arial" w:eastAsia="Arial" w:hAnsi="Arial"/>
          <w:sz w:val="17"/>
          <w:szCs w:val="17"/>
          <w:color w:val="auto"/>
        </w:rPr>
        <w:t>. Our used equipment sales increased $63.8 million, or 105.2%, to $124.5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from $60.7 million for the nine months ended September 30, 2022. This increase is reflective of our fleet management strategy and our decision to capitalize on the high demand for used equipment. Sales of used earthmoving equipment increased $34.6 million, sales of used material handling equipment increased $17.1 million and sales of used aerial work platform equipment increased $8.7 million.</w:t>
      </w:r>
    </w:p>
    <w:p>
      <w:pPr>
        <w:spacing w:after="0" w:line="129" w:lineRule="exact"/>
        <w:rPr>
          <w:sz w:val="20"/>
          <w:szCs w:val="20"/>
          <w:color w:val="auto"/>
        </w:rPr>
      </w:pPr>
    </w:p>
    <w:p>
      <w:pPr>
        <w:ind w:right="160" w:firstLine="374"/>
        <w:spacing w:after="0" w:line="256" w:lineRule="auto"/>
        <w:rPr>
          <w:sz w:val="20"/>
          <w:szCs w:val="20"/>
          <w:color w:val="auto"/>
        </w:rPr>
      </w:pPr>
      <w:r>
        <w:rPr>
          <w:rFonts w:ascii="Arial" w:cs="Arial" w:eastAsia="Arial" w:hAnsi="Arial"/>
          <w:sz w:val="18"/>
          <w:szCs w:val="18"/>
          <w:i w:val="1"/>
          <w:iCs w:val="1"/>
          <w:color w:val="auto"/>
        </w:rPr>
        <w:t>New Equipment Sales Revenues</w:t>
      </w:r>
      <w:r>
        <w:rPr>
          <w:rFonts w:ascii="Arial" w:cs="Arial" w:eastAsia="Arial" w:hAnsi="Arial"/>
          <w:sz w:val="18"/>
          <w:szCs w:val="18"/>
          <w:color w:val="auto"/>
        </w:rPr>
        <w:t>. Our new equipment sales for the nine months ended September 30, 2023 decreased $41.7 million, or 58.7%, to $29.3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$71.0 million for the nine months ended September 30, 2022. This decrease is primarily reflective of the sale of our Komatsu Earthmoving Distributorship during the fourth quarter of 2022 as sales of new earthmoving equipment decreased $39.2 million. Additionally, sales of new other equipment and material handling equipment decreased $2.5 million and $1.8 million, respectively. Offsetting these decreases, sales of new aerial work platform equipment increased $1.9 million.</w:t>
      </w:r>
    </w:p>
    <w:p>
      <w:pPr>
        <w:spacing w:after="0" w:line="164"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i w:val="1"/>
          <w:iCs w:val="1"/>
          <w:color w:val="auto"/>
        </w:rPr>
        <w:t>Parts Sales Revenues</w:t>
      </w:r>
      <w:r>
        <w:rPr>
          <w:rFonts w:ascii="Arial" w:cs="Arial" w:eastAsia="Arial" w:hAnsi="Arial"/>
          <w:sz w:val="18"/>
          <w:szCs w:val="18"/>
          <w:color w:val="auto"/>
        </w:rPr>
        <w:t>. Our parts sales revenues for the nine months ended September 30, 2023 decreased $12.9 million, or 26.3%, to $36.1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$49.0 million for the nine months ended September 30, 2022.</w:t>
      </w:r>
    </w:p>
    <w:p>
      <w:pPr>
        <w:spacing w:after="0" w:line="129"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i w:val="1"/>
          <w:iCs w:val="1"/>
          <w:color w:val="auto"/>
        </w:rPr>
        <w:t>Services Revenues</w:t>
      </w:r>
      <w:r>
        <w:rPr>
          <w:rFonts w:ascii="Arial" w:cs="Arial" w:eastAsia="Arial" w:hAnsi="Arial"/>
          <w:sz w:val="18"/>
          <w:szCs w:val="18"/>
          <w:color w:val="auto"/>
        </w:rPr>
        <w:t>. Our services revenues for the nine months ended September 30, 2023 decreased approximately $4.6 million, or 17.8%, to $21.1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$25.6 million for the nine months ended September 30, 2022.</w:t>
      </w:r>
    </w:p>
    <w:p>
      <w:pPr>
        <w:spacing w:after="0" w:line="129" w:lineRule="exact"/>
        <w:rPr>
          <w:sz w:val="20"/>
          <w:szCs w:val="20"/>
          <w:color w:val="auto"/>
        </w:rPr>
      </w:pPr>
    </w:p>
    <w:p>
      <w:pPr>
        <w:ind w:right="180" w:firstLine="374"/>
        <w:spacing w:after="0" w:line="311" w:lineRule="auto"/>
        <w:rPr>
          <w:sz w:val="20"/>
          <w:szCs w:val="20"/>
          <w:color w:val="auto"/>
        </w:rPr>
      </w:pPr>
      <w:r>
        <w:rPr>
          <w:rFonts w:ascii="Arial" w:cs="Arial" w:eastAsia="Arial" w:hAnsi="Arial"/>
          <w:sz w:val="16"/>
          <w:szCs w:val="16"/>
          <w:i w:val="1"/>
          <w:iCs w:val="1"/>
          <w:color w:val="auto"/>
        </w:rPr>
        <w:t>Non-Segmented Other Revenues</w:t>
      </w:r>
      <w:r>
        <w:rPr>
          <w:rFonts w:ascii="Arial" w:cs="Arial" w:eastAsia="Arial" w:hAnsi="Arial"/>
          <w:sz w:val="16"/>
          <w:szCs w:val="16"/>
          <w:color w:val="auto"/>
        </w:rPr>
        <w:t>. Our non-segmented other revenues relate to equipment support activities that we provide to customers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used and new equipment sales and parts and services revenues and are not generally allocated to reportable segments. For the nine months ended September 30, 2023 and 2022, our non-segmented other revenues were $3.2 million and $4.8 million, respectively, a decrease of $1.5 million.</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Gross Profit.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948"/>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Increase</w:t>
            </w:r>
          </w:p>
        </w:tc>
        <w:tc>
          <w:tcPr>
            <w:tcW w:w="15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Segment Gross Profit (Loss):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(in thousands,</w:t>
            </w:r>
          </w:p>
        </w:tc>
        <w:tc>
          <w:tcPr>
            <w:tcW w:w="13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0"/>
              </w:rPr>
              <w:t>except percentages)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Equipment rentals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Rentals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395,741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321,173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74,568</w:t>
            </w:r>
          </w:p>
        </w:tc>
        <w:tc>
          <w:tcPr>
            <w:tcW w:w="22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55"/>
        </w:trPr>
        <w:tc>
          <w:tcPr>
            <w:tcW w:w="5780" w:type="dxa"/>
            <w:vAlign w:val="bottom"/>
          </w:tcPr>
          <w:p>
            <w:pPr>
              <w:ind w:left="380"/>
              <w:spacing w:after="0"/>
              <w:rPr>
                <w:sz w:val="20"/>
                <w:szCs w:val="20"/>
                <w:color w:val="auto"/>
              </w:rPr>
            </w:pPr>
            <w:r>
              <w:rPr>
                <w:rFonts w:ascii="Arial" w:cs="Arial" w:eastAsia="Arial" w:hAnsi="Arial"/>
                <w:sz w:val="18"/>
                <w:szCs w:val="18"/>
                <w:color w:val="auto"/>
              </w:rPr>
              <w:t>Rentals other</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(2,199 )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80"/>
              <w:spacing w:after="0"/>
              <w:rPr>
                <w:sz w:val="20"/>
                <w:szCs w:val="20"/>
                <w:color w:val="auto"/>
              </w:rPr>
            </w:pPr>
            <w:r>
              <w:rPr>
                <w:rFonts w:ascii="Arial" w:cs="Arial" w:eastAsia="Arial" w:hAnsi="Arial"/>
                <w:sz w:val="18"/>
                <w:szCs w:val="18"/>
                <w:color w:val="auto"/>
              </w:rPr>
              <w:t>Total equipment rentals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400,582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328,213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72,369</w:t>
            </w:r>
          </w:p>
        </w:tc>
        <w:tc>
          <w:tcPr>
            <w:tcW w:w="22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2"/>
        </w:trPr>
        <w:tc>
          <w:tcPr>
            <w:tcW w:w="5780" w:type="dxa"/>
            <w:vAlign w:val="bottom"/>
          </w:tcPr>
          <w:p>
            <w:pPr>
              <w:ind w:left="200"/>
              <w:spacing w:after="0"/>
              <w:rPr>
                <w:sz w:val="20"/>
                <w:szCs w:val="20"/>
                <w:color w:val="auto"/>
              </w:rPr>
            </w:pPr>
            <w:r>
              <w:rPr>
                <w:rFonts w:ascii="Arial" w:cs="Arial" w:eastAsia="Arial" w:hAnsi="Arial"/>
                <w:sz w:val="18"/>
                <w:szCs w:val="18"/>
                <w:color w:val="auto"/>
              </w:rPr>
              <w:t>Used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73,080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28,844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44,236</w:t>
            </w:r>
          </w:p>
        </w:tc>
        <w:tc>
          <w:tcPr>
            <w:tcW w:w="220" w:type="dxa"/>
            <w:vAlign w:val="bottom"/>
          </w:tcPr>
          <w:p>
            <w:pPr>
              <w:spacing w:after="0"/>
              <w:rPr>
                <w:sz w:val="21"/>
                <w:szCs w:val="21"/>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153.4 %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New equipment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(6,134 )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(60.4 )%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Parts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10,346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(3,213 )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Arial" w:cs="Arial" w:eastAsia="Arial" w:hAnsi="Arial"/>
                <w:sz w:val="18"/>
                <w:szCs w:val="18"/>
                <w:color w:val="auto"/>
              </w:rPr>
              <w:t>Services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(3,483 )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56"/>
        </w:trPr>
        <w:tc>
          <w:tcPr>
            <w:tcW w:w="5780" w:type="dxa"/>
            <w:vAlign w:val="bottom"/>
          </w:tcPr>
          <w:p>
            <w:pPr>
              <w:ind w:left="20"/>
              <w:spacing w:after="0"/>
              <w:rPr>
                <w:sz w:val="20"/>
                <w:szCs w:val="20"/>
                <w:color w:val="auto"/>
              </w:rPr>
            </w:pPr>
            <w:r>
              <w:rPr>
                <w:rFonts w:ascii="Arial" w:cs="Arial" w:eastAsia="Arial" w:hAnsi="Arial"/>
                <w:sz w:val="18"/>
                <w:szCs w:val="18"/>
                <w:color w:val="auto"/>
              </w:rPr>
              <w:t>Non-segmented revenues gross loss</w:t>
            </w:r>
          </w:p>
        </w:tc>
        <w:tc>
          <w:tcPr>
            <w:tcW w:w="26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(2,944 )</w:t>
            </w:r>
          </w:p>
        </w:tc>
        <w:tc>
          <w:tcPr>
            <w:tcW w:w="180" w:type="dxa"/>
            <w:vAlign w:val="bottom"/>
          </w:tcPr>
          <w:p>
            <w:pPr>
              <w:spacing w:after="0"/>
              <w:rPr>
                <w:sz w:val="22"/>
                <w:szCs w:val="22"/>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(1,494 )</w:t>
            </w:r>
          </w:p>
        </w:tc>
        <w:tc>
          <w:tcPr>
            <w:tcW w:w="18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(1,450 )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(97.1 )%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80" w:type="dxa"/>
            <w:vAlign w:val="bottom"/>
          </w:tcPr>
          <w:p>
            <w:pPr>
              <w:ind w:left="380"/>
              <w:spacing w:after="0"/>
              <w:rPr>
                <w:sz w:val="20"/>
                <w:szCs w:val="20"/>
                <w:color w:val="auto"/>
              </w:rPr>
            </w:pPr>
            <w:r>
              <w:rPr>
                <w:rFonts w:ascii="Arial" w:cs="Arial" w:eastAsia="Arial" w:hAnsi="Arial"/>
                <w:sz w:val="18"/>
                <w:szCs w:val="18"/>
                <w:color w:val="auto"/>
              </w:rPr>
              <w:t>Total 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498,122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395,797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102,325</w:t>
            </w:r>
          </w:p>
        </w:tc>
        <w:tc>
          <w:tcPr>
            <w:tcW w:w="22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25.9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4711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249" w:lineRule="exact"/>
        <w:rPr>
          <w:sz w:val="20"/>
          <w:szCs w:val="20"/>
          <w:color w:val="auto"/>
        </w:rPr>
      </w:pPr>
    </w:p>
    <w:p>
      <w:pPr>
        <w:ind w:right="300" w:firstLine="374"/>
        <w:spacing w:after="0" w:line="279" w:lineRule="auto"/>
        <w:rPr>
          <w:sz w:val="20"/>
          <w:szCs w:val="20"/>
          <w:color w:val="auto"/>
        </w:rPr>
      </w:pPr>
      <w:r>
        <w:rPr>
          <w:rFonts w:ascii="Arial" w:cs="Arial" w:eastAsia="Arial" w:hAnsi="Arial"/>
          <w:sz w:val="17"/>
          <w:szCs w:val="17"/>
          <w:i w:val="1"/>
          <w:iCs w:val="1"/>
          <w:color w:val="auto"/>
        </w:rPr>
        <w:t>Total Gross Profit</w:t>
      </w:r>
      <w:r>
        <w:rPr>
          <w:rFonts w:ascii="Arial" w:cs="Arial" w:eastAsia="Arial" w:hAnsi="Arial"/>
          <w:sz w:val="17"/>
          <w:szCs w:val="17"/>
          <w:color w:val="auto"/>
        </w:rPr>
        <w:t>. Our total gross profit was $498.1 million for the nine months ended September 30, 2023 compared to $395.8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2022, an increase of $102.3 million, or 25.9%. Total gross profit margin for the nine months ended September 30, 2023 was 46.0%, an increase of 1.6% from the 44.4% gross profit margin for the nine months ended September 30, 2022. Gross profit and gross margin for all reportable segments and non-segmented other revenues are further described below.</w:t>
      </w:r>
    </w:p>
    <w:p>
      <w:pPr>
        <w:spacing w:after="0" w:line="129" w:lineRule="exact"/>
        <w:rPr>
          <w:sz w:val="20"/>
          <w:szCs w:val="20"/>
          <w:color w:val="auto"/>
        </w:rPr>
      </w:pPr>
    </w:p>
    <w:p>
      <w:pPr>
        <w:ind w:right="160" w:firstLine="374"/>
        <w:spacing w:after="0" w:line="286" w:lineRule="auto"/>
        <w:rPr>
          <w:sz w:val="20"/>
          <w:szCs w:val="20"/>
          <w:color w:val="auto"/>
        </w:rPr>
      </w:pPr>
      <w:r>
        <w:rPr>
          <w:rFonts w:ascii="Arial" w:cs="Arial" w:eastAsia="Arial" w:hAnsi="Arial"/>
          <w:sz w:val="17"/>
          <w:szCs w:val="17"/>
          <w:i w:val="1"/>
          <w:iCs w:val="1"/>
          <w:color w:val="auto"/>
        </w:rPr>
        <w:t>Equipment Rentals Gross Profit</w:t>
      </w:r>
      <w:r>
        <w:rPr>
          <w:rFonts w:ascii="Arial" w:cs="Arial" w:eastAsia="Arial" w:hAnsi="Arial"/>
          <w:sz w:val="17"/>
          <w:szCs w:val="17"/>
          <w:color w:val="auto"/>
        </w:rPr>
        <w:t>. Our total gross profit from equipment rentals for the nine months ended September 30, 2023 increased $72.4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22.0%, to $400.6 million from $328.2 million in the nine months ended September 30, 2022. Total gross profit margin from equipment rentals for the nine months ended September 30, 2023 was 46.1% compared to 48.2% for the same period in 2022, a decrease of 2.1%.</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31" w:name="page32"/>
    <w:bookmarkEnd w:id="31"/>
    <w:p>
      <w:pPr>
        <w:ind w:firstLine="374"/>
        <w:spacing w:after="0" w:line="290" w:lineRule="auto"/>
        <w:rPr>
          <w:sz w:val="20"/>
          <w:szCs w:val="20"/>
          <w:color w:val="auto"/>
        </w:rPr>
      </w:pPr>
      <w:r>
        <w:rPr>
          <w:rFonts w:ascii="Arial" w:cs="Arial" w:eastAsia="Arial" w:hAnsi="Arial"/>
          <w:sz w:val="16"/>
          <w:szCs w:val="16"/>
          <w:i w:val="1"/>
          <w:iCs w:val="1"/>
          <w:color w:val="auto"/>
        </w:rPr>
        <w:t xml:space="preserve">Rentals: </w:t>
      </w:r>
      <w:r>
        <w:rPr>
          <w:rFonts w:ascii="Arial" w:cs="Arial" w:eastAsia="Arial" w:hAnsi="Arial"/>
          <w:sz w:val="16"/>
          <w:szCs w:val="16"/>
          <w:color w:val="auto"/>
        </w:rPr>
        <w:t>Rental revenues gross profit increased $74.6 million, or 23.2%, to $395.7 million for the nine months ended September 30,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$321.2 million for the nine months ended September 30, 2022. The increased gross profit was the result of increased rental revenues of $168.5 million for the nine months ended September 30, 2023 compared to the same period last year, which was partially offset by a $69.9 million increase in rental depreciation and a $24.1 million increase in rental expenses. The increase in depreciation expense is primarily due to a larger fleet size in the current period as compared to the prior period. Gross profit margin on rentals for the nine months ended September 30, 2023 was 51.3% compared to 53.3% for the nine months ended September 30, 2022, a decrease of 2.0%. Depreciation expense was 33.5% of rental revenues for the nine months ended September 30, 2023 compared to 31.2% for the same period in 2022, an increase of 2.3%, resulting primarily from our OSR acquired fleet. As a percentage of revenues, rental expenses were 15.2% for the nine months ended September 30, 2023 compared to 15.5% for the same period last year, a decrease of 0.3%.</w:t>
      </w:r>
    </w:p>
    <w:p>
      <w:pPr>
        <w:spacing w:after="0" w:line="136"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i w:val="1"/>
          <w:iCs w:val="1"/>
          <w:color w:val="auto"/>
        </w:rPr>
        <w:t xml:space="preserve">Rentals Other: </w:t>
      </w:r>
      <w:r>
        <w:rPr>
          <w:rFonts w:ascii="Arial" w:cs="Arial" w:eastAsia="Arial" w:hAnsi="Arial"/>
          <w:sz w:val="17"/>
          <w:szCs w:val="17"/>
          <w:color w:val="auto"/>
        </w:rPr>
        <w:t>Our rentals other revenue consists primarily of equipment support activities that we provide to customers in connection with renting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such as hauling charges, damage waiver policies, environmental and other recovery fees. Rental other revenues gross profit for the nine months ended September 30, 2023 was $4.8 million compared to $7.0 million for the same period in 2022, a decrease of $2.2 million. Gross profit margin was 4.9% for the nine months ended September 30, 2023 compared to 9.0% for the same period last year, a decrease of 4.1%.</w:t>
      </w:r>
    </w:p>
    <w:p>
      <w:pPr>
        <w:spacing w:after="0" w:line="129"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i w:val="1"/>
          <w:iCs w:val="1"/>
          <w:color w:val="auto"/>
        </w:rPr>
        <w:t xml:space="preserve">Used Equipment Sales Gross Profit. </w:t>
      </w:r>
      <w:r>
        <w:rPr>
          <w:rFonts w:ascii="Arial" w:cs="Arial" w:eastAsia="Arial" w:hAnsi="Arial"/>
          <w:sz w:val="16"/>
          <w:szCs w:val="16"/>
          <w:color w:val="auto"/>
        </w:rPr>
        <w:t>Our used equipment sales gross profit for the nine months ended September 30, 2023 increased $44.2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153.4%, to $73.1 million from $28.8 million in the same period in 2022 on increased used equipment sales of $63.8 million. Gross profit margin on used equipment sales for the nine months ended September 30, 2023 was approximately 58.7%, up 11.1% from 47.6% for the nine months ended September 30, 2022, primarily as a result of higher used equipment gross margins across all product lines. Our used equipment sales from the rental fleet, which comprised 99.2% and 91.8% of our used equipment sales for the nine months ended September 30, 2023 and 2022, respectively, were approximately 243.9% and 202.0% of net book value for the nine months ended September 30, 2023 and 2022, respectively.</w:t>
      </w:r>
    </w:p>
    <w:p>
      <w:pPr>
        <w:spacing w:after="0" w:line="122"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i w:val="1"/>
          <w:iCs w:val="1"/>
          <w:color w:val="auto"/>
        </w:rPr>
        <w:t xml:space="preserve">New Equipment Sales Gross Profit. </w:t>
      </w:r>
      <w:r>
        <w:rPr>
          <w:rFonts w:ascii="Arial" w:cs="Arial" w:eastAsia="Arial" w:hAnsi="Arial"/>
          <w:sz w:val="18"/>
          <w:szCs w:val="18"/>
          <w:color w:val="auto"/>
        </w:rPr>
        <w:t>Our new equipment sales gross profit for the nine months ended September 30, 2023 decreased $6.1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60.4%, to $4.0 million compared to $10.2 million for the nine months ended September 30, 2022 on decreased new equipment sales of $41.7 million. The decreased gross profit was primarily due to a decrease of earthmoving equipment sales due to the sale of our Komatsu Earthmoving Distributorship. Gross profit margin on new equipment sales was 13.8% for the nine months ended September 30, 2023, compared to 14.3% for the same period last year, a decrease of 0.5%.</w:t>
      </w:r>
    </w:p>
    <w:p>
      <w:pPr>
        <w:spacing w:after="0" w:line="164" w:lineRule="exact"/>
        <w:rPr>
          <w:sz w:val="20"/>
          <w:szCs w:val="20"/>
          <w:color w:val="auto"/>
        </w:rPr>
      </w:pPr>
    </w:p>
    <w:p>
      <w:pPr>
        <w:jc w:val="both"/>
        <w:ind w:right="100" w:firstLine="374"/>
        <w:spacing w:after="0" w:line="263" w:lineRule="auto"/>
        <w:rPr>
          <w:sz w:val="20"/>
          <w:szCs w:val="20"/>
          <w:color w:val="auto"/>
        </w:rPr>
      </w:pPr>
      <w:r>
        <w:rPr>
          <w:rFonts w:ascii="Arial" w:cs="Arial" w:eastAsia="Arial" w:hAnsi="Arial"/>
          <w:sz w:val="18"/>
          <w:szCs w:val="18"/>
          <w:i w:val="1"/>
          <w:iCs w:val="1"/>
          <w:color w:val="auto"/>
        </w:rPr>
        <w:t xml:space="preserve">Parts Sales Gross Profit. </w:t>
      </w:r>
      <w:r>
        <w:rPr>
          <w:rFonts w:ascii="Arial" w:cs="Arial" w:eastAsia="Arial" w:hAnsi="Arial"/>
          <w:sz w:val="18"/>
          <w:szCs w:val="18"/>
          <w:color w:val="auto"/>
        </w:rPr>
        <w:t>Our parts sales gross profit for the nine months ended September 30, 2023 was $10.3 million, a decrease of $3.2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23.7%, from a gross profit of $13.6 million for the same period last year on decreased parts sales of $12.9 million. Gross profit margin for the nine months ended September 30, 2023 and 2022 was 28.7% and 27.7%, respectively.</w:t>
      </w:r>
    </w:p>
    <w:p>
      <w:pPr>
        <w:spacing w:after="0" w:line="142" w:lineRule="exact"/>
        <w:rPr>
          <w:sz w:val="20"/>
          <w:szCs w:val="20"/>
          <w:color w:val="auto"/>
        </w:rPr>
      </w:pPr>
    </w:p>
    <w:p>
      <w:pPr>
        <w:jc w:val="both"/>
        <w:ind w:right="80" w:firstLine="374"/>
        <w:spacing w:after="0" w:line="311" w:lineRule="auto"/>
        <w:rPr>
          <w:sz w:val="20"/>
          <w:szCs w:val="20"/>
          <w:color w:val="auto"/>
        </w:rPr>
      </w:pPr>
      <w:r>
        <w:rPr>
          <w:rFonts w:ascii="Arial" w:cs="Arial" w:eastAsia="Arial" w:hAnsi="Arial"/>
          <w:sz w:val="16"/>
          <w:szCs w:val="16"/>
          <w:i w:val="1"/>
          <w:iCs w:val="1"/>
          <w:color w:val="auto"/>
        </w:rPr>
        <w:t xml:space="preserve">Services Revenues Gross Profit. </w:t>
      </w:r>
      <w:r>
        <w:rPr>
          <w:rFonts w:ascii="Arial" w:cs="Arial" w:eastAsia="Arial" w:hAnsi="Arial"/>
          <w:sz w:val="16"/>
          <w:szCs w:val="16"/>
          <w:color w:val="auto"/>
        </w:rPr>
        <w:t>For the nine months ended September 30, 2023, our services revenues gross profit decreased $3.5 million, or 21.1%,</w:t>
      </w:r>
      <w:r>
        <w:rPr>
          <w:rFonts w:ascii="Arial" w:cs="Arial" w:eastAsia="Arial" w:hAnsi="Arial"/>
          <w:sz w:val="16"/>
          <w:szCs w:val="16"/>
          <w:i w:val="1"/>
          <w:iCs w:val="1"/>
          <w:color w:val="auto"/>
        </w:rPr>
        <w:t xml:space="preserve"> </w:t>
      </w:r>
      <w:r>
        <w:rPr>
          <w:rFonts w:ascii="Arial" w:cs="Arial" w:eastAsia="Arial" w:hAnsi="Arial"/>
          <w:sz w:val="16"/>
          <w:szCs w:val="16"/>
          <w:color w:val="auto"/>
        </w:rPr>
        <w:t>to $13.0 million from $16.5 million for the nine months ended September 30, 2022 on decreased services revenues of $4.6 million. Gross profit margin for the nine months ended September 30, 2023 was 61.9%, a decrease of 2.5% from 64.4% in the nine months ended September 30, 2022.</w:t>
      </w:r>
    </w:p>
    <w:p>
      <w:pPr>
        <w:spacing w:after="0" w:line="107" w:lineRule="exact"/>
        <w:rPr>
          <w:sz w:val="20"/>
          <w:szCs w:val="20"/>
          <w:color w:val="auto"/>
        </w:rPr>
      </w:pPr>
    </w:p>
    <w:p>
      <w:pPr>
        <w:jc w:val="both"/>
        <w:ind w:right="40" w:firstLine="374"/>
        <w:spacing w:after="0" w:line="311" w:lineRule="auto"/>
        <w:rPr>
          <w:sz w:val="20"/>
          <w:szCs w:val="20"/>
          <w:color w:val="auto"/>
        </w:rPr>
      </w:pPr>
      <w:r>
        <w:rPr>
          <w:rFonts w:ascii="Arial" w:cs="Arial" w:eastAsia="Arial" w:hAnsi="Arial"/>
          <w:sz w:val="16"/>
          <w:szCs w:val="16"/>
          <w:i w:val="1"/>
          <w:iCs w:val="1"/>
          <w:color w:val="auto"/>
        </w:rPr>
        <w:t xml:space="preserve">Non-Segmented Other Revenues Gross Loss. </w:t>
      </w:r>
      <w:r>
        <w:rPr>
          <w:rFonts w:ascii="Arial" w:cs="Arial" w:eastAsia="Arial" w:hAnsi="Arial"/>
          <w:sz w:val="16"/>
          <w:szCs w:val="16"/>
          <w:color w:val="auto"/>
        </w:rPr>
        <w:t>Our non-segmented other revenues relate to equipment support activities that we provide to customers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used and new equipment sales and parts and services revenues and are not generally allocated to reportable segments. For the nine months ended September 30, 2023, our other revenues gross loss was $2.9 million compared to $1.5 million in the same period in 2022, a decrease of $1.5 million.</w:t>
      </w:r>
    </w:p>
    <w:p>
      <w:pPr>
        <w:spacing w:after="0" w:line="121" w:lineRule="exact"/>
        <w:rPr>
          <w:sz w:val="20"/>
          <w:szCs w:val="20"/>
          <w:color w:val="auto"/>
        </w:rPr>
      </w:pPr>
    </w:p>
    <w:p>
      <w:pPr>
        <w:ind w:right="300" w:firstLine="374"/>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SG&amp;A expenses increased $49.5 million, or 19.8%, to $298.8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compared to $249.4 million for the nine months ended September 30, 2022. Employee salaries, wages, payroll taxes and other employee related expenses increased $28.3 million, primarily as a result of increased wages, commissions, incentive pay and health insurance. Facility expenses increased $4.5 million, professional fees increased $3.9 million, depreciation and amortization expenses increased $3.8 million and liability insurance costs increased $1.9 million. Approximately $23.2 million of the total increase in SG&amp;A expenses was attributable to branches opened or acquired since January 1, 2022 with less than nine months of comparable operations in either or both of the nine months ended September 30, 2023 and 2022. SG&amp;A expenses as a percentage of total revenues for the nine months ended September 30, 2023 and 2022 were 27.6% and 28.0%, respectively.</w:t>
      </w:r>
    </w:p>
    <w:p>
      <w:pPr>
        <w:spacing w:after="0" w:line="124"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b w:val="1"/>
          <w:bCs w:val="1"/>
          <w:i w:val="1"/>
          <w:iCs w:val="1"/>
          <w:color w:val="auto"/>
        </w:rPr>
        <w:t xml:space="preserve">Impairment of Goodwill. </w:t>
      </w:r>
      <w:r>
        <w:rPr>
          <w:rFonts w:ascii="Arial" w:cs="Arial" w:eastAsia="Arial" w:hAnsi="Arial"/>
          <w:sz w:val="18"/>
          <w:szCs w:val="18"/>
          <w:color w:val="auto"/>
        </w:rPr>
        <w:t>Impairment of goodwill incurred in the nine months ended September 30, 2023 was $5.7 million. The impairment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our five reporting units, Parts Sales. There was no impairment of goodwill for the nine months ended September 30, 2022. See Note 2 to the Condensed Consolidated financial statements for additional information.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32" w:name="page33"/>
    <w:bookmarkEnd w:id="32"/>
    <w:p>
      <w:pPr>
        <w:ind w:right="220" w:firstLine="374"/>
        <w:spacing w:after="0" w:line="263" w:lineRule="auto"/>
        <w:rPr>
          <w:sz w:val="20"/>
          <w:szCs w:val="20"/>
          <w:color w:val="auto"/>
        </w:rPr>
      </w:pPr>
      <w:r>
        <w:rPr>
          <w:rFonts w:ascii="Arial" w:cs="Arial" w:eastAsia="Arial" w:hAnsi="Arial"/>
          <w:sz w:val="18"/>
          <w:szCs w:val="18"/>
          <w:b w:val="1"/>
          <w:bCs w:val="1"/>
          <w:i w:val="1"/>
          <w:iCs w:val="1"/>
          <w:color w:val="auto"/>
        </w:rPr>
        <w:t xml:space="preserve">Gain on Sales of Property &amp; Equipment (Net). </w:t>
      </w:r>
      <w:r>
        <w:rPr>
          <w:rFonts w:ascii="Arial" w:cs="Arial" w:eastAsia="Arial" w:hAnsi="Arial"/>
          <w:sz w:val="18"/>
          <w:szCs w:val="18"/>
          <w:color w:val="auto"/>
        </w:rPr>
        <w:t>We had net gains on sales of property and equipment of $1.9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compared to $2.9 million for the same period last year, a decrease of $1.0 million. This decrease is due to fluctuations in the normal course of business.</w:t>
      </w:r>
    </w:p>
    <w:p>
      <w:pPr>
        <w:spacing w:after="0" w:line="156" w:lineRule="exact"/>
        <w:rPr>
          <w:sz w:val="20"/>
          <w:szCs w:val="20"/>
          <w:color w:val="auto"/>
        </w:rPr>
      </w:pPr>
    </w:p>
    <w:p>
      <w:pPr>
        <w:jc w:val="both"/>
        <w:ind w:right="120" w:firstLine="374"/>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For the nine months ended September 30, 2023, our net other expenses were $38.7 million compared to $37.8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2022. Interest expense was $44.5 million for the nine months ended September 30, 2023 compared to $40.5 million for the nine months ended September 30, 2022.</w:t>
      </w:r>
    </w:p>
    <w:p>
      <w:pPr>
        <w:spacing w:after="0" w:line="142"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expense of $41.0 million for the nine months ended September 30, 2023 compared to an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of $29.0 million for the nine months ended September 30, 2022. Our effective income tax rate for the nine months ended September 30, 2023 was 26.2% compared to 26.0% for the same period in 2022. Based on available evidence, both positive and negative, we believe it is more likely than not that our federal deferred tax assets at September 30, 2023 are fully realizable through future reversals of existing taxable temporary differences and future taxable income. As of September 30, 2023, we have a valuation allowance of $5.9 million for certain state tax credits that may not be realized.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i w:val="1"/>
          <w:iCs w:val="1"/>
          <w:color w:val="auto"/>
        </w:rPr>
        <w:t xml:space="preserve">Cash Flow From Operating Activities. </w:t>
      </w:r>
      <w:r>
        <w:rPr>
          <w:rFonts w:ascii="Arial" w:cs="Arial" w:eastAsia="Arial" w:hAnsi="Arial"/>
          <w:sz w:val="17"/>
          <w:szCs w:val="17"/>
          <w:color w:val="auto"/>
        </w:rPr>
        <w:t>For the nine months ended September 30, 2023, the net cash provided by our operating activities was $276.5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Our reported net income of $115.8 million, when adjusted for non-cash income and expense items, such as depreciation and amortization, deferred income taxes, net amortization (accretion) of note discount (premium), provision for losses on accounts receivable, impairment of goodwill, provision for inventory obsolescence, stock-based compensation expense, impairment of goodwill and net gains on the sale of long-lived assets, provided positive cash flows of $397.6 million. These cash flows from operating activities were also positively impacted by a $10.9 million increase in accrued expenses payable and other liabilities, a $2.2 million increase in manufacturing flooring plans payable, and an $8.1 million decrease in prepaid expenses and other assets. Partially offsetting these positive cash flows were a $101.2 million increase in inventories, a $32.2 million increase in accounts receivables and an $8.4 million decrease in accounts payable.</w:t>
      </w:r>
    </w:p>
    <w:p>
      <w:pPr>
        <w:spacing w:after="0" w:line="142"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For the nine months ended September 30, 2022, the net cash provided by our operating activities was approximately $211.2 million. Our reported net income of $81.0 million, when adjusted for non-cash income and expense items, such as depreciation and amortization, deferred income taxes, net amortization (accretion) of note discount, non-cash operating lease expense, provision for losses on accounts receivable, provision for inventory obsolescence, stock-based compensation expense, loss on sale of discontinued operations and net gains on the sale of long-lived assets, provided positive cash flows of $307.8 million. These cash flows from operating activities were also positively impacted by a $26.3 million increase in accounts payable and a $13.9 million increase in accrued expenses payable and other liabilities. Partially offsetting these positive cash flows were an $84.5 million increase in inventories, a $47.8 million increase in receivables, a $4.3 million decrease in manufacturing flooring plans payable and a $0.2 million increase in prepaid expenses and other assets. Net cash provided from operating activities was not adjusted to exclude net cash provided by discontinued operations.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Cash Flow From Investing Activities. </w:t>
      </w:r>
      <w:r>
        <w:rPr>
          <w:rFonts w:ascii="Arial" w:cs="Arial" w:eastAsia="Arial" w:hAnsi="Arial"/>
          <w:sz w:val="16"/>
          <w:szCs w:val="16"/>
          <w:color w:val="auto"/>
        </w:rPr>
        <w:t>For the nine months ended September 30, 2023, our net cash used in our investing activities was $452.0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Purchases of rental and non-rental equipment were $578.0 million and proceeds from the sale of rental and non-rental equipment were $126.0 million.</w:t>
      </w:r>
    </w:p>
    <w:p>
      <w:pPr>
        <w:spacing w:after="0" w:line="193" w:lineRule="exact"/>
        <w:rPr>
          <w:sz w:val="20"/>
          <w:szCs w:val="20"/>
          <w:color w:val="auto"/>
        </w:rPr>
      </w:pPr>
    </w:p>
    <w:p>
      <w:pPr>
        <w:jc w:val="both"/>
        <w:ind w:right="200" w:firstLine="374"/>
        <w:spacing w:after="0" w:line="263" w:lineRule="auto"/>
        <w:rPr>
          <w:sz w:val="20"/>
          <w:szCs w:val="20"/>
          <w:color w:val="auto"/>
        </w:rPr>
      </w:pPr>
      <w:r>
        <w:rPr>
          <w:rFonts w:ascii="Arial" w:cs="Arial" w:eastAsia="Arial" w:hAnsi="Arial"/>
          <w:sz w:val="18"/>
          <w:szCs w:val="18"/>
          <w:color w:val="auto"/>
        </w:rPr>
        <w:t>For the nine months ended September 30, 2022, our net cash used in our investing activities was $316.5 million. Purchases of rental and non-rental equipment were $373.5 million and proceeds from the sale of rental and non-rental equipment were $59.3 million. A $2.3 million payment related to the sale of discontinued operations was made upon the execution of the final closing statement.</w:t>
      </w:r>
    </w:p>
    <w:p>
      <w:pPr>
        <w:spacing w:after="0" w:line="142" w:lineRule="exact"/>
        <w:rPr>
          <w:sz w:val="20"/>
          <w:szCs w:val="20"/>
          <w:color w:val="auto"/>
        </w:rPr>
      </w:pPr>
    </w:p>
    <w:p>
      <w:pPr>
        <w:ind w:right="140" w:firstLine="374"/>
        <w:spacing w:after="0" w:line="279" w:lineRule="auto"/>
        <w:rPr>
          <w:sz w:val="20"/>
          <w:szCs w:val="20"/>
          <w:color w:val="auto"/>
        </w:rPr>
      </w:pPr>
      <w:r>
        <w:rPr>
          <w:rFonts w:ascii="Arial" w:cs="Arial" w:eastAsia="Arial" w:hAnsi="Arial"/>
          <w:sz w:val="17"/>
          <w:szCs w:val="17"/>
          <w:i w:val="1"/>
          <w:iCs w:val="1"/>
          <w:color w:val="auto"/>
        </w:rPr>
        <w:t xml:space="preserve">Cash Flow From Financing Activities. </w:t>
      </w:r>
      <w:r>
        <w:rPr>
          <w:rFonts w:ascii="Arial" w:cs="Arial" w:eastAsia="Arial" w:hAnsi="Arial"/>
          <w:sz w:val="17"/>
          <w:szCs w:val="17"/>
          <w:color w:val="auto"/>
        </w:rPr>
        <w:t>For the nine months ended September 30, 2023, our net cash provided by our financing activities was $101.1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Borrowings on our senior secured credit facility amounted to $1.3 billion while payments on the facility amounted to $1.2 billion for the nine months ended September 30, 2023. Dividends paid totaled $30.0 million, or $0.825 per common share, and treasury stock purchases totaled $6.1 million. Payments on deferred financing costs related to the amended and restated credit facility totaled $4.9 million.</w:t>
      </w:r>
    </w:p>
    <w:p>
      <w:pPr>
        <w:spacing w:after="0" w:line="143"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For the nine months ended September 30, 2022, our net cash provided by our financing activities was exceeded by our cash used in our financing activities, resulting in net cash used in our financing activities of $31.5 million. Borrowings and payments offset one another under our Credit Facility for the nine months ended September 30, 2022. Dividends paid totaled $29.9 million, or $0.825 per common share, and treasury stock purchases totaled $1.6 million.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33" w:name="page34"/>
    <w:bookmarkEnd w:id="33"/>
    <w:p>
      <w:pPr>
        <w:ind w:left="38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17"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On December 14, 2020, we completed the offering of our Senior Unsecured Notes of $1.25 billion. No principal payments on the Senior Unsecured Notes are due until their scheduled maturity date of December 15, 2028.</w:t>
      </w:r>
    </w:p>
    <w:p>
      <w:pPr>
        <w:spacing w:after="0" w:line="129" w:lineRule="exact"/>
        <w:rPr>
          <w:sz w:val="20"/>
          <w:szCs w:val="20"/>
          <w:color w:val="auto"/>
        </w:rPr>
      </w:pPr>
    </w:p>
    <w:p>
      <w:pPr>
        <w:ind w:right="100" w:firstLine="374"/>
        <w:spacing w:after="0" w:line="291" w:lineRule="auto"/>
        <w:rPr>
          <w:sz w:val="20"/>
          <w:szCs w:val="20"/>
          <w:color w:val="auto"/>
        </w:rPr>
      </w:pPr>
      <w:r>
        <w:rPr>
          <w:rFonts w:ascii="Arial" w:cs="Arial" w:eastAsia="Arial" w:hAnsi="Arial"/>
          <w:sz w:val="16"/>
          <w:szCs w:val="16"/>
          <w:color w:val="auto"/>
        </w:rPr>
        <w:t>The Senior Unsecured Notes were issued by H&amp;E Equipment Services, Inc. (the parent company) and are guaranteed by GNE Investments, Inc. and its wholly-owned subsidiaries Great Northern Equipment, Inc., H&amp;E Equipment Services (California), LLC, H&amp;E California Holding, Inc., H&amp;E Equipment Services (Midwest), Inc., H&amp;E Equipment Services (Mid-Atlantic), Inc. and H&amp;E Finance Corp (collectively, the guarantor subsidiaries). The guarantees, made on a joint and several basis, are full and unconditional (subject to subordination provisions and subject to a standard limitation which provides that the maximum amount guaranteed by each guarantor will not exceed the maximum amount that can be guaranteed without making the guarantee void under fraudulent conveyance laws). There are no restrictions on H&amp;E Equipment Services, Inc.’s ability to obtain funds from the guarantor subsidiaries by dividend or loan. There are no registration rights associated with the notes or the subsidiary guarantees.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and our subsidiaries are parties to a $750.0 million Credit Facility with Wells Fargo Bank, National Association as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lenders named therein. At September 30, 2023, we had $142.2 million in outstanding borrowings under the Credit Facility and we could borrow up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$597.2 million, which with cash and cash equivalents on hand amounted to a liquidity position of $604.1 million. We did not have any covenant violations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the Credit Facility. At October 19, 2023, we had $618.3 million of available borrowings under our Credit Facility, net of a $10.6 million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outstanding letter of credit.</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Requirements Related to Operations</w:t>
      </w:r>
    </w:p>
    <w:p>
      <w:pPr>
        <w:spacing w:after="0" w:line="11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Our principal sources of liquidity have been from cash provided by operating activities and the sales of used, new and rental fleet equipment, proceeds from the issuance of debt, and borrowings available under the Credit Facility. Our principal uses of cash and cash equivalents historically have been to fund operating activities and working capital (including used and new equipment inventories), purchases of rental fleet equipment and property and equipment, opening new branch locations, fund payments due under facility operating leases and manufacturer flooring plans payable, and to meet debt service requirements. In the future, we may pursue additional strategic acquisitions and seek to open new branch locations.</w:t>
      </w:r>
    </w:p>
    <w:p>
      <w:pPr>
        <w:spacing w:after="0" w:line="148" w:lineRule="exact"/>
        <w:rPr>
          <w:sz w:val="20"/>
          <w:szCs w:val="20"/>
          <w:color w:val="auto"/>
        </w:rPr>
      </w:pPr>
    </w:p>
    <w:p>
      <w:pPr>
        <w:ind w:right="160" w:firstLine="374"/>
        <w:spacing w:after="0" w:line="253" w:lineRule="auto"/>
        <w:rPr>
          <w:sz w:val="20"/>
          <w:szCs w:val="20"/>
          <w:color w:val="auto"/>
        </w:rPr>
      </w:pPr>
      <w:r>
        <w:rPr>
          <w:rFonts w:ascii="Arial" w:cs="Arial" w:eastAsia="Arial" w:hAnsi="Arial"/>
          <w:sz w:val="18"/>
          <w:szCs w:val="18"/>
          <w:color w:val="auto"/>
        </w:rPr>
        <w:t>The amount of our future capital expenditures will depend on a number of factors including general economic conditions and growth prospects. In response to changing economic conditions, we believe we have the flexibility to modify our capital expenditures by adjusting them (either up or down) to match our actual performance. Our gross rental fleet capital expenditures for the nine months ended September 30, 2023 and for both continuing and discontinued operations for the nine months ended September 30, 2022 were approximately $595.2 million and $379.5 million, respectively, including $72.6 million and $42.3 million, respectively, of non-cash transfers from used and new equipment to rental fleet inventory. This increase in rental fleet capital expenditures reflects our branch expansion growth strategy. Our gross property and equipment capital expenditures for the nine months ended September 30, 2023 and for both continuing and discontinued operations for the nine months ended September 30, 2022 were $55.4 million and $36.3 million, respectively.</w:t>
      </w:r>
    </w:p>
    <w:p>
      <w:pPr>
        <w:spacing w:after="0" w:line="156"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To service our debt, we will require a significant amount of cash. Our ability to pay interest and principal on our indebtedness (including the Credit Facility, the Senior Unsecured Notes and our other indebtedness) will depend upon our future operating performance and the availability of borrowings under the Credit Facility and/or other debt and equity financing alternatives available to us, which will be affected by prevailing economic conditions and conditions in the global credit and capital markets, as well as financial, business and other factors, some of which are beyond our control. Based on our current level of operations and given the current state of the capital markets, we believe our cash flow from operations, available cash and cash equivalents and available borrowings under the Credit Facility will be adequate to meet our future liquidity needs for the foreseeable future. At September 30, 2023, we had cash and cash equivalents on hand of $6.9 million. At September 30, 2023, we had available borrowings of $597.2 million, net of $10.6 million of outstanding letters of credit. At October 19, 2023, we had $618.3 million of available borrowings under the Credit Facility, net of $10.6 million of outstanding letters of credit.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121"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On August 11, 2023, the Company announced a quarterly dividend of $0.275 per share to stockholders of record, which was paid on September 15, 2023, totaling approximately $10.0 million. The Company intends to continue to pay regular quarterly cash dividends; however, the declaration of any subsequent dividends is discretionary and will be subject to a final determination by the Board of Directors each quarter after its review of, among other things, business and market conditions.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and Commercial Commitments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have been no material changes from the information included in our Annual Report on Form 10-K for the year ended December 31, 2022.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Our earnings may be affected by changes in interest rates since interest expense on the Credit Facility is currently calculated based upon (a) the Base Rate plus an applicable margin of 0.25% to 0.75%, depending on the Average Availability (as defined in the Credit Facility), in the case of index rate revolving loans and (b) SOFR plus a credit spread adjustment and an applicable margin of 1.25% to 1.75%, depending on the Average Availability (as defined in the Credit Facility), in the case of SOFR revolving loans.</w:t>
      </w:r>
    </w:p>
    <w:p>
      <w:pPr>
        <w:spacing w:after="0" w:line="77" w:lineRule="exact"/>
        <w:rPr>
          <w:sz w:val="20"/>
          <w:szCs w:val="20"/>
          <w:color w:val="auto"/>
        </w:rPr>
      </w:pPr>
    </w:p>
    <w:p>
      <w:pPr>
        <w:ind w:right="180" w:firstLine="374"/>
        <w:spacing w:after="0" w:line="263" w:lineRule="auto"/>
        <w:rPr>
          <w:sz w:val="20"/>
          <w:szCs w:val="20"/>
          <w:color w:val="auto"/>
        </w:rPr>
      </w:pPr>
      <w:r>
        <w:rPr>
          <w:rFonts w:ascii="Arial" w:cs="Arial" w:eastAsia="Arial" w:hAnsi="Arial"/>
          <w:sz w:val="18"/>
          <w:szCs w:val="18"/>
          <w:color w:val="auto"/>
        </w:rPr>
        <w:t>With the exception of the above, there have been no significant changes in our exposure to market risk during the three months ended September 30, 2023. For an additional discussion of our exposure to market risk, refer to Item 7A, “Quantitative and Qualitative Disclosures about Market Risk,” contained in our Annual Report on Form 10-K for the fiscal year ended December 31, 2022.</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Management’s Quarterly Evaluation of Disclosure Controls and Procedures</w:t>
      </w:r>
    </w:p>
    <w:p>
      <w:pPr>
        <w:spacing w:after="0" w:line="117"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the Company files or furnishes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financial disclosure.</w:t>
      </w:r>
    </w:p>
    <w:p>
      <w:pPr>
        <w:spacing w:after="0" w:line="115" w:lineRule="exact"/>
        <w:rPr>
          <w:sz w:val="20"/>
          <w:szCs w:val="20"/>
          <w:color w:val="auto"/>
        </w:rPr>
      </w:pPr>
    </w:p>
    <w:p>
      <w:pPr>
        <w:ind w:right="60" w:firstLine="374"/>
        <w:spacing w:after="0" w:line="220" w:lineRule="exact"/>
        <w:rPr>
          <w:sz w:val="20"/>
          <w:szCs w:val="20"/>
          <w:color w:val="auto"/>
        </w:rPr>
      </w:pPr>
      <w:r>
        <w:rPr>
          <w:rFonts w:ascii="Arial" w:cs="Arial" w:eastAsia="Arial" w:hAnsi="Arial"/>
          <w:sz w:val="17"/>
          <w:szCs w:val="17"/>
          <w:color w:val="auto"/>
        </w:rPr>
        <w:t>Our Chief Executive Officer and Chief Financial Officer (our principal executive officer and principal financial officer, respectively) have evaluated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and 15d-15(e) promulgated under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this evaluation, our principal executive officer and principal financial officer have concluded that, as of September 30, 2023, our current disclosure controls and procedures were effective.</w:t>
      </w:r>
    </w:p>
    <w:p>
      <w:pPr>
        <w:spacing w:after="0" w:line="175" w:lineRule="exact"/>
        <w:rPr>
          <w:sz w:val="20"/>
          <w:szCs w:val="20"/>
          <w:color w:val="auto"/>
        </w:rPr>
      </w:pPr>
    </w:p>
    <w:p>
      <w:pPr>
        <w:jc w:val="both"/>
        <w:ind w:right="280" w:firstLine="374"/>
        <w:spacing w:after="0" w:line="301" w:lineRule="auto"/>
        <w:rPr>
          <w:sz w:val="20"/>
          <w:szCs w:val="20"/>
          <w:color w:val="auto"/>
        </w:rPr>
      </w:pPr>
      <w:r>
        <w:rPr>
          <w:rFonts w:ascii="Arial" w:cs="Arial" w:eastAsia="Arial" w:hAnsi="Arial"/>
          <w:sz w:val="16"/>
          <w:szCs w:val="16"/>
          <w:color w:val="auto"/>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disclosure controls and procedures may not prevent or detect all misstatements. Accordingly, even effective disclosure controls and procedures can only provide reasonable assurance of achieving their control objectives.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 13a-15(f)) that occurred during the three months ended September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From time to time, we are involved in various claims and legal actions arising in the ordinary course of our business. In the opinion of management, after consultation with legal counsel, the ultimate disposition of these various matters will not have a material adverse effect on the Company’s consolidated financial position, results of operations or liquidity. We are exposed to various claims relating to our business, including those for which we retain portions of the losses through the application of deductibles and self-insured retentions, or self-insurance. Losses that exceed our deductibles and self-insured retentions are insured through various commercial lines of insurance policies.</w:t>
      </w:r>
    </w:p>
    <w:p>
      <w:pPr>
        <w:spacing w:after="0" w:line="150"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We are also involved in various other claims and legal actions arising in the ordinary course of business. In the opinion of management, after consultation with legal counsel, the ultimate disposition of these various matters will not have a material adverse effect on the Company’s consolidated financial position, results of operations or liquidity.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Part I, Item 1A - “Risk Factors,” in our Annual Report on Form 10-K for the year ended December 31, 2022, which could materially affect our business, financial condition or future results.</w:t>
      </w:r>
    </w:p>
    <w:p>
      <w:pPr>
        <w:spacing w:after="0" w:line="142" w:lineRule="exact"/>
        <w:rPr>
          <w:sz w:val="20"/>
          <w:szCs w:val="20"/>
          <w:color w:val="auto"/>
        </w:rPr>
      </w:pPr>
    </w:p>
    <w:p>
      <w:pPr>
        <w:ind w:right="100" w:firstLine="374"/>
        <w:spacing w:after="0" w:line="307" w:lineRule="auto"/>
        <w:rPr>
          <w:sz w:val="20"/>
          <w:szCs w:val="20"/>
          <w:color w:val="auto"/>
        </w:rPr>
      </w:pPr>
      <w:r>
        <w:rPr>
          <w:rFonts w:ascii="Arial" w:cs="Arial" w:eastAsia="Arial" w:hAnsi="Arial"/>
          <w:sz w:val="17"/>
          <w:szCs w:val="17"/>
          <w:color w:val="auto"/>
        </w:rPr>
        <w:t>As of the date of this Quarterly Report on Form 10-Q and other than the risk factors set forth below, there have been no material changes with respect to the Company’s risk factors previously disclosed in our Annual Report on Form 10-K for the year ended December 31, 2022.</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Variable rate indebtedness subjects us to interest rate risk, which could cause our debt service obligations to increase significantly.</w:t>
      </w:r>
    </w:p>
    <w:p>
      <w:pPr>
        <w:spacing w:after="0" w:line="196" w:lineRule="exact"/>
        <w:rPr>
          <w:sz w:val="20"/>
          <w:szCs w:val="20"/>
          <w:color w:val="auto"/>
        </w:rPr>
      </w:pPr>
    </w:p>
    <w:p>
      <w:pPr>
        <w:ind w:right="760" w:firstLine="374"/>
        <w:spacing w:after="0" w:line="341" w:lineRule="auto"/>
        <w:rPr>
          <w:sz w:val="20"/>
          <w:szCs w:val="20"/>
          <w:color w:val="auto"/>
        </w:rPr>
      </w:pPr>
      <w:r>
        <w:rPr>
          <w:rFonts w:ascii="Arial" w:cs="Arial" w:eastAsia="Arial" w:hAnsi="Arial"/>
          <w:sz w:val="16"/>
          <w:szCs w:val="16"/>
          <w:color w:val="auto"/>
        </w:rPr>
        <w:t>Borrowings under the Credit Facility are at variable rates of interest, based on the U.S. prime rate and the Secured Overnight Financing Rate (“SOFR”), and expose us to interest rate risk. As such, our results of operations are sensitive to movements in interest rates.</w:t>
      </w:r>
    </w:p>
    <w:p>
      <w:pPr>
        <w:spacing w:after="0" w:line="84"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There are many economic factors outside our control that have in the past impacted, and may in the future impact, rates of interest, including publicly announced indices that underlie our interest obligations related to borrowings under the Credit Facility based on SOFR. SOFR is a broad measure of the cost of borrowing cash overnight collateralized by Treasury securities.</w:t>
      </w:r>
    </w:p>
    <w:p>
      <w:pPr>
        <w:spacing w:after="0" w:line="156"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Factors that also impact interest rates include, among others, governmental monetary policies, inflation, recession, changes in unemployment, the money supply,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conditions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share purchase activity for the three months ended September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Total Number of Shares</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Maximum Number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Average Price Per Share</w:t>
            </w:r>
          </w:p>
        </w:tc>
        <w:tc>
          <w:tcPr>
            <w:tcW w:w="3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a</w:t>
            </w:r>
          </w:p>
        </w:tc>
        <w:tc>
          <w:tcPr>
            <w:tcW w:w="38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Purchased</w:t>
            </w:r>
          </w:p>
        </w:tc>
        <w:tc>
          <w:tcPr>
            <w:tcW w:w="400" w:type="dxa"/>
            <w:vAlign w:val="bottom"/>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Publicly Announced Plan</w:t>
            </w:r>
          </w:p>
        </w:tc>
        <w:tc>
          <w:tcPr>
            <w:tcW w:w="380" w:type="dxa"/>
            <w:vAlign w:val="bottom"/>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Purchased Under the Plan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1-31, 2023</w:t>
            </w:r>
          </w:p>
        </w:tc>
        <w:tc>
          <w:tcPr>
            <w:tcW w:w="2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1780" w:type="dxa"/>
            <w:vAlign w:val="bottom"/>
            <w:shd w:val="clear" w:color="auto" w:fill="CFF0FC"/>
          </w:tcPr>
          <w:p>
            <w:pPr>
              <w:ind w:left="158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August 1-31, 2023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57,421</w:t>
            </w: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49.22</w:t>
            </w:r>
          </w:p>
        </w:tc>
        <w:tc>
          <w:tcPr>
            <w:tcW w:w="320" w:type="dxa"/>
            <w:vAlign w:val="bottom"/>
          </w:tcPr>
          <w:p>
            <w:pPr>
              <w:spacing w:after="0"/>
              <w:rPr>
                <w:sz w:val="21"/>
                <w:szCs w:val="21"/>
                <w:color w:val="auto"/>
              </w:rPr>
            </w:pPr>
          </w:p>
        </w:tc>
        <w:tc>
          <w:tcPr>
            <w:tcW w:w="1780" w:type="dxa"/>
            <w:vAlign w:val="bottom"/>
          </w:tcPr>
          <w:p>
            <w:pPr>
              <w:ind w:left="158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1-30, 2023</w:t>
            </w:r>
          </w:p>
        </w:tc>
        <w:tc>
          <w:tcPr>
            <w:tcW w:w="2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ind w:left="158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57,421</w:t>
            </w:r>
          </w:p>
        </w:tc>
        <w:tc>
          <w:tcPr>
            <w:tcW w:w="400" w:type="dxa"/>
            <w:vAlign w:val="bottom"/>
          </w:tcPr>
          <w:p>
            <w:pPr>
              <w:spacing w:after="0"/>
              <w:rPr>
                <w:sz w:val="20"/>
                <w:szCs w:val="20"/>
                <w:color w:val="auto"/>
              </w:rPr>
            </w:pPr>
          </w:p>
        </w:tc>
        <w:tc>
          <w:tcPr>
            <w:tcW w:w="7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320" w:type="dxa"/>
            <w:vAlign w:val="bottom"/>
          </w:tcPr>
          <w:p>
            <w:pPr>
              <w:spacing w:after="0"/>
              <w:rPr>
                <w:sz w:val="20"/>
                <w:szCs w:val="20"/>
                <w:color w:val="auto"/>
              </w:rPr>
            </w:pPr>
          </w:p>
        </w:tc>
        <w:tc>
          <w:tcPr>
            <w:tcW w:w="17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-170815</wp:posOffset>
            </wp:positionV>
            <wp:extent cx="76835"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-170815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-170815</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left="1020" w:right="40" w:hanging="504"/>
        <w:spacing w:after="0" w:line="286" w:lineRule="auto"/>
        <w:tabs>
          <w:tab w:leader="none" w:pos="1020" w:val="left"/>
        </w:tabs>
        <w:numPr>
          <w:ilvl w:val="0"/>
          <w:numId w:val="13"/>
        </w:numPr>
        <w:rPr>
          <w:rFonts w:ascii="Arial" w:cs="Arial" w:eastAsia="Arial" w:hAnsi="Arial"/>
          <w:sz w:val="15"/>
          <w:szCs w:val="15"/>
          <w:color w:val="auto"/>
        </w:rPr>
      </w:pPr>
      <w:r>
        <w:rPr>
          <w:rFonts w:ascii="Arial" w:cs="Arial" w:eastAsia="Arial" w:hAnsi="Arial"/>
          <w:sz w:val="17"/>
          <w:szCs w:val="17"/>
          <w:color w:val="auto"/>
        </w:rPr>
        <w:t>On August 1, 2023, 60,955 shares of non-vested stock that were issued in 2022 vested at $49.78 per share. Certain holders of those vested shares returned an aggregate of 24,166 shares of common stock to the Company during the quarter ended September 30, 2023 as payment for their respective withholding taxes. This resulted in an addition of 24,166 shares to treasury stock.</w:t>
      </w:r>
    </w:p>
    <w:p>
      <w:pPr>
        <w:spacing w:after="0" w:line="96" w:lineRule="exact"/>
        <w:rPr>
          <w:rFonts w:ascii="Arial" w:cs="Arial" w:eastAsia="Arial" w:hAnsi="Arial"/>
          <w:sz w:val="15"/>
          <w:szCs w:val="15"/>
          <w:color w:val="auto"/>
        </w:rPr>
      </w:pPr>
    </w:p>
    <w:p>
      <w:pPr>
        <w:ind w:left="1020" w:right="40"/>
        <w:spacing w:after="0" w:line="286" w:lineRule="auto"/>
        <w:rPr>
          <w:rFonts w:ascii="Arial" w:cs="Arial" w:eastAsia="Arial" w:hAnsi="Arial"/>
          <w:sz w:val="15"/>
          <w:szCs w:val="15"/>
          <w:color w:val="auto"/>
        </w:rPr>
      </w:pPr>
      <w:r>
        <w:rPr>
          <w:rFonts w:ascii="Arial" w:cs="Arial" w:eastAsia="Arial" w:hAnsi="Arial"/>
          <w:sz w:val="17"/>
          <w:szCs w:val="17"/>
          <w:color w:val="auto"/>
        </w:rPr>
        <w:t>On August 2, 2023, 30,800 shares of non-vested stock that were issued in 2021 vested at $48.90 per share. Certain holders of those vested shares returned an aggregate of 11,572 shares of common stock to the Company during the quarter ended September 30, 2023 as payment for their respective withholding taxes. This resulted in an addition of 11,572 shares to treasury stock.</w:t>
      </w:r>
    </w:p>
    <w:p>
      <w:pPr>
        <w:spacing w:after="0" w:line="83" w:lineRule="exact"/>
        <w:rPr>
          <w:rFonts w:ascii="Arial" w:cs="Arial" w:eastAsia="Arial" w:hAnsi="Arial"/>
          <w:sz w:val="15"/>
          <w:szCs w:val="15"/>
          <w:color w:val="auto"/>
        </w:rPr>
      </w:pPr>
    </w:p>
    <w:p>
      <w:pPr>
        <w:ind w:left="1020" w:right="40"/>
        <w:spacing w:after="0" w:line="286" w:lineRule="auto"/>
        <w:rPr>
          <w:rFonts w:ascii="Arial" w:cs="Arial" w:eastAsia="Arial" w:hAnsi="Arial"/>
          <w:sz w:val="15"/>
          <w:szCs w:val="15"/>
          <w:color w:val="auto"/>
        </w:rPr>
      </w:pPr>
      <w:r>
        <w:rPr>
          <w:rFonts w:ascii="Arial" w:cs="Arial" w:eastAsia="Arial" w:hAnsi="Arial"/>
          <w:sz w:val="17"/>
          <w:szCs w:val="17"/>
          <w:color w:val="auto"/>
        </w:rPr>
        <w:t>On August 3, 2023, 57,231 shares of non-vested stock that were issued in 2020 vested at $48.77 per share. Certain holders of those vested shares returned an aggregate of 21,683 shares of common stock to the Company during the quarter ended September 30, 2023 as payment for their respective withholding taxes. This resulted in an addition of 21,683 shares to treasury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520" w:type="dxa"/>
            <w:vAlign w:val="bottom"/>
            <w:gridSpan w:val="3"/>
          </w:tcPr>
          <w:p>
            <w:pPr>
              <w:spacing w:after="0"/>
              <w:rPr>
                <w:sz w:val="20"/>
                <w:szCs w:val="20"/>
                <w:color w:val="auto"/>
              </w:rPr>
            </w:pPr>
            <w:r>
              <w:rPr>
                <w:rFonts w:ascii="Arial" w:cs="Arial" w:eastAsia="Arial" w:hAnsi="Arial"/>
                <w:sz w:val="18"/>
                <w:szCs w:val="18"/>
                <w:color w:val="0000FF"/>
              </w:rPr>
              <w:t>Certification pursuant to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520" w:type="dxa"/>
            <w:vAlign w:val="bottom"/>
            <w:gridSpan w:val="3"/>
          </w:tcPr>
          <w:p>
            <w:pPr>
              <w:spacing w:after="0"/>
              <w:rPr>
                <w:sz w:val="20"/>
                <w:szCs w:val="20"/>
                <w:color w:val="auto"/>
              </w:rPr>
            </w:pPr>
            <w:r>
              <w:rPr>
                <w:rFonts w:ascii="Arial" w:cs="Arial" w:eastAsia="Arial" w:hAnsi="Arial"/>
                <w:sz w:val="18"/>
                <w:szCs w:val="18"/>
                <w:color w:val="0000FF"/>
              </w:rPr>
              <w:t>Certification pursuant to Section 302 of the Sarbanes-Oxley Act of 2002 (filed 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gridSpan w:val="3"/>
          </w:tcPr>
          <w:p>
            <w:pPr>
              <w:spacing w:after="0"/>
              <w:rPr>
                <w:sz w:val="20"/>
                <w:szCs w:val="20"/>
                <w:color w:val="auto"/>
              </w:rPr>
            </w:pPr>
            <w:r>
              <w:rPr>
                <w:rFonts w:ascii="Arial" w:cs="Arial" w:eastAsia="Arial" w:hAnsi="Arial"/>
                <w:sz w:val="18"/>
                <w:szCs w:val="18"/>
                <w:color w:val="0000FF"/>
                <w:w w:val="90"/>
              </w:rPr>
              <w:t>Certification pursuant to 18 U.S.C. Section 1350, as Adopted Pursuant to Section 906 of the Sarbanes-Oxley Act of 2002 (furnished</w:t>
            </w:r>
          </w:p>
        </w:tc>
      </w:tr>
      <w:tr>
        <w:trPr>
          <w:trHeight w:val="20"/>
        </w:trPr>
        <w:tc>
          <w:tcPr>
            <w:tcW w:w="11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80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520" w:type="dxa"/>
            <w:vAlign w:val="bottom"/>
            <w:gridSpan w:val="3"/>
          </w:tcPr>
          <w:p>
            <w:pPr>
              <w:spacing w:after="0" w:line="195" w:lineRule="exact"/>
              <w:rPr>
                <w:sz w:val="20"/>
                <w:szCs w:val="20"/>
                <w:color w:val="auto"/>
              </w:rPr>
            </w:pPr>
            <w:r>
              <w:rPr>
                <w:rFonts w:ascii="Arial" w:cs="Arial" w:eastAsia="Arial" w:hAnsi="Arial"/>
                <w:sz w:val="18"/>
                <w:szCs w:val="18"/>
                <w:color w:val="0000FF"/>
              </w:rPr>
              <w:t>herewith).</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Instance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r>
      <w:tr>
        <w:trPr>
          <w:trHeight w:val="391"/>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5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r>
    </w:tbl>
    <w:p>
      <w:pPr>
        <w:spacing w:after="0" w:line="161" w:lineRule="exact"/>
        <w:rPr>
          <w:sz w:val="20"/>
          <w:szCs w:val="20"/>
          <w:color w:val="auto"/>
        </w:rPr>
      </w:pPr>
    </w:p>
    <w:p>
      <w:pPr>
        <w:ind w:left="5540" w:right="2980" w:hanging="5519"/>
        <w:spacing w:after="0" w:line="792"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553" w:right="879" w:bottom="1440" w:gutter="0" w:footer="0" w:header="0"/>
        </w:sectPr>
      </w:pPr>
    </w:p>
    <w:bookmarkStart w:id="37" w:name="page38"/>
    <w:bookmarkEnd w:id="37"/>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H&amp;E EQUIPMENT SERVICES, INC.</w:t>
      </w:r>
    </w:p>
    <w:p>
      <w:pPr>
        <w:spacing w:after="0" w:line="278" w:lineRule="exact"/>
        <w:rPr>
          <w:sz w:val="20"/>
          <w:szCs w:val="20"/>
          <w:color w:val="auto"/>
        </w:rPr>
      </w:pPr>
    </w:p>
    <w:p>
      <w:pPr>
        <w:ind w:left="20"/>
        <w:spacing w:after="0"/>
        <w:tabs>
          <w:tab w:leader="none" w:pos="668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7"/>
          <w:szCs w:val="17"/>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23495</wp:posOffset>
            </wp:positionV>
            <wp:extent cx="26631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Bradley W. Barber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Executive Officer)</w:t>
      </w:r>
    </w:p>
    <w:p>
      <w:pPr>
        <w:spacing w:after="0" w:line="264" w:lineRule="exact"/>
        <w:rPr>
          <w:sz w:val="20"/>
          <w:szCs w:val="20"/>
          <w:color w:val="auto"/>
        </w:rPr>
      </w:pPr>
    </w:p>
    <w:p>
      <w:pPr>
        <w:ind w:left="20"/>
        <w:spacing w:after="0"/>
        <w:tabs>
          <w:tab w:leader="none" w:pos="668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7"/>
          <w:szCs w:val="17"/>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23495</wp:posOffset>
            </wp:positionV>
            <wp:extent cx="26631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Leslie S. Magee</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Bradley W. Barber,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H&amp;E Equipment Services, Inc.;</w:t>
      </w:r>
    </w:p>
    <w:p>
      <w:pPr>
        <w:spacing w:after="0" w:line="116" w:lineRule="exact"/>
        <w:rPr>
          <w:rFonts w:ascii="Arial" w:cs="Arial" w:eastAsia="Arial" w:hAnsi="Arial"/>
          <w:sz w:val="18"/>
          <w:szCs w:val="18"/>
          <w:color w:val="auto"/>
        </w:rPr>
      </w:pPr>
    </w:p>
    <w:p>
      <w:pPr>
        <w:ind w:left="520" w:right="12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4"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020" w:right="60" w:hanging="504"/>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60" w:hanging="504"/>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720" w:hanging="504"/>
        <w:spacing w:after="0" w:line="341"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8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7"/>
          <w:szCs w:val="17"/>
          <w:color w:val="auto"/>
        </w:rPr>
        <w:t>By:  /s/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23495</wp:posOffset>
            </wp:positionV>
            <wp:extent cx="26028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Bradley W. Barber</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Leslie S. Magee,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H&amp;E Equipment Services, Inc.;</w:t>
      </w:r>
    </w:p>
    <w:p>
      <w:pPr>
        <w:spacing w:after="0" w:line="116" w:lineRule="exact"/>
        <w:rPr>
          <w:rFonts w:ascii="Arial" w:cs="Arial" w:eastAsia="Arial" w:hAnsi="Arial"/>
          <w:sz w:val="18"/>
          <w:szCs w:val="18"/>
          <w:color w:val="auto"/>
        </w:rPr>
      </w:pPr>
    </w:p>
    <w:p>
      <w:pPr>
        <w:ind w:left="520" w:right="12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4"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6" w:lineRule="exact"/>
        <w:rPr>
          <w:rFonts w:ascii="Arial" w:cs="Arial" w:eastAsia="Arial" w:hAnsi="Arial"/>
          <w:sz w:val="16"/>
          <w:szCs w:val="16"/>
          <w:color w:val="auto"/>
        </w:rPr>
      </w:pPr>
    </w:p>
    <w:p>
      <w:pPr>
        <w:ind w:left="520" w:right="26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020" w:right="60" w:hanging="504"/>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60" w:hanging="504"/>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720" w:hanging="504"/>
        <w:spacing w:after="0" w:line="341"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80" w:hanging="503"/>
        <w:spacing w:after="0" w:line="27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6"/>
          <w:szCs w:val="16"/>
          <w:color w:val="auto"/>
        </w:rPr>
        <w:t>By:  /s/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23495</wp:posOffset>
            </wp:positionV>
            <wp:extent cx="26028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Leslie S. Magee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0"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6"/>
          <w:szCs w:val="16"/>
          <w:color w:val="auto"/>
        </w:rPr>
        <w:t>In connection with the Quarterly Report of H&amp;E Equipment Services, Inc. (the “Company”) on Form 10-Q for the period ended September 30, 2023 as filed with the Securities and Exchange Commission on the date hereof (the “Report”), I, Bradley W. Barber, Chief Executive Officer and Director of the Company, and Leslie S. Magee, Chief Financial Officer and Secretary of the Company, each certify, pursuant to 18 U.S.C. § 1350, as adopted pursuant to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906 of the Sarbanes-Oxley Act of 2002, that:</w:t>
      </w:r>
    </w:p>
    <w:p>
      <w:pPr>
        <w:spacing w:after="0" w:line="102" w:lineRule="exact"/>
        <w:rPr>
          <w:sz w:val="20"/>
          <w:szCs w:val="20"/>
          <w:color w:val="auto"/>
        </w:rPr>
      </w:pPr>
    </w:p>
    <w:p>
      <w:pPr>
        <w:ind w:left="1020" w:hanging="504"/>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my knowledge, 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1020" w:right="620" w:hanging="504"/>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6520" w:val="left"/>
          <w:tab w:leader="none" w:pos="702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Bradley W.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23495</wp:posOffset>
            </wp:positionV>
            <wp:extent cx="26714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Bradley W. Barber</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(Principal Executive Officer)</w:t>
      </w:r>
    </w:p>
    <w:p>
      <w:pPr>
        <w:spacing w:after="0" w:line="264" w:lineRule="exact"/>
        <w:rPr>
          <w:sz w:val="20"/>
          <w:szCs w:val="20"/>
          <w:color w:val="auto"/>
        </w:rPr>
      </w:pPr>
    </w:p>
    <w:p>
      <w:pPr>
        <w:ind w:left="20"/>
        <w:spacing w:after="0"/>
        <w:tabs>
          <w:tab w:leader="none" w:pos="6520" w:val="left"/>
          <w:tab w:leader="none" w:pos="7020" w:val="left"/>
        </w:tabs>
        <w:rPr>
          <w:sz w:val="20"/>
          <w:szCs w:val="20"/>
          <w:color w:val="auto"/>
        </w:rPr>
      </w:pPr>
      <w:r>
        <w:rPr>
          <w:rFonts w:ascii="Arial" w:cs="Arial" w:eastAsia="Arial" w:hAnsi="Arial"/>
          <w:sz w:val="18"/>
          <w:szCs w:val="18"/>
          <w:color w:val="auto"/>
        </w:rPr>
        <w:t>Dated: 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S.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23495</wp:posOffset>
            </wp:positionV>
            <wp:extent cx="26714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Leslie S. Magee</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2023-10-26T15:22:35Z</dcterms:created>
  <dcterms:modified xsi:type="dcterms:W3CDTF">2023-10-26T15:22:35Z</dcterms:modified>
</cp:coreProperties>
</file>