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791210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 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98425</wp:posOffset>
            </wp:positionV>
            <wp:extent cx="14300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130175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38" w:lineRule="exact"/>
        <w:rPr>
          <w:sz w:val="24"/>
          <w:szCs w:val="24"/>
          <w:color w:val="auto"/>
        </w:rPr>
      </w:pPr>
    </w:p>
    <w:p>
      <w:pPr>
        <w:ind w:left="600" w:hanging="495"/>
        <w:spacing w:after="0"/>
        <w:tabs>
          <w:tab w:leader="none" w:pos="60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327" w:lineRule="exact"/>
        <w:rPr>
          <w:sz w:val="24"/>
          <w:szCs w:val="24"/>
          <w:color w:val="auto"/>
        </w:rPr>
      </w:pPr>
    </w:p>
    <w:p>
      <w:pPr>
        <w:ind w:left="620" w:hanging="515"/>
        <w:spacing w:after="0"/>
        <w:tabs>
          <w:tab w:leader="none" w:pos="62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50" w:lineRule="exact"/>
        <w:rPr>
          <w:sz w:val="24"/>
          <w:szCs w:val="24"/>
          <w:color w:val="auto"/>
        </w:rPr>
      </w:pPr>
    </w:p>
    <w:p>
      <w:pPr>
        <w:ind w:left="3980"/>
        <w:spacing w:after="0"/>
        <w:tabs>
          <w:tab w:leader="none" w:pos="67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000-51759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113665</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H&amp;E Equipment Services,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115570</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02" w:lineRule="exact"/>
        <w:rPr>
          <w:sz w:val="24"/>
          <w:szCs w:val="24"/>
          <w:color w:val="auto"/>
        </w:rPr>
      </w:pPr>
    </w:p>
    <w:tbl>
      <w:tblPr>
        <w:tblLayout w:type="fixed"/>
        <w:tblInd w:w="10" w:type="dxa"/>
        <w:tblCellMar>
          <w:top w:w="0" w:type="dxa"/>
          <w:left w:w="0" w:type="dxa"/>
          <w:bottom w:w="0" w:type="dxa"/>
          <w:right w:w="0" w:type="dxa"/>
        </w:tblCellMar>
      </w:tblPr>
      <w:tr>
        <w:trPr>
          <w:trHeight w:val="227"/>
        </w:trPr>
        <w:tc>
          <w:tcPr>
            <w:tcW w:w="4500" w:type="dxa"/>
            <w:vAlign w:val="bottom"/>
            <w:gridSpan w:val="2"/>
          </w:tcPr>
          <w:p>
            <w:pPr>
              <w:jc w:val="center"/>
              <w:ind w:left="937"/>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40" w:type="dxa"/>
            <w:vAlign w:val="bottom"/>
          </w:tcPr>
          <w:p>
            <w:pPr>
              <w:spacing w:after="0"/>
              <w:rPr>
                <w:sz w:val="19"/>
                <w:szCs w:val="19"/>
                <w:color w:val="auto"/>
              </w:rPr>
            </w:pPr>
          </w:p>
        </w:tc>
        <w:tc>
          <w:tcPr>
            <w:tcW w:w="4500" w:type="dxa"/>
            <w:vAlign w:val="bottom"/>
            <w:gridSpan w:val="2"/>
          </w:tcPr>
          <w:p>
            <w:pPr>
              <w:jc w:val="right"/>
              <w:ind w:right="2237"/>
              <w:spacing w:after="0"/>
              <w:rPr>
                <w:sz w:val="20"/>
                <w:szCs w:val="20"/>
                <w:color w:val="auto"/>
              </w:rPr>
            </w:pPr>
            <w:r>
              <w:rPr>
                <w:rFonts w:ascii="Times New Roman" w:cs="Times New Roman" w:eastAsia="Times New Roman" w:hAnsi="Times New Roman"/>
                <w:sz w:val="18"/>
                <w:szCs w:val="18"/>
                <w:b w:val="1"/>
                <w:bCs w:val="1"/>
                <w:color w:val="auto"/>
              </w:rPr>
              <w:t>81-0553291</w:t>
            </w:r>
          </w:p>
        </w:tc>
        <w:tc>
          <w:tcPr>
            <w:tcW w:w="0" w:type="dxa"/>
            <w:vAlign w:val="bottom"/>
          </w:tcPr>
          <w:p>
            <w:pPr>
              <w:spacing w:after="0"/>
              <w:rPr>
                <w:sz w:val="1"/>
                <w:szCs w:val="1"/>
                <w:color w:val="auto"/>
              </w:rPr>
            </w:pPr>
          </w:p>
        </w:tc>
      </w:tr>
      <w:tr>
        <w:trPr>
          <w:trHeight w:val="148"/>
        </w:trPr>
        <w:tc>
          <w:tcPr>
            <w:tcW w:w="4500" w:type="dxa"/>
            <w:vAlign w:val="bottom"/>
            <w:gridSpan w:val="2"/>
          </w:tcPr>
          <w:p>
            <w:pPr>
              <w:jc w:val="center"/>
              <w:ind w:left="917"/>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180" w:type="dxa"/>
            <w:vAlign w:val="bottom"/>
          </w:tcPr>
          <w:p>
            <w:pPr>
              <w:jc w:val="center"/>
              <w:ind w:right="1257"/>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88"/>
        </w:trPr>
        <w:tc>
          <w:tcPr>
            <w:tcW w:w="4500" w:type="dxa"/>
            <w:vAlign w:val="bottom"/>
            <w:gridSpan w:val="2"/>
          </w:tcPr>
          <w:p>
            <w:pPr>
              <w:jc w:val="center"/>
              <w:ind w:left="957"/>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180" w:type="dxa"/>
            <w:vAlign w:val="bottom"/>
          </w:tcPr>
          <w:p>
            <w:pPr>
              <w:jc w:val="center"/>
              <w:ind w:right="1237"/>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367"/>
        </w:trPr>
        <w:tc>
          <w:tcPr>
            <w:tcW w:w="4500" w:type="dxa"/>
            <w:vAlign w:val="bottom"/>
            <w:gridSpan w:val="2"/>
          </w:tcPr>
          <w:p>
            <w:pPr>
              <w:jc w:val="center"/>
              <w:ind w:left="957"/>
              <w:spacing w:after="0"/>
              <w:rPr>
                <w:sz w:val="20"/>
                <w:szCs w:val="20"/>
                <w:color w:val="auto"/>
              </w:rPr>
            </w:pPr>
            <w:r>
              <w:rPr>
                <w:rFonts w:ascii="Times New Roman" w:cs="Times New Roman" w:eastAsia="Times New Roman" w:hAnsi="Times New Roman"/>
                <w:sz w:val="18"/>
                <w:szCs w:val="18"/>
                <w:b w:val="1"/>
                <w:bCs w:val="1"/>
                <w:color w:val="auto"/>
              </w:rPr>
              <w:t>7500 Pecue Lane,</w:t>
            </w:r>
          </w:p>
        </w:tc>
        <w:tc>
          <w:tcPr>
            <w:tcW w:w="2240" w:type="dxa"/>
            <w:vAlign w:val="bottom"/>
          </w:tcPr>
          <w:p>
            <w:pPr>
              <w:spacing w:after="0"/>
              <w:rPr>
                <w:sz w:val="24"/>
                <w:szCs w:val="24"/>
                <w:color w:val="auto"/>
              </w:rPr>
            </w:pPr>
          </w:p>
        </w:tc>
        <w:tc>
          <w:tcPr>
            <w:tcW w:w="4500" w:type="dxa"/>
            <w:vAlign w:val="bottom"/>
            <w:gridSpan w:val="2"/>
          </w:tcPr>
          <w:p>
            <w:pPr>
              <w:jc w:val="right"/>
              <w:ind w:right="2437"/>
              <w:spacing w:after="0"/>
              <w:rPr>
                <w:sz w:val="20"/>
                <w:szCs w:val="20"/>
                <w:color w:val="auto"/>
              </w:rPr>
            </w:pPr>
            <w:r>
              <w:rPr>
                <w:rFonts w:ascii="Times New Roman" w:cs="Times New Roman" w:eastAsia="Times New Roman" w:hAnsi="Times New Roman"/>
                <w:sz w:val="18"/>
                <w:szCs w:val="18"/>
                <w:b w:val="1"/>
                <w:bCs w:val="1"/>
                <w:color w:val="auto"/>
              </w:rPr>
              <w:t>70809</w:t>
            </w:r>
          </w:p>
        </w:tc>
        <w:tc>
          <w:tcPr>
            <w:tcW w:w="0" w:type="dxa"/>
            <w:vAlign w:val="bottom"/>
          </w:tcPr>
          <w:p>
            <w:pPr>
              <w:spacing w:after="0"/>
              <w:rPr>
                <w:sz w:val="1"/>
                <w:szCs w:val="1"/>
                <w:color w:val="auto"/>
              </w:rPr>
            </w:pPr>
          </w:p>
        </w:tc>
      </w:tr>
      <w:tr>
        <w:trPr>
          <w:trHeight w:val="227"/>
        </w:trPr>
        <w:tc>
          <w:tcPr>
            <w:tcW w:w="4500" w:type="dxa"/>
            <w:vAlign w:val="bottom"/>
            <w:gridSpan w:val="2"/>
          </w:tcPr>
          <w:p>
            <w:pPr>
              <w:jc w:val="center"/>
              <w:ind w:left="937"/>
              <w:spacing w:after="0"/>
              <w:rPr>
                <w:sz w:val="20"/>
                <w:szCs w:val="20"/>
                <w:color w:val="auto"/>
              </w:rPr>
            </w:pPr>
            <w:r>
              <w:rPr>
                <w:rFonts w:ascii="Times New Roman" w:cs="Times New Roman" w:eastAsia="Times New Roman" w:hAnsi="Times New Roman"/>
                <w:sz w:val="18"/>
                <w:szCs w:val="18"/>
                <w:b w:val="1"/>
                <w:bCs w:val="1"/>
                <w:color w:val="auto"/>
                <w:w w:val="99"/>
              </w:rPr>
              <w:t>Baton Rouge, Louisiana</w:t>
            </w:r>
          </w:p>
        </w:tc>
        <w:tc>
          <w:tcPr>
            <w:tcW w:w="2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180" w:type="dxa"/>
            <w:vAlign w:val="bottom"/>
          </w:tcPr>
          <w:p>
            <w:pPr>
              <w:jc w:val="center"/>
              <w:ind w:right="1237"/>
              <w:spacing w:after="0"/>
              <w:rPr>
                <w:sz w:val="20"/>
                <w:szCs w:val="20"/>
                <w:color w:val="auto"/>
              </w:rPr>
            </w:pPr>
            <w:r>
              <w:rPr>
                <w:rFonts w:ascii="Times New Roman" w:cs="Times New Roman" w:eastAsia="Times New Roman" w:hAnsi="Times New Roman"/>
                <w:sz w:val="18"/>
                <w:szCs w:val="18"/>
                <w:b w:val="1"/>
                <w:bCs w:val="1"/>
                <w:color w:val="auto"/>
                <w:w w:val="99"/>
              </w:rPr>
              <w:t>(ZIP Code)</w:t>
            </w:r>
          </w:p>
        </w:tc>
        <w:tc>
          <w:tcPr>
            <w:tcW w:w="0" w:type="dxa"/>
            <w:vAlign w:val="bottom"/>
          </w:tcPr>
          <w:p>
            <w:pPr>
              <w:spacing w:after="0"/>
              <w:rPr>
                <w:sz w:val="1"/>
                <w:szCs w:val="1"/>
                <w:color w:val="auto"/>
              </w:rPr>
            </w:pPr>
          </w:p>
        </w:tc>
      </w:tr>
      <w:tr>
        <w:trPr>
          <w:trHeight w:val="188"/>
        </w:trPr>
        <w:tc>
          <w:tcPr>
            <w:tcW w:w="4500" w:type="dxa"/>
            <w:vAlign w:val="bottom"/>
            <w:gridSpan w:val="2"/>
          </w:tcPr>
          <w:p>
            <w:pPr>
              <w:jc w:val="center"/>
              <w:ind w:left="95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0"/>
        </w:trPr>
        <w:tc>
          <w:tcPr>
            <w:tcW w:w="11240" w:type="dxa"/>
            <w:vAlign w:val="bottom"/>
            <w:gridSpan w:val="5"/>
          </w:tcPr>
          <w:p>
            <w:pPr>
              <w:ind w:left="348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(225) 298-5200</w:t>
            </w:r>
          </w:p>
        </w:tc>
        <w:tc>
          <w:tcPr>
            <w:tcW w:w="0" w:type="dxa"/>
            <w:vAlign w:val="bottom"/>
          </w:tcPr>
          <w:p>
            <w:pPr>
              <w:spacing w:after="0"/>
              <w:rPr>
                <w:sz w:val="1"/>
                <w:szCs w:val="1"/>
                <w:color w:val="auto"/>
              </w:rPr>
            </w:pPr>
          </w:p>
        </w:tc>
      </w:tr>
      <w:tr>
        <w:trPr>
          <w:trHeight w:val="147"/>
        </w:trPr>
        <w:tc>
          <w:tcPr>
            <w:tcW w:w="45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4"/>
        </w:trPr>
        <w:tc>
          <w:tcPr>
            <w:tcW w:w="4500" w:type="dxa"/>
            <w:vAlign w:val="bottom"/>
            <w:tcBorders>
              <w:bottom w:val="single" w:sz="8" w:color="auto"/>
            </w:tcBorders>
            <w:gridSpan w:val="2"/>
            <w:vMerge w:val="continue"/>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2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300" w:type="dxa"/>
            <w:vAlign w:val="bottom"/>
          </w:tcPr>
          <w:p>
            <w:pPr>
              <w:spacing w:after="0"/>
              <w:rPr>
                <w:sz w:val="18"/>
                <w:szCs w:val="18"/>
                <w:color w:val="auto"/>
              </w:rPr>
            </w:pPr>
          </w:p>
        </w:tc>
        <w:tc>
          <w:tcPr>
            <w:tcW w:w="22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20" w:type="dxa"/>
            <w:vAlign w:val="bottom"/>
            <w:tcBorders>
              <w:right w:val="single" w:sz="8" w:color="auto"/>
            </w:tcBorders>
          </w:tcPr>
          <w:p>
            <w:pPr>
              <w:spacing w:after="0"/>
              <w:rPr>
                <w:sz w:val="18"/>
                <w:szCs w:val="18"/>
                <w:color w:val="auto"/>
              </w:rPr>
            </w:pPr>
          </w:p>
        </w:tc>
        <w:tc>
          <w:tcPr>
            <w:tcW w:w="4180" w:type="dxa"/>
            <w:vAlign w:val="bottom"/>
            <w:tcBorders>
              <w:right w:val="single" w:sz="8" w:color="auto"/>
            </w:tcBorders>
          </w:tcPr>
          <w:p>
            <w:pPr>
              <w:jc w:val="center"/>
              <w:ind w:right="37"/>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c>
          <w:tcPr>
            <w:tcW w:w="0" w:type="dxa"/>
            <w:vAlign w:val="bottom"/>
          </w:tcPr>
          <w:p>
            <w:pPr>
              <w:spacing w:after="0"/>
              <w:rPr>
                <w:sz w:val="1"/>
                <w:szCs w:val="1"/>
                <w:color w:val="auto"/>
              </w:rPr>
            </w:pPr>
          </w:p>
        </w:tc>
      </w:tr>
      <w:tr>
        <w:trPr>
          <w:trHeight w:val="62"/>
        </w:trPr>
        <w:tc>
          <w:tcPr>
            <w:tcW w:w="4200" w:type="dxa"/>
            <w:vAlign w:val="bottom"/>
            <w:tcBorders>
              <w:left w:val="single" w:sz="8" w:color="auto"/>
              <w:bottom w:val="single" w:sz="8" w:color="auto"/>
              <w:right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320" w:type="dxa"/>
            <w:vAlign w:val="bottom"/>
            <w:tcBorders>
              <w:bottom w:val="single" w:sz="8" w:color="auto"/>
              <w:right w:val="single" w:sz="8" w:color="auto"/>
            </w:tcBorders>
          </w:tcPr>
          <w:p>
            <w:pPr>
              <w:spacing w:after="0"/>
              <w:rPr>
                <w:sz w:val="5"/>
                <w:szCs w:val="5"/>
                <w:color w:val="auto"/>
              </w:rPr>
            </w:pPr>
          </w:p>
        </w:tc>
        <w:tc>
          <w:tcPr>
            <w:tcW w:w="41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4200" w:type="dxa"/>
            <w:vAlign w:val="bottom"/>
            <w:tcBorders>
              <w:left w:val="single" w:sz="8" w:color="auto"/>
              <w:right w:val="single" w:sz="8" w:color="auto"/>
            </w:tcBorders>
          </w:tcPr>
          <w:p>
            <w:pPr>
              <w:jc w:val="center"/>
              <w:ind w:right="17"/>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300" w:type="dxa"/>
            <w:vAlign w:val="bottom"/>
          </w:tcPr>
          <w:p>
            <w:pPr>
              <w:spacing w:after="0"/>
              <w:rPr>
                <w:sz w:val="18"/>
                <w:szCs w:val="18"/>
                <w:color w:val="auto"/>
              </w:rPr>
            </w:pPr>
          </w:p>
        </w:tc>
        <w:tc>
          <w:tcPr>
            <w:tcW w:w="22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HEES</w:t>
            </w:r>
          </w:p>
        </w:tc>
        <w:tc>
          <w:tcPr>
            <w:tcW w:w="320" w:type="dxa"/>
            <w:vAlign w:val="bottom"/>
            <w:tcBorders>
              <w:right w:val="single" w:sz="8" w:color="auto"/>
            </w:tcBorders>
          </w:tcPr>
          <w:p>
            <w:pPr>
              <w:spacing w:after="0"/>
              <w:rPr>
                <w:sz w:val="18"/>
                <w:szCs w:val="18"/>
                <w:color w:val="auto"/>
              </w:rPr>
            </w:pPr>
          </w:p>
        </w:tc>
        <w:tc>
          <w:tcPr>
            <w:tcW w:w="4180" w:type="dxa"/>
            <w:vAlign w:val="bottom"/>
            <w:tcBorders>
              <w:right w:val="single" w:sz="8" w:color="auto"/>
            </w:tcBorders>
          </w:tcPr>
          <w:p>
            <w:pPr>
              <w:jc w:val="center"/>
              <w:ind w:right="57"/>
              <w:spacing w:after="0"/>
              <w:rPr>
                <w:sz w:val="20"/>
                <w:szCs w:val="20"/>
                <w:color w:val="auto"/>
              </w:rPr>
            </w:pPr>
            <w:r>
              <w:rPr>
                <w:rFonts w:ascii="Times New Roman" w:cs="Times New Roman" w:eastAsia="Times New Roman" w:hAnsi="Times New Roman"/>
                <w:sz w:val="18"/>
                <w:szCs w:val="18"/>
                <w:color w:val="auto"/>
                <w:w w:val="99"/>
              </w:rPr>
              <w:t>Nasdaq Global Market</w:t>
            </w:r>
          </w:p>
        </w:tc>
        <w:tc>
          <w:tcPr>
            <w:tcW w:w="0" w:type="dxa"/>
            <w:vAlign w:val="bottom"/>
          </w:tcPr>
          <w:p>
            <w:pPr>
              <w:spacing w:after="0"/>
              <w:rPr>
                <w:sz w:val="1"/>
                <w:szCs w:val="1"/>
                <w:color w:val="auto"/>
              </w:rPr>
            </w:pPr>
          </w:p>
        </w:tc>
      </w:tr>
      <w:tr>
        <w:trPr>
          <w:trHeight w:val="46"/>
        </w:trPr>
        <w:tc>
          <w:tcPr>
            <w:tcW w:w="4200" w:type="dxa"/>
            <w:vAlign w:val="bottom"/>
            <w:tcBorders>
              <w:left w:val="single" w:sz="8" w:color="auto"/>
              <w:bottom w:val="single" w:sz="8" w:color="auto"/>
              <w:right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41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Sections 13 or 15(d) of the Securities Exchange Act of</w:t>
      </w:r>
    </w:p>
    <w:p>
      <w:pPr>
        <w:spacing w:after="0" w:line="27" w:lineRule="exact"/>
        <w:rPr>
          <w:sz w:val="24"/>
          <w:szCs w:val="24"/>
          <w:color w:val="auto"/>
        </w:rPr>
      </w:pPr>
    </w:p>
    <w:p>
      <w:pPr>
        <w:jc w:val="both"/>
        <w:ind w:right="80"/>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jc w:val="both"/>
        <w:ind w:right="80" w:firstLine="255"/>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1" w:lineRule="exact"/>
        <w:rPr>
          <w:sz w:val="24"/>
          <w:szCs w:val="24"/>
          <w:color w:val="auto"/>
        </w:rPr>
      </w:pPr>
    </w:p>
    <w:p>
      <w:pPr>
        <w:ind w:right="100" w:firstLine="255"/>
        <w:spacing w:after="0" w:line="235" w:lineRule="exact"/>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306" w:right="339" w:bottom="1440" w:gutter="0" w:footer="0" w:header="0"/>
        </w:sectPr>
      </w:pPr>
    </w:p>
    <w:p>
      <w:pPr>
        <w:spacing w:after="0" w:line="13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color w:val="auto"/>
        </w:rPr>
        <w:t>Large Accelerated Filer</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6">
            <w:col w:w="1740" w:space="720"/>
            <w:col w:w="780" w:space="720"/>
            <w:col w:w="2100" w:space="720"/>
            <w:col w:w="580" w:space="720"/>
            <w:col w:w="2000" w:space="720"/>
            <w:col w:w="440"/>
          </w:cols>
          <w:pgMar w:left="320" w:top="1306" w:right="339" w:bottom="1440" w:gutter="0" w:footer="0" w:header="0"/>
          <w:type w:val="continuous"/>
        </w:sectPr>
      </w:pPr>
    </w:p>
    <w:p>
      <w:pPr>
        <w:spacing w:after="0" w:line="4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4">
            <w:col w:w="2080" w:space="380"/>
            <w:col w:w="780" w:space="720"/>
            <w:col w:w="2100" w:space="720"/>
            <w:col w:w="4460"/>
          </w:cols>
          <w:pgMar w:left="320" w:top="1306" w:right="339" w:bottom="1440" w:gutter="0" w:footer="0" w:header="0"/>
          <w:type w:val="continuous"/>
        </w:sectPr>
      </w:pPr>
    </w:p>
    <w:p>
      <w:pPr>
        <w:ind w:right="260" w:firstLine="255"/>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1" w:lineRule="exact"/>
        <w:rPr>
          <w:sz w:val="24"/>
          <w:szCs w:val="24"/>
          <w:color w:val="auto"/>
        </w:rPr>
      </w:pPr>
    </w:p>
    <w:p>
      <w:pPr>
        <w:ind w:left="260"/>
        <w:spacing w:after="0" w:line="207" w:lineRule="exact"/>
        <w:tabs>
          <w:tab w:leader="none" w:pos="922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6"/>
          <w:szCs w:val="16"/>
          <w:color w:val="auto"/>
        </w:rPr>
        <w:t>☑</w:t>
      </w:r>
    </w:p>
    <w:p>
      <w:pPr>
        <w:spacing w:after="0" w:line="157"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July 23, 2024, there were 36,522,703 shares of H&amp;E Equipment Services, Inc. common stock, $0.01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920750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6"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H&amp;E EQUIPMENT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066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5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660" w:type="dxa"/>
            <w:vAlign w:val="bottom"/>
            <w:gridSpan w:val="19"/>
            <w:vMerge w:val="continue"/>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310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Item 1. Financial Statements:</w:t>
            </w:r>
          </w:p>
        </w:tc>
        <w:tc>
          <w:tcPr>
            <w:tcW w:w="7560" w:type="dxa"/>
            <w:vAlign w:val="bottom"/>
            <w:gridSpan w:val="8"/>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June 30, 2024 (Unaudited) and December 31, 2023</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Income (Unaudited) for the Three and Six Months Ended June 30, 2024 and 2023</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(Unaudited) for the Six Months Ended June 30, 2024 and 2023</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66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6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2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2080" w:type="dxa"/>
            <w:vAlign w:val="bottom"/>
            <w:tcBorders>
              <w:top w:val="single" w:sz="8" w:color="0000FF"/>
            </w:tcBorders>
            <w:gridSpan w:val="2"/>
          </w:tcPr>
          <w:p>
            <w:pPr>
              <w:spacing w:after="0"/>
              <w:rPr>
                <w:sz w:val="18"/>
                <w:szCs w:val="18"/>
                <w:color w:val="auto"/>
              </w:rPr>
            </w:pPr>
          </w:p>
        </w:tc>
        <w:tc>
          <w:tcPr>
            <w:tcW w:w="3660" w:type="dxa"/>
            <w:vAlign w:val="bottom"/>
            <w:gridSpan w:val="4"/>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6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576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20" w:type="dxa"/>
            <w:vAlign w:val="bottom"/>
          </w:tcPr>
          <w:p>
            <w:pPr>
              <w:spacing w:after="0"/>
              <w:rPr>
                <w:sz w:val="24"/>
                <w:szCs w:val="24"/>
                <w:color w:val="auto"/>
              </w:rPr>
            </w:pPr>
          </w:p>
        </w:tc>
        <w:tc>
          <w:tcPr>
            <w:tcW w:w="1066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280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7860" w:type="dxa"/>
            <w:vAlign w:val="bottom"/>
            <w:gridSpan w:val="10"/>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8780" w:type="dxa"/>
            <w:vAlign w:val="bottom"/>
            <w:gridSpan w:val="13"/>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576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9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Item 2. Unregistered Sales of Equity Securities and Use of Proceeds</w:t>
            </w:r>
          </w:p>
        </w:tc>
        <w:tc>
          <w:tcPr>
            <w:tcW w:w="5760" w:type="dxa"/>
            <w:vAlign w:val="bottom"/>
            <w:gridSpan w:val="7"/>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Item 3. Defaults upon Senior Securities</w:t>
            </w:r>
          </w:p>
        </w:tc>
        <w:tc>
          <w:tcPr>
            <w:tcW w:w="7820" w:type="dxa"/>
            <w:vAlign w:val="bottom"/>
            <w:gridSpan w:val="9"/>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6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4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8320" w:type="dxa"/>
            <w:vAlign w:val="bottom"/>
            <w:gridSpan w:val="11"/>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Item 6. Exhibits</w:t>
            </w:r>
          </w:p>
        </w:tc>
        <w:tc>
          <w:tcPr>
            <w:tcW w:w="700" w:type="dxa"/>
            <w:vAlign w:val="bottom"/>
            <w:tcBorders>
              <w:top w:val="single" w:sz="8" w:color="0000FF"/>
            </w:tcBorders>
            <w:gridSpan w:val="2"/>
          </w:tcPr>
          <w:p>
            <w:pPr>
              <w:spacing w:after="0"/>
              <w:rPr>
                <w:sz w:val="18"/>
                <w:szCs w:val="18"/>
                <w:color w:val="auto"/>
              </w:rPr>
            </w:pPr>
          </w:p>
        </w:tc>
        <w:tc>
          <w:tcPr>
            <w:tcW w:w="8800" w:type="dxa"/>
            <w:vAlign w:val="bottom"/>
            <w:gridSpan w:val="14"/>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9900" w:type="dxa"/>
            <w:vAlign w:val="bottom"/>
            <w:gridSpan w:val="17"/>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681"/>
        </w:trPr>
        <w:tc>
          <w:tcPr>
            <w:tcW w:w="7020" w:type="dxa"/>
            <w:vAlign w:val="bottom"/>
            <w:gridSpan w:val="16"/>
          </w:tcPr>
          <w:p>
            <w:pPr>
              <w:jc w:val="right"/>
              <w:ind w:right="136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60" w:firstLine="374"/>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federal securities laws. Statements that are not historical facts, including statements about our beliefs and expectations, are forward-looking statements. Forward-looking statements include statements preceded by, followed by or that include the words “may,” “could,” “would,” “should,” “believe,” “expect,” “anticipate,” “plan,” “estimate,” “target,” “project,” “intend,” “foresee” and similar expressions. These statements include, among others, statements regarding our expected business outlook, anticipated financial and operating results, our business strategy and means to implement the strategy, our objectives, the amount and timing of capital expenditures, the likelihood of our success in expanding our business, financing plans, budgets, working capital needs and sources of liquidity. By their nature, forward-looking statements involve risks and uncertainties because they relate to events and depend on circumstances that may or may not occur in the future.</w:t>
      </w:r>
    </w:p>
    <w:p>
      <w:pPr>
        <w:spacing w:after="0" w:line="149"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Forward-looking statements are only predictions and are not guarantees of performance. These statements are based on our management’s beliefs and assumptions, which in turn are based on currently available information. Important assumptions relating to the forward-looking statements include, among others, assumptions regarding demand for our products, the expansion of product offerings geographically or through new marketing applications, the timing and cost of planned capital expenditures, competitive conditions and general economic conditions. These assumptions could prove inaccurate. Forward-looking statements also involve known and unknown risks and uncertainties, which could cause actual results to differ materially from those contained in any forward-looking statement. In addition, even if our actual results are consistent with the forward-looking statements contained in this Quarterly Report on Form 10-Q, those results may not be indicative of results or developments in subsequent periods. Many of these factors are beyond our ability to control or predict. Such factors include, but are not limited to, the following:</w:t>
      </w:r>
    </w:p>
    <w:p>
      <w:pPr>
        <w:spacing w:after="0" w:line="54" w:lineRule="exact"/>
        <w:rPr>
          <w:sz w:val="20"/>
          <w:szCs w:val="20"/>
          <w:color w:val="auto"/>
        </w:rPr>
      </w:pPr>
    </w:p>
    <w:p>
      <w:pPr>
        <w:ind w:left="1020" w:right="14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geopolitical conditions in North America and elsewhere throughout the globe and construction and industrial activity in the markets where we operate in North America;</w:t>
      </w:r>
    </w:p>
    <w:p>
      <w:pPr>
        <w:spacing w:after="0" w:line="14" w:lineRule="exact"/>
        <w:rPr>
          <w:rFonts w:ascii="Times New Roman" w:cs="Times New Roman" w:eastAsia="Times New Roman" w:hAnsi="Times New Roman"/>
          <w:sz w:val="18"/>
          <w:szCs w:val="18"/>
          <w:color w:val="auto"/>
        </w:rPr>
      </w:pPr>
    </w:p>
    <w:p>
      <w:pPr>
        <w:ind w:left="1020" w:right="10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forecast trends in our business accurately, and the impact of economic downturns and economic uncertainty on the markets we serve (including as a result of current uncertainty due to inflation and increasing interest rates);</w:t>
      </w:r>
    </w:p>
    <w:p>
      <w:pPr>
        <w:spacing w:after="0" w:line="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conditions in the global credit and commodity markets and their effect on construction spending and the economy in general;</w:t>
      </w:r>
    </w:p>
    <w:p>
      <w:pPr>
        <w:spacing w:after="0" w:line="89"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in oil and natural gas which could adversely affect the demand for our products and services;</w:t>
      </w:r>
    </w:p>
    <w:p>
      <w:pPr>
        <w:spacing w:after="0" w:line="76"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equipment and other supplies for our business from our key suppliers on acceptable terms or at all, as a result of supply chain disruptions, insolvency, financial difficulties, supplier relationships or other factors;</w:t>
      </w:r>
    </w:p>
    <w:p>
      <w:pPr>
        <w:spacing w:after="0" w:line="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maintenance and repair costs as our fleet ages and decreases in our equipment’s residual value;</w:t>
      </w:r>
    </w:p>
    <w:p>
      <w:pPr>
        <w:spacing w:after="0" w:line="89" w:lineRule="exact"/>
        <w:rPr>
          <w:rFonts w:ascii="Times New Roman" w:cs="Times New Roman" w:eastAsia="Times New Roman" w:hAnsi="Times New Roman"/>
          <w:sz w:val="18"/>
          <w:szCs w:val="18"/>
          <w:color w:val="auto"/>
        </w:rPr>
      </w:pPr>
    </w:p>
    <w:p>
      <w:pPr>
        <w:ind w:left="1020" w:right="240" w:hanging="504"/>
        <w:spacing w:after="0" w:line="265"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a global pandemic and similar health concerns, such as the scope and duration of the outbreak, government actions and restrictive measures implemented in response to the pandemic, material delays and cancellations of construction or infrastructure projects, labor shortages, supply chain disruptions and other impacts to the business;</w:t>
      </w:r>
    </w:p>
    <w:p>
      <w:pPr>
        <w:spacing w:after="0" w:line="29"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w:t>
      </w:r>
    </w:p>
    <w:p>
      <w:pPr>
        <w:spacing w:after="0" w:line="76" w:lineRule="exact"/>
        <w:rPr>
          <w:rFonts w:ascii="Times New Roman" w:cs="Times New Roman" w:eastAsia="Times New Roman" w:hAnsi="Times New Roman"/>
          <w:sz w:val="18"/>
          <w:szCs w:val="18"/>
          <w:color w:val="auto"/>
        </w:rPr>
      </w:pPr>
    </w:p>
    <w:p>
      <w:pPr>
        <w:ind w:left="1020" w:right="14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expansion of our business and any potential acquisitions we may make, including any related capital expenditures, or our ability to consummate such acquisitions;</w:t>
      </w:r>
    </w:p>
    <w:p>
      <w:pPr>
        <w:spacing w:after="0" w:line="2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any businesses or assets we acquire;</w:t>
      </w:r>
    </w:p>
    <w:p>
      <w:pPr>
        <w:spacing w:after="0" w:line="7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pressures;</w:t>
      </w:r>
    </w:p>
    <w:p>
      <w:pPr>
        <w:spacing w:after="0" w:line="76" w:lineRule="exact"/>
        <w:rPr>
          <w:rFonts w:ascii="Times New Roman" w:cs="Times New Roman" w:eastAsia="Times New Roman" w:hAnsi="Times New Roman"/>
          <w:sz w:val="18"/>
          <w:szCs w:val="18"/>
          <w:color w:val="auto"/>
        </w:rPr>
      </w:pPr>
    </w:p>
    <w:p>
      <w:pPr>
        <w:ind w:left="1020" w:right="32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cybersecurity attacks, increased adoption of artificial intelligence technologies, failure to protect personal information, compliance with data protection laws and other disruptions in our information technology systems;</w:t>
      </w:r>
    </w:p>
    <w:p>
      <w:pPr>
        <w:spacing w:after="0" w:line="2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weather events or natural disasters;</w:t>
      </w:r>
    </w:p>
    <w:p>
      <w:pPr>
        <w:spacing w:after="0" w:line="7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climate change and climate change regulation;</w:t>
      </w:r>
    </w:p>
    <w:p>
      <w:pPr>
        <w:spacing w:after="0" w:line="76" w:lineRule="exact"/>
        <w:rPr>
          <w:rFonts w:ascii="Times New Roman" w:cs="Times New Roman" w:eastAsia="Times New Roman" w:hAnsi="Times New Roman"/>
          <w:sz w:val="18"/>
          <w:szCs w:val="18"/>
          <w:color w:val="auto"/>
        </w:rPr>
      </w:pPr>
    </w:p>
    <w:p>
      <w:pPr>
        <w:ind w:left="1020" w:right="24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laws and regulations, including those relating to environmental matters, corporate governance matters and tax matters, as well as any future changes to such laws and regulations; and</w:t>
      </w:r>
    </w:p>
    <w:p>
      <w:pPr>
        <w:spacing w:after="0" w:line="2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discussed under “Risk Factors” in our Annual Report on Form 10-K for the year ended December 31, 2023.</w:t>
      </w:r>
    </w:p>
    <w:p>
      <w:pPr>
        <w:spacing w:after="0" w:line="184" w:lineRule="exact"/>
        <w:rPr>
          <w:sz w:val="20"/>
          <w:szCs w:val="20"/>
          <w:color w:val="auto"/>
        </w:rPr>
      </w:pPr>
    </w:p>
    <w:p>
      <w:pPr>
        <w:ind w:right="120" w:firstLine="374"/>
        <w:spacing w:after="0" w:line="219" w:lineRule="exact"/>
        <w:rPr>
          <w:sz w:val="20"/>
          <w:szCs w:val="20"/>
          <w:color w:val="auto"/>
        </w:rPr>
      </w:pPr>
      <w:r>
        <w:rPr>
          <w:rFonts w:ascii="Times New Roman" w:cs="Times New Roman" w:eastAsia="Times New Roman" w:hAnsi="Times New Roman"/>
          <w:sz w:val="18"/>
          <w:szCs w:val="18"/>
          <w:color w:val="auto"/>
        </w:rPr>
        <w:t>Except as required by applicable law, including the securities laws of the United States and the rules and regulations of the Securities and Exchange Commission (“SEC”), we are under no obligation to publicly update or revise any forward-looking statements after we file this Quarterly Report on Form 10-Q, whether as a result of any new information, future events or otherwise. Investors, potential investors and other readers are urged to consider the above mentioned factors carefully in evaluating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and are cautioned not to place undue reliance on such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Although we believe that the expectations reflected in the forward-looking statements are reasonable, we cannot guarantee future results or performance.</w:t>
      </w: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6" w:right="379" w:bottom="1440" w:gutter="0" w:footer="0" w:header="0"/>
        </w:sectPr>
      </w:pPr>
    </w:p>
    <w:bookmarkStart w:id="3" w:name="page4"/>
    <w:bookmarkEnd w:id="3"/>
    <w:p>
      <w:pPr>
        <w:ind w:firstLine="374"/>
        <w:spacing w:after="0" w:line="276" w:lineRule="auto"/>
        <w:rPr>
          <w:sz w:val="20"/>
          <w:szCs w:val="20"/>
          <w:color w:val="auto"/>
        </w:rPr>
      </w:pPr>
      <w:r>
        <w:rPr>
          <w:rFonts w:ascii="Times New Roman" w:cs="Times New Roman" w:eastAsia="Times New Roman" w:hAnsi="Times New Roman"/>
          <w:sz w:val="17"/>
          <w:szCs w:val="17"/>
          <w:color w:val="auto"/>
        </w:rPr>
        <w:t xml:space="preserve">For a more detailed discussion of some of the foregoing risks and uncertainties, see Item 1A — “Risk Factors” in our Annual Report on Form 10-K for the year ended December 31, 2023, as well as other reports and registration statements filed by us with the SEC. These factors should not be construed as exhaustive and should be read with other cautionary statements in this Quarterly Report on Form 10-Q and our other public filings. All of our annual, quarterly and current reports, and any amendments thereto, filed with or furnished to the SEC are available on our Internet website under the Investor Relations link. For more information about us and the announcements we make from time to time, visit our Internet website at </w:t>
      </w:r>
      <w:r>
        <w:rPr>
          <w:rFonts w:ascii="Times New Roman" w:cs="Times New Roman" w:eastAsia="Times New Roman" w:hAnsi="Times New Roman"/>
          <w:sz w:val="17"/>
          <w:szCs w:val="17"/>
          <w:i w:val="1"/>
          <w:iCs w:val="1"/>
          <w:color w:val="auto"/>
        </w:rPr>
        <w:t>www.he-equipment.com</w:t>
      </w:r>
      <w:r>
        <w:rPr>
          <w:rFonts w:ascii="Times New Roman" w:cs="Times New Roman" w:eastAsia="Times New Roman" w:hAnsi="Times New Roman"/>
          <w:sz w:val="17"/>
          <w:szCs w:val="17"/>
          <w:color w:val="auto"/>
        </w:rPr>
        <w:t>.</w:t>
      </w:r>
    </w:p>
    <w:p>
      <w:pPr>
        <w:spacing w:after="0" w:line="38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59"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H&amp;E EQUIPMENT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Balances at</w:t>
            </w: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306"/>
        </w:trPr>
        <w:tc>
          <w:tcPr>
            <w:tcW w:w="7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80" w:type="dxa"/>
            <w:vAlign w:val="bottom"/>
          </w:tcPr>
          <w:p>
            <w:pPr>
              <w:spacing w:after="0"/>
              <w:rPr>
                <w:sz w:val="24"/>
                <w:szCs w:val="24"/>
                <w:color w:val="auto"/>
              </w:rPr>
            </w:pP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740" w:type="dxa"/>
            <w:vAlign w:val="bottom"/>
            <w:shd w:val="clear" w:color="auto" w:fill="CFF0FC"/>
          </w:tcPr>
          <w:p>
            <w:pPr>
              <w:ind w:left="34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8,609</w:t>
            </w:r>
          </w:p>
        </w:tc>
        <w:tc>
          <w:tcPr>
            <w:tcW w:w="2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Receivables, net of allowance for doubtful accounts of $7,831 and $7,126, respectively</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248,108</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247,430</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Inventories, net of reserves for obsolescence of $129 and $207, respectively</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21,891</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109,931</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18,041</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8,740</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Rental equipment, net of accumulated depreciation of $1,022,455 and $990,971, respectively</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1,910,777</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1,756,578</w:t>
            </w:r>
          </w:p>
        </w:tc>
        <w:tc>
          <w:tcPr>
            <w:tcW w:w="100" w:type="dxa"/>
            <w:vAlign w:val="bottom"/>
          </w:tcPr>
          <w:p>
            <w:pPr>
              <w:spacing w:after="0"/>
              <w:rPr>
                <w:sz w:val="20"/>
                <w:szCs w:val="20"/>
                <w:color w:val="auto"/>
              </w:rPr>
            </w:pPr>
          </w:p>
        </w:tc>
      </w:tr>
      <w:tr>
        <w:trPr>
          <w:trHeight w:val="215"/>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and equipment, net of accumulated depreciation and amortization of $201,630 and</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$193,723, respectively</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240,835</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183,773</w:t>
            </w:r>
          </w:p>
        </w:tc>
        <w:tc>
          <w:tcPr>
            <w:tcW w:w="100" w:type="dxa"/>
            <w:vAlign w:val="bottom"/>
            <w:shd w:val="clear" w:color="auto" w:fill="CFF0FC"/>
          </w:tcPr>
          <w:p>
            <w:pPr>
              <w:spacing w:after="0"/>
              <w:rPr>
                <w:sz w:val="21"/>
                <w:szCs w:val="21"/>
                <w:color w:val="auto"/>
              </w:rPr>
            </w:pPr>
          </w:p>
        </w:tc>
      </w:tr>
      <w:tr>
        <w:trPr>
          <w:trHeight w:val="211"/>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right-of-use assets, net of accumulated amortization of $82,250 and $71,021,</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respectively</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191,585</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176,703</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Finance lease right-of-use assets, net of accumulated amortization of $535 and $345, respectively</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3,677</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2,891</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financing costs, net of accumulated amortization of $18,170 and $17,606, respectively</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4,045</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4,609</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Intangible assets, net of accumulated amortization of $30,894 and $25,824, respectively</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68,606</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32,576</w:t>
            </w:r>
          </w:p>
        </w:tc>
        <w:tc>
          <w:tcPr>
            <w:tcW w:w="100" w:type="dxa"/>
            <w:vAlign w:val="bottom"/>
            <w:shd w:val="clear" w:color="auto" w:fill="CFF0FC"/>
          </w:tcPr>
          <w:p>
            <w:pPr>
              <w:spacing w:after="0"/>
              <w:rPr>
                <w:sz w:val="21"/>
                <w:szCs w:val="21"/>
                <w:color w:val="auto"/>
              </w:rPr>
            </w:pPr>
          </w:p>
        </w:tc>
      </w:tr>
      <w:tr>
        <w:trPr>
          <w:trHeight w:val="24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134,643</w:t>
            </w:r>
          </w:p>
        </w:tc>
        <w:tc>
          <w:tcPr>
            <w:tcW w:w="2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108,155</w:t>
            </w:r>
          </w:p>
        </w:tc>
        <w:tc>
          <w:tcPr>
            <w:tcW w:w="100" w:type="dxa"/>
            <w:vAlign w:val="bottom"/>
          </w:tcPr>
          <w:p>
            <w:pPr>
              <w:spacing w:after="0"/>
              <w:rPr>
                <w:sz w:val="21"/>
                <w:szCs w:val="21"/>
                <w:color w:val="auto"/>
              </w:rPr>
            </w:pPr>
          </w:p>
        </w:tc>
      </w:tr>
      <w:tr>
        <w:trPr>
          <w:trHeight w:val="276"/>
        </w:trPr>
        <w:tc>
          <w:tcPr>
            <w:tcW w:w="77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2,850,817</w:t>
            </w:r>
          </w:p>
        </w:tc>
        <w:tc>
          <w:tcPr>
            <w:tcW w:w="2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2,639,886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1"/>
        </w:trPr>
        <w:tc>
          <w:tcPr>
            <w:tcW w:w="7740" w:type="dxa"/>
            <w:vAlign w:val="bottom"/>
          </w:tcPr>
          <w:p>
            <w:pPr>
              <w:ind w:left="18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Senior secured credit facility</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287,295</w:t>
            </w:r>
          </w:p>
        </w:tc>
        <w:tc>
          <w:tcPr>
            <w:tcW w:w="2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181,642</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113,029</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85,486</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Manufacturer flooring plans payable</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2,642</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 payable and other liabilities</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83,297</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87,929</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Dividends payable</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20"/>
                <w:szCs w:val="20"/>
                <w:color w:val="auto"/>
              </w:rPr>
            </w:pPr>
          </w:p>
        </w:tc>
      </w:tr>
      <w:tr>
        <w:trPr>
          <w:trHeight w:val="215"/>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Senior unsecured notes, net of unaccreted discount of $5,221 and $5,807 and deferred financing costs</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of $1,206 and $1,341, respectively</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1,243,573</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1,242,852</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207,549</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183,775</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3,862</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3,019</w:t>
            </w:r>
          </w:p>
        </w:tc>
        <w:tc>
          <w:tcPr>
            <w:tcW w:w="100" w:type="dxa"/>
            <w:vAlign w:val="bottom"/>
            <w:shd w:val="clear" w:color="auto" w:fill="CFF0FC"/>
          </w:tcPr>
          <w:p>
            <w:pPr>
              <w:spacing w:after="0"/>
              <w:rPr>
                <w:sz w:val="21"/>
                <w:szCs w:val="21"/>
                <w:color w:val="auto"/>
              </w:rPr>
            </w:pPr>
          </w:p>
        </w:tc>
      </w:tr>
      <w:tr>
        <w:trPr>
          <w:trHeight w:val="24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333,241</w:t>
            </w:r>
          </w:p>
        </w:tc>
        <w:tc>
          <w:tcPr>
            <w:tcW w:w="2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317,826</w:t>
            </w:r>
          </w:p>
        </w:tc>
        <w:tc>
          <w:tcPr>
            <w:tcW w:w="100" w:type="dxa"/>
            <w:vAlign w:val="bottom"/>
          </w:tcPr>
          <w:p>
            <w:pPr>
              <w:spacing w:after="0"/>
              <w:rPr>
                <w:sz w:val="21"/>
                <w:szCs w:val="21"/>
                <w:color w:val="auto"/>
              </w:rPr>
            </w:pPr>
          </w:p>
        </w:tc>
      </w:tr>
      <w:tr>
        <w:trPr>
          <w:trHeight w:val="236"/>
        </w:trPr>
        <w:tc>
          <w:tcPr>
            <w:tcW w:w="77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2,274,768</w:t>
            </w:r>
          </w:p>
        </w:tc>
        <w:tc>
          <w:tcPr>
            <w:tcW w:w="2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2,105,597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stock, $0.01 par value, 25,000,000 shares authorized; no shares issued</w:t>
            </w:r>
          </w:p>
        </w:tc>
        <w:tc>
          <w:tcPr>
            <w:tcW w:w="260" w:type="dxa"/>
            <w:vAlign w:val="bottom"/>
          </w:tcPr>
          <w:p>
            <w:pPr>
              <w:spacing w:after="0"/>
              <w:rPr>
                <w:sz w:val="20"/>
                <w:szCs w:val="20"/>
                <w:color w:val="auto"/>
              </w:rPr>
            </w:pP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 $0.01 par value, 175,000,000 shares authorized; 40,955,169 and 40,823,375 shares</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issued at June 30, 2024 and December 31, 2023, respectively, and 36,523,320 and 36,449,188 shares</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outstanding at June 30, 2024 and December 31, 2023, respectively</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267,917</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261,927</w:t>
            </w:r>
          </w:p>
        </w:tc>
        <w:tc>
          <w:tcPr>
            <w:tcW w:w="100" w:type="dxa"/>
            <w:vAlign w:val="bottom"/>
          </w:tcPr>
          <w:p>
            <w:pPr>
              <w:spacing w:after="0"/>
              <w:rPr>
                <w:sz w:val="20"/>
                <w:szCs w:val="20"/>
                <w:color w:val="auto"/>
              </w:rPr>
            </w:pPr>
          </w:p>
        </w:tc>
      </w:tr>
      <w:tr>
        <w:trPr>
          <w:trHeight w:val="215"/>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Treasury stock at cost, 4,431,849 and 4,374,187 shares of common stock held at June 30, 2024 and</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26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(79,407 )</w:t>
            </w:r>
          </w:p>
        </w:tc>
        <w:tc>
          <w:tcPr>
            <w:tcW w:w="28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(76,017 )</w:t>
            </w:r>
          </w:p>
        </w:tc>
      </w:tr>
      <w:tr>
        <w:trPr>
          <w:trHeight w:val="24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387,129</w:t>
            </w:r>
          </w:p>
        </w:tc>
        <w:tc>
          <w:tcPr>
            <w:tcW w:w="2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347,971</w:t>
            </w:r>
          </w:p>
        </w:tc>
        <w:tc>
          <w:tcPr>
            <w:tcW w:w="100" w:type="dxa"/>
            <w:vAlign w:val="bottom"/>
          </w:tcPr>
          <w:p>
            <w:pPr>
              <w:spacing w:after="0"/>
              <w:rPr>
                <w:sz w:val="21"/>
                <w:szCs w:val="21"/>
                <w:color w:val="auto"/>
              </w:rPr>
            </w:pPr>
          </w:p>
        </w:tc>
      </w:tr>
      <w:tr>
        <w:trPr>
          <w:trHeight w:val="236"/>
        </w:trPr>
        <w:tc>
          <w:tcPr>
            <w:tcW w:w="77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576,049</w:t>
            </w:r>
          </w:p>
        </w:tc>
        <w:tc>
          <w:tcPr>
            <w:tcW w:w="2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534,289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2,850,817</w:t>
            </w:r>
          </w:p>
        </w:tc>
        <w:tc>
          <w:tcPr>
            <w:tcW w:w="28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2,639,886</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-3869690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-3852545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-3869690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-3852545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-1849120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-1849120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-187960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H&amp;E EQUIPMENT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amounts)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4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5"/>
                <w:szCs w:val="15"/>
                <w:color w:val="auto"/>
              </w:rPr>
            </w:pPr>
          </w:p>
        </w:tc>
        <w:tc>
          <w:tcPr>
            <w:tcW w:w="236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5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Equipment rentals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312,356</w:t>
            </w:r>
          </w:p>
        </w:tc>
        <w:tc>
          <w:tcPr>
            <w:tcW w:w="26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291,459</w:t>
            </w:r>
          </w:p>
        </w:tc>
        <w:tc>
          <w:tcPr>
            <w:tcW w:w="2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607,681</w:t>
            </w:r>
          </w:p>
        </w:tc>
        <w:tc>
          <w:tcPr>
            <w:tcW w:w="24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553,467</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Sales of rental equipment</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34,937</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39,653</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83,052</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71,768</w:t>
            </w:r>
          </w:p>
        </w:tc>
        <w:tc>
          <w:tcPr>
            <w:tcW w:w="100" w:type="dxa"/>
            <w:vAlign w:val="bottom"/>
            <w:shd w:val="clear" w:color="auto" w:fill="CFF0FC"/>
          </w:tcPr>
          <w:p>
            <w:pPr>
              <w:spacing w:after="0"/>
              <w:rPr>
                <w:sz w:val="21"/>
                <w:szCs w:val="2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of new equipment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10,670</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8,857</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21,082</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16,675</w:t>
            </w:r>
          </w:p>
        </w:tc>
        <w:tc>
          <w:tcPr>
            <w:tcW w:w="100" w:type="dxa"/>
            <w:vAlign w:val="bottom"/>
          </w:tcPr>
          <w:p>
            <w:pPr>
              <w:spacing w:after="0"/>
              <w:rPr>
                <w:sz w:val="20"/>
                <w:szCs w:val="20"/>
                <w:color w:val="auto"/>
              </w:rPr>
            </w:pPr>
          </w:p>
        </w:tc>
      </w:tr>
      <w:tr>
        <w:trPr>
          <w:trHeight w:val="247"/>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Parts, service and other</w:t>
            </w: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18,319</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20,263</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35,824</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40,804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376,282</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360,232</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747,639</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682,714</w:t>
            </w:r>
          </w:p>
        </w:tc>
        <w:tc>
          <w:tcPr>
            <w:tcW w:w="100" w:type="dxa"/>
            <w:vAlign w:val="bottom"/>
          </w:tcPr>
          <w:p>
            <w:pPr>
              <w:spacing w:after="0"/>
              <w:rPr>
                <w:sz w:val="20"/>
                <w:szCs w:val="20"/>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Rental depreciation</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92,398</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85,913</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183,796</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167,785</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Rental expense</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42,522</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38,757</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85,929</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76,624</w:t>
            </w:r>
          </w:p>
        </w:tc>
        <w:tc>
          <w:tcPr>
            <w:tcW w:w="100" w:type="dxa"/>
            <w:vAlign w:val="bottom"/>
            <w:shd w:val="clear" w:color="auto" w:fill="CFF0FC"/>
          </w:tcPr>
          <w:p>
            <w:pPr>
              <w:spacing w:after="0"/>
              <w:rPr>
                <w:sz w:val="21"/>
                <w:szCs w:val="21"/>
                <w:color w:val="auto"/>
              </w:rPr>
            </w:pPr>
          </w:p>
        </w:tc>
      </w:tr>
      <w:tr>
        <w:trPr>
          <w:trHeight w:val="243"/>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Rental other</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35,189</w:t>
            </w:r>
          </w:p>
        </w:tc>
        <w:tc>
          <w:tcPr>
            <w:tcW w:w="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30,350</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67,812</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58,325</w:t>
            </w:r>
          </w:p>
        </w:tc>
        <w:tc>
          <w:tcPr>
            <w:tcW w:w="100" w:type="dxa"/>
            <w:vAlign w:val="bottom"/>
          </w:tcPr>
          <w:p>
            <w:pPr>
              <w:spacing w:after="0"/>
              <w:rPr>
                <w:sz w:val="21"/>
                <w:szCs w:val="21"/>
                <w:color w:val="auto"/>
              </w:rPr>
            </w:pPr>
          </w:p>
        </w:tc>
      </w:tr>
      <w:tr>
        <w:trPr>
          <w:trHeight w:val="236"/>
        </w:trPr>
        <w:tc>
          <w:tcPr>
            <w:tcW w:w="58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170,109</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155,020</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337,537</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302,734</w:t>
            </w:r>
          </w:p>
        </w:tc>
        <w:tc>
          <w:tcPr>
            <w:tcW w:w="100" w:type="dxa"/>
            <w:vAlign w:val="bottom"/>
            <w:shd w:val="clear" w:color="auto" w:fill="CFF0FC"/>
          </w:tcPr>
          <w:p>
            <w:pPr>
              <w:spacing w:after="0"/>
              <w:rPr>
                <w:sz w:val="20"/>
                <w:szCs w:val="20"/>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of rental equipment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13,120</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16,215</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30,949</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29,503</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Sales of new equipment</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8,872</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7,535</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17,511</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14,316</w:t>
            </w:r>
          </w:p>
        </w:tc>
        <w:tc>
          <w:tcPr>
            <w:tcW w:w="100" w:type="dxa"/>
            <w:vAlign w:val="bottom"/>
            <w:shd w:val="clear" w:color="auto" w:fill="CFF0FC"/>
          </w:tcPr>
          <w:p>
            <w:pPr>
              <w:spacing w:after="0"/>
              <w:rPr>
                <w:sz w:val="21"/>
                <w:szCs w:val="21"/>
                <w:color w:val="auto"/>
              </w:rPr>
            </w:pPr>
          </w:p>
        </w:tc>
      </w:tr>
      <w:tr>
        <w:trPr>
          <w:trHeight w:val="243"/>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Parts, service and other</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12,901</w:t>
            </w:r>
          </w:p>
        </w:tc>
        <w:tc>
          <w:tcPr>
            <w:tcW w:w="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13,101</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25,497</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26,422</w:t>
            </w:r>
          </w:p>
        </w:tc>
        <w:tc>
          <w:tcPr>
            <w:tcW w:w="100" w:type="dxa"/>
            <w:vAlign w:val="bottom"/>
          </w:tcPr>
          <w:p>
            <w:pPr>
              <w:spacing w:after="0"/>
              <w:rPr>
                <w:sz w:val="21"/>
                <w:szCs w:val="21"/>
                <w:color w:val="auto"/>
              </w:rPr>
            </w:pPr>
          </w:p>
        </w:tc>
      </w:tr>
      <w:tr>
        <w:trPr>
          <w:trHeight w:val="236"/>
        </w:trPr>
        <w:tc>
          <w:tcPr>
            <w:tcW w:w="58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cost of revenues</w:t>
            </w:r>
          </w:p>
        </w:tc>
        <w:tc>
          <w:tcPr>
            <w:tcW w:w="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205,002</w:t>
            </w:r>
          </w:p>
        </w:tc>
        <w:tc>
          <w:tcPr>
            <w:tcW w:w="2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191,871</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411,494</w:t>
            </w:r>
          </w:p>
        </w:tc>
        <w:tc>
          <w:tcPr>
            <w:tcW w:w="2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372,975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171,280</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168,361</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336,145</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309,739</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111,831</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99,259</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226,109</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194,594</w:t>
            </w:r>
          </w:p>
        </w:tc>
        <w:tc>
          <w:tcPr>
            <w:tcW w:w="100" w:type="dxa"/>
            <w:vAlign w:val="bottom"/>
            <w:shd w:val="clear" w:color="auto" w:fill="CFF0FC"/>
          </w:tcPr>
          <w:p>
            <w:pPr>
              <w:spacing w:after="0"/>
              <w:rPr>
                <w:sz w:val="21"/>
                <w:szCs w:val="21"/>
                <w:color w:val="auto"/>
              </w:rPr>
            </w:pP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sales of property and equipment, net</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3,352</w:t>
            </w:r>
          </w:p>
        </w:tc>
        <w:tc>
          <w:tcPr>
            <w:tcW w:w="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4,785</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100" w:type="dxa"/>
            <w:vAlign w:val="bottom"/>
          </w:tcPr>
          <w:p>
            <w:pPr>
              <w:spacing w:after="0"/>
              <w:rPr>
                <w:sz w:val="21"/>
                <w:szCs w:val="21"/>
                <w:color w:val="auto"/>
              </w:rPr>
            </w:pPr>
          </w:p>
        </w:tc>
      </w:tr>
      <w:tr>
        <w:trPr>
          <w:trHeight w:val="236"/>
        </w:trPr>
        <w:tc>
          <w:tcPr>
            <w:tcW w:w="58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Income from operations</w:t>
            </w:r>
          </w:p>
        </w:tc>
        <w:tc>
          <w:tcPr>
            <w:tcW w:w="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62,801</w:t>
            </w:r>
          </w:p>
        </w:tc>
        <w:tc>
          <w:tcPr>
            <w:tcW w:w="2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69,538</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114,821</w:t>
            </w:r>
          </w:p>
        </w:tc>
        <w:tc>
          <w:tcPr>
            <w:tcW w:w="2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116,248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(18,227 )</w:t>
            </w:r>
          </w:p>
        </w:tc>
        <w:tc>
          <w:tcPr>
            <w:tcW w:w="28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(14,700 )</w:t>
            </w: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(36,593 )</w:t>
            </w:r>
          </w:p>
        </w:tc>
        <w:tc>
          <w:tcPr>
            <w:tcW w:w="28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(28,397 )</w:t>
            </w:r>
          </w:p>
        </w:tc>
      </w:tr>
      <w:tr>
        <w:trPr>
          <w:trHeight w:val="243"/>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net</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2,780</w:t>
            </w:r>
          </w:p>
        </w:tc>
        <w:tc>
          <w:tcPr>
            <w:tcW w:w="100" w:type="dxa"/>
            <w:vAlign w:val="bottom"/>
          </w:tcPr>
          <w:p>
            <w:pPr>
              <w:spacing w:after="0"/>
              <w:rPr>
                <w:sz w:val="21"/>
                <w:szCs w:val="21"/>
                <w:color w:val="auto"/>
              </w:rPr>
            </w:pPr>
          </w:p>
        </w:tc>
      </w:tr>
      <w:tr>
        <w:trPr>
          <w:trHeight w:val="236"/>
        </w:trPr>
        <w:tc>
          <w:tcPr>
            <w:tcW w:w="5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expense, net</w:t>
            </w: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(16,745 )</w:t>
            </w:r>
          </w:p>
        </w:tc>
        <w:tc>
          <w:tcPr>
            <w:tcW w:w="28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(13,636 )</w:t>
            </w:r>
          </w:p>
        </w:tc>
        <w:tc>
          <w:tcPr>
            <w:tcW w:w="2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(33,559 )</w:t>
            </w:r>
          </w:p>
        </w:tc>
        <w:tc>
          <w:tcPr>
            <w:tcW w:w="28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(25,617 )</w:t>
            </w:r>
          </w:p>
        </w:tc>
      </w:tr>
      <w:tr>
        <w:trPr>
          <w:trHeight w:val="232"/>
        </w:trPr>
        <w:tc>
          <w:tcPr>
            <w:tcW w:w="58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Income from operations before provision for income taxes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46,056</w:t>
            </w:r>
          </w:p>
        </w:tc>
        <w:tc>
          <w:tcPr>
            <w:tcW w:w="26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55,902</w:t>
            </w:r>
          </w:p>
        </w:tc>
        <w:tc>
          <w:tcPr>
            <w:tcW w:w="24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81,262</w:t>
            </w:r>
          </w:p>
        </w:tc>
        <w:tc>
          <w:tcPr>
            <w:tcW w:w="24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90,631</w:t>
            </w:r>
          </w:p>
        </w:tc>
        <w:tc>
          <w:tcPr>
            <w:tcW w:w="100" w:type="dxa"/>
            <w:vAlign w:val="bottom"/>
            <w:tcBorders>
              <w:top w:val="single" w:sz="8" w:color="CFF0FC"/>
            </w:tcBorders>
          </w:tcPr>
          <w:p>
            <w:pPr>
              <w:spacing w:after="0"/>
              <w:rPr>
                <w:sz w:val="20"/>
                <w:szCs w:val="20"/>
                <w:color w:val="auto"/>
              </w:rPr>
            </w:pPr>
          </w:p>
        </w:tc>
      </w:tr>
      <w:tr>
        <w:trPr>
          <w:trHeight w:val="247"/>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12,795</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14,686</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22,112</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23,741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33,261</w:t>
            </w:r>
          </w:p>
        </w:tc>
        <w:tc>
          <w:tcPr>
            <w:tcW w:w="260" w:type="dxa"/>
            <w:vAlign w:val="bottom"/>
          </w:tcPr>
          <w:p>
            <w:pPr>
              <w:spacing w:after="0"/>
              <w:rPr>
                <w:sz w:val="20"/>
                <w:szCs w:val="20"/>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41,216</w:t>
            </w:r>
          </w:p>
        </w:tc>
        <w:tc>
          <w:tcPr>
            <w:tcW w:w="24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59,150</w:t>
            </w:r>
          </w:p>
        </w:tc>
        <w:tc>
          <w:tcPr>
            <w:tcW w:w="24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66,890</w:t>
            </w:r>
          </w:p>
        </w:tc>
        <w:tc>
          <w:tcPr>
            <w:tcW w:w="100" w:type="dxa"/>
            <w:vAlign w:val="bottom"/>
          </w:tcPr>
          <w:p>
            <w:pPr>
              <w:spacing w:after="0"/>
              <w:rPr>
                <w:sz w:val="20"/>
                <w:szCs w:val="20"/>
                <w:color w:val="auto"/>
              </w:rPr>
            </w:pPr>
          </w:p>
        </w:tc>
      </w:tr>
      <w:tr>
        <w:trPr>
          <w:trHeight w:val="236"/>
        </w:trPr>
        <w:tc>
          <w:tcPr>
            <w:tcW w:w="58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FF0FC"/>
          </w:tcPr>
          <w:p>
            <w:pPr>
              <w:spacing w:after="0"/>
              <w:rPr>
                <w:sz w:val="21"/>
                <w:szCs w:val="21"/>
                <w:color w:val="auto"/>
              </w:rPr>
            </w:pPr>
          </w:p>
        </w:tc>
      </w:tr>
      <w:tr>
        <w:trPr>
          <w:trHeight w:val="238"/>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26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4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36,248</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36,075</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36,222</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36,050</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36,470</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36,302</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36,517</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36,327</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-4408805</wp:posOffset>
            </wp:positionV>
            <wp:extent cx="768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-4408805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-4408805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-4408805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-2833370</wp:posOffset>
            </wp:positionV>
            <wp:extent cx="768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-2833370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-2833370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-2833370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-2199640</wp:posOffset>
            </wp:positionV>
            <wp:extent cx="76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-2199640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-2199640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-2199640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-1566545</wp:posOffset>
            </wp:positionV>
            <wp:extent cx="768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-1566545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-1566545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-1566545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-1249680</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-1249680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-1249680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-1249680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H&amp;E EQUIPMENT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7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7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59,150</w:t>
            </w:r>
          </w:p>
        </w:tc>
        <w:tc>
          <w:tcPr>
            <w:tcW w:w="280" w:type="dxa"/>
            <w:vAlign w:val="bottom"/>
          </w:tcPr>
          <w:p>
            <w:pPr>
              <w:spacing w:after="0"/>
              <w:rPr>
                <w:sz w:val="20"/>
                <w:szCs w:val="20"/>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 of property and equipment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22,056</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of rental equipment</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183,796</w:t>
            </w:r>
          </w:p>
        </w:tc>
        <w:tc>
          <w:tcPr>
            <w:tcW w:w="2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167,785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finance lease right-of-use assets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5,070</w:t>
            </w:r>
          </w:p>
        </w:tc>
        <w:tc>
          <w:tcPr>
            <w:tcW w:w="2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Accretion of note discount, net of premium amortization</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2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Non-cash operating lease expense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11,229</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Provision for losses on accounts receivable</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2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for inventory obsolescence</w:t>
            </w:r>
          </w:p>
        </w:tc>
        <w:tc>
          <w:tcPr>
            <w:tcW w:w="360" w:type="dxa"/>
            <w:vAlign w:val="bottom"/>
          </w:tcPr>
          <w:p>
            <w:pPr>
              <w:spacing w:after="0"/>
              <w:rPr>
                <w:sz w:val="20"/>
                <w:szCs w:val="20"/>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deferred income taxes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15,415</w:t>
            </w:r>
          </w:p>
        </w:tc>
        <w:tc>
          <w:tcPr>
            <w:tcW w:w="2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19,970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5,990</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Gain from sales of property and equipment, net</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(4,785 )</w:t>
            </w:r>
          </w:p>
        </w:tc>
        <w:tc>
          <w:tcPr>
            <w:tcW w:w="5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(1,103 )</w:t>
            </w:r>
          </w:p>
        </w:tc>
        <w:tc>
          <w:tcPr>
            <w:tcW w:w="0" w:type="dxa"/>
            <w:vAlign w:val="bottom"/>
          </w:tcPr>
          <w:p>
            <w:pPr>
              <w:spacing w:after="0"/>
              <w:rPr>
                <w:sz w:val="1"/>
                <w:szCs w:val="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from sales of rental equipment, net</w:t>
            </w:r>
          </w:p>
        </w:tc>
        <w:tc>
          <w:tcPr>
            <w:tcW w:w="36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(52,077 )</w:t>
            </w:r>
          </w:p>
        </w:tc>
        <w:tc>
          <w:tcPr>
            <w:tcW w:w="52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(42,121 )</w:t>
            </w:r>
          </w:p>
        </w:tc>
        <w:tc>
          <w:tcPr>
            <w:tcW w:w="0" w:type="dxa"/>
            <w:vAlign w:val="bottom"/>
          </w:tcPr>
          <w:p>
            <w:pPr>
              <w:spacing w:after="0"/>
              <w:rPr>
                <w:sz w:val="1"/>
                <w:szCs w:val="1"/>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Receivables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(3,184 )</w:t>
            </w:r>
          </w:p>
        </w:tc>
        <w:tc>
          <w:tcPr>
            <w:tcW w:w="0" w:type="dxa"/>
            <w:vAlign w:val="bottom"/>
          </w:tcPr>
          <w:p>
            <w:pPr>
              <w:spacing w:after="0"/>
              <w:rPr>
                <w:sz w:val="1"/>
                <w:szCs w:val="1"/>
                <w:color w:val="auto"/>
              </w:rPr>
            </w:pPr>
          </w:p>
        </w:tc>
      </w:tr>
      <w:tr>
        <w:trPr>
          <w:trHeight w:val="247"/>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3,046</w:t>
            </w:r>
          </w:p>
        </w:tc>
        <w:tc>
          <w:tcPr>
            <w:tcW w:w="2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(154,719 )</w:t>
            </w:r>
          </w:p>
        </w:tc>
        <w:tc>
          <w:tcPr>
            <w:tcW w:w="0" w:type="dxa"/>
            <w:vAlign w:val="bottom"/>
          </w:tcPr>
          <w:p>
            <w:pPr>
              <w:spacing w:after="0"/>
              <w:rPr>
                <w:sz w:val="1"/>
                <w:szCs w:val="1"/>
                <w:color w:val="auto"/>
              </w:rPr>
            </w:pP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6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(9,287 )</w:t>
            </w:r>
          </w:p>
        </w:tc>
        <w:tc>
          <w:tcPr>
            <w:tcW w:w="52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(13,333 )</w:t>
            </w:r>
          </w:p>
        </w:tc>
        <w:tc>
          <w:tcPr>
            <w:tcW w:w="0" w:type="dxa"/>
            <w:vAlign w:val="bottom"/>
          </w:tcPr>
          <w:p>
            <w:pPr>
              <w:spacing w:after="0"/>
              <w:rPr>
                <w:sz w:val="1"/>
                <w:szCs w:val="1"/>
                <w:color w:val="auto"/>
              </w:rPr>
            </w:pPr>
          </w:p>
        </w:tc>
      </w:tr>
      <w:tr>
        <w:trPr>
          <w:trHeight w:val="247"/>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(22,128 )</w:t>
            </w:r>
          </w:p>
        </w:tc>
        <w:tc>
          <w:tcPr>
            <w:tcW w:w="5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61,710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Manufacturer flooring plans payable</w:t>
            </w:r>
          </w:p>
        </w:tc>
        <w:tc>
          <w:tcPr>
            <w:tcW w:w="36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(66 )</w:t>
            </w: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Accrued expenses payable and other liabilities</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(6,992 )</w:t>
            </w:r>
          </w:p>
        </w:tc>
        <w:tc>
          <w:tcPr>
            <w:tcW w:w="5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(6,172 )</w:t>
            </w:r>
          </w:p>
        </w:tc>
        <w:tc>
          <w:tcPr>
            <w:tcW w:w="0" w:type="dxa"/>
            <w:vAlign w:val="bottom"/>
          </w:tcPr>
          <w:p>
            <w:pPr>
              <w:spacing w:after="0"/>
              <w:rPr>
                <w:sz w:val="1"/>
                <w:szCs w:val="1"/>
                <w:color w:val="auto"/>
              </w:rPr>
            </w:pPr>
          </w:p>
        </w:tc>
      </w:tr>
      <w:tr>
        <w:trPr>
          <w:trHeight w:val="236"/>
        </w:trPr>
        <w:tc>
          <w:tcPr>
            <w:tcW w:w="7740" w:type="dxa"/>
            <w:vAlign w:val="bottom"/>
            <w:tcBorders>
              <w:top w:val="single" w:sz="8" w:color="CFF0FC"/>
            </w:tcBorders>
          </w:tcPr>
          <w:p>
            <w:pPr>
              <w:ind w:left="5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216,360</w:t>
            </w:r>
          </w:p>
        </w:tc>
        <w:tc>
          <w:tcPr>
            <w:tcW w:w="280" w:type="dxa"/>
            <w:vAlign w:val="bottom"/>
            <w:tcBorders>
              <w:top w:val="single" w:sz="8" w:color="CFF0FC"/>
            </w:tcBorders>
          </w:tcPr>
          <w:p>
            <w:pPr>
              <w:spacing w:after="0"/>
              <w:rPr>
                <w:sz w:val="20"/>
                <w:szCs w:val="20"/>
                <w:color w:val="auto"/>
              </w:rPr>
            </w:pPr>
          </w:p>
        </w:tc>
        <w:tc>
          <w:tcPr>
            <w:tcW w:w="5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134,910</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Acquisition of businesses</w:t>
            </w:r>
          </w:p>
        </w:tc>
        <w:tc>
          <w:tcPr>
            <w:tcW w:w="36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(157,656 )</w:t>
            </w:r>
          </w:p>
        </w:tc>
        <w:tc>
          <w:tcPr>
            <w:tcW w:w="52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(77,054 )</w:t>
            </w:r>
          </w:p>
        </w:tc>
        <w:tc>
          <w:tcPr>
            <w:tcW w:w="5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(33,393 )</w:t>
            </w:r>
          </w:p>
        </w:tc>
        <w:tc>
          <w:tcPr>
            <w:tcW w:w="0" w:type="dxa"/>
            <w:vAlign w:val="bottom"/>
          </w:tcPr>
          <w:p>
            <w:pPr>
              <w:spacing w:after="0"/>
              <w:rPr>
                <w:sz w:val="1"/>
                <w:szCs w:val="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rental equipment</w:t>
            </w:r>
          </w:p>
        </w:tc>
        <w:tc>
          <w:tcPr>
            <w:tcW w:w="36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(151,834 )</w:t>
            </w:r>
          </w:p>
        </w:tc>
        <w:tc>
          <w:tcPr>
            <w:tcW w:w="52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(308,142 )</w:t>
            </w:r>
          </w:p>
        </w:tc>
        <w:tc>
          <w:tcPr>
            <w:tcW w:w="0" w:type="dxa"/>
            <w:vAlign w:val="bottom"/>
          </w:tcPr>
          <w:p>
            <w:pPr>
              <w:spacing w:after="0"/>
              <w:rPr>
                <w:sz w:val="1"/>
                <w:szCs w:val="1"/>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sales of property and equipment</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5,530</w:t>
            </w:r>
          </w:p>
        </w:tc>
        <w:tc>
          <w:tcPr>
            <w:tcW w:w="2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sales of rental equipment</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82,704</w:t>
            </w:r>
          </w:p>
        </w:tc>
        <w:tc>
          <w:tcPr>
            <w:tcW w:w="28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71,146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4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(298,310 )</w:t>
            </w:r>
          </w:p>
        </w:tc>
        <w:tc>
          <w:tcPr>
            <w:tcW w:w="5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(268,915 )</w:t>
            </w:r>
          </w:p>
        </w:tc>
        <w:tc>
          <w:tcPr>
            <w:tcW w:w="0" w:type="dxa"/>
            <w:vAlign w:val="bottom"/>
          </w:tcPr>
          <w:p>
            <w:pPr>
              <w:spacing w:after="0"/>
              <w:rPr>
                <w:sz w:val="1"/>
                <w:szCs w:val="1"/>
                <w:color w:val="auto"/>
              </w:rPr>
            </w:pPr>
          </w:p>
        </w:tc>
      </w:tr>
      <w:tr>
        <w:trPr>
          <w:trHeight w:val="232"/>
        </w:trPr>
        <w:tc>
          <w:tcPr>
            <w:tcW w:w="77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Borrowings on senior secured credit facility</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1,023,868</w:t>
            </w:r>
          </w:p>
        </w:tc>
        <w:tc>
          <w:tcPr>
            <w:tcW w:w="2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876,440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Payments on senior secured credit facility</w:t>
            </w:r>
          </w:p>
        </w:tc>
        <w:tc>
          <w:tcPr>
            <w:tcW w:w="36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(918,215 )</w:t>
            </w:r>
          </w:p>
        </w:tc>
        <w:tc>
          <w:tcPr>
            <w:tcW w:w="52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(748,653 )</w:t>
            </w:r>
          </w:p>
        </w:tc>
        <w:tc>
          <w:tcPr>
            <w:tcW w:w="0" w:type="dxa"/>
            <w:vAlign w:val="bottom"/>
          </w:tcPr>
          <w:p>
            <w:pPr>
              <w:spacing w:after="0"/>
              <w:rPr>
                <w:sz w:val="1"/>
                <w:szCs w:val="1"/>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Dividends paid</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(20,072 )</w:t>
            </w:r>
          </w:p>
        </w:tc>
        <w:tc>
          <w:tcPr>
            <w:tcW w:w="5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(19,993 )</w:t>
            </w:r>
          </w:p>
        </w:tc>
        <w:tc>
          <w:tcPr>
            <w:tcW w:w="0" w:type="dxa"/>
            <w:vAlign w:val="bottom"/>
          </w:tcPr>
          <w:p>
            <w:pPr>
              <w:spacing w:after="0"/>
              <w:rPr>
                <w:sz w:val="1"/>
                <w:szCs w:val="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36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(3,390 )</w:t>
            </w:r>
          </w:p>
        </w:tc>
        <w:tc>
          <w:tcPr>
            <w:tcW w:w="52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(3,226 )</w:t>
            </w:r>
          </w:p>
        </w:tc>
        <w:tc>
          <w:tcPr>
            <w:tcW w:w="0" w:type="dxa"/>
            <w:vAlign w:val="bottom"/>
          </w:tcPr>
          <w:p>
            <w:pPr>
              <w:spacing w:after="0"/>
              <w:rPr>
                <w:sz w:val="1"/>
                <w:szCs w:val="1"/>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Payments of deferred financing costs</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(4,939 )</w:t>
            </w:r>
          </w:p>
        </w:tc>
        <w:tc>
          <w:tcPr>
            <w:tcW w:w="0" w:type="dxa"/>
            <w:vAlign w:val="bottom"/>
          </w:tcPr>
          <w:p>
            <w:pPr>
              <w:spacing w:after="0"/>
              <w:rPr>
                <w:sz w:val="1"/>
                <w:szCs w:val="1"/>
                <w:color w:val="auto"/>
              </w:rPr>
            </w:pPr>
          </w:p>
        </w:tc>
      </w:tr>
      <w:tr>
        <w:trPr>
          <w:trHeight w:val="24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Payments of finance lease obligations</w:t>
            </w:r>
          </w:p>
        </w:tc>
        <w:tc>
          <w:tcPr>
            <w:tcW w:w="36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(132 )</w:t>
            </w:r>
          </w:p>
        </w:tc>
        <w:tc>
          <w:tcPr>
            <w:tcW w:w="52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36"/>
        </w:trPr>
        <w:tc>
          <w:tcPr>
            <w:tcW w:w="7740" w:type="dxa"/>
            <w:vAlign w:val="bottom"/>
            <w:tcBorders>
              <w:bottom w:val="single" w:sz="8" w:color="CFF0FC"/>
            </w:tcBorders>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82,059</w:t>
            </w:r>
          </w:p>
        </w:tc>
        <w:tc>
          <w:tcPr>
            <w:tcW w:w="28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99,577</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(34,428 )</w:t>
            </w:r>
          </w:p>
        </w:tc>
        <w:tc>
          <w:tcPr>
            <w:tcW w:w="0" w:type="dxa"/>
            <w:vAlign w:val="bottom"/>
          </w:tcPr>
          <w:p>
            <w:pPr>
              <w:spacing w:after="0"/>
              <w:rPr>
                <w:sz w:val="1"/>
                <w:szCs w:val="1"/>
                <w:color w:val="auto"/>
              </w:rPr>
            </w:pPr>
          </w:p>
        </w:tc>
      </w:tr>
      <w:tr>
        <w:trPr>
          <w:trHeight w:val="247"/>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beginning of period</w:t>
            </w: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28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81,330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end of period</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8,609</w:t>
            </w:r>
          </w:p>
        </w:tc>
        <w:tc>
          <w:tcPr>
            <w:tcW w:w="280" w:type="dxa"/>
            <w:vAlign w:val="bottom"/>
          </w:tcPr>
          <w:p>
            <w:pPr>
              <w:spacing w:after="0"/>
              <w:rPr>
                <w:sz w:val="20"/>
                <w:szCs w:val="20"/>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40" w:type="dxa"/>
            <w:vAlign w:val="bottom"/>
            <w:vMerge w:val="restart"/>
          </w:tcPr>
          <w:p>
            <w:pPr>
              <w:ind w:left="5580"/>
              <w:spacing w:after="0"/>
              <w:rPr>
                <w:sz w:val="20"/>
                <w:szCs w:val="20"/>
                <w:color w:val="auto"/>
              </w:rPr>
            </w:pPr>
            <w:r>
              <w:rPr>
                <w:rFonts w:ascii="Times New Roman" w:cs="Times New Roman" w:eastAsia="Times New Roman" w:hAnsi="Times New Roman"/>
                <w:sz w:val="18"/>
                <w:szCs w:val="18"/>
                <w:color w:val="auto"/>
              </w:rPr>
              <w:t>7</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77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77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-3921125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-3921125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-2662555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-2662555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-1412240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-1412240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-1095375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-1095375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H&amp;E EQUIPMENT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76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6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schedule of non-cash investing and financing activities:</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asset purchases:</w:t>
            </w: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7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Rental fleet in accounts payable and accrued expenses</w:t>
            </w:r>
          </w:p>
        </w:tc>
        <w:tc>
          <w:tcPr>
            <w:tcW w:w="3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49,591</w:t>
            </w:r>
          </w:p>
        </w:tc>
        <w:tc>
          <w:tcPr>
            <w:tcW w:w="820" w:type="dxa"/>
            <w:vAlign w:val="bottom"/>
            <w:gridSpan w:val="2"/>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7"/>
        </w:trPr>
        <w:tc>
          <w:tcPr>
            <w:tcW w:w="76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payable and other liabilities</w:t>
            </w:r>
          </w:p>
        </w:tc>
        <w:tc>
          <w:tcPr>
            <w:tcW w:w="38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6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Assets transferred from inventory to rental fleet</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84,994</w:t>
            </w:r>
          </w:p>
        </w:tc>
        <w:tc>
          <w:tcPr>
            <w:tcW w:w="280" w:type="dxa"/>
            <w:vAlign w:val="bottom"/>
            <w:tcBorders>
              <w:bottom w:val="single" w:sz="8" w:color="CFF0FC"/>
            </w:tcBorders>
            <w:shd w:val="clear" w:color="auto" w:fill="CFF0FC"/>
          </w:tcPr>
          <w:p>
            <w:pPr>
              <w:spacing w:after="0"/>
              <w:rPr>
                <w:sz w:val="22"/>
                <w:szCs w:val="22"/>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66,982</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7640" w:type="dxa"/>
            <w:vAlign w:val="bottom"/>
          </w:tcPr>
          <w:p>
            <w:pPr>
              <w:ind w:left="380"/>
              <w:spacing w:after="0" w:line="191" w:lineRule="exact"/>
              <w:rPr>
                <w:sz w:val="20"/>
                <w:szCs w:val="20"/>
                <w:color w:val="auto"/>
              </w:rPr>
            </w:pPr>
            <w:r>
              <w:rPr>
                <w:rFonts w:ascii="Times New Roman" w:cs="Times New Roman" w:eastAsia="Times New Roman" w:hAnsi="Times New Roman"/>
                <w:sz w:val="18"/>
                <w:szCs w:val="18"/>
                <w:color w:val="auto"/>
              </w:rPr>
              <w:t>Purchases of property and equipment included in accrued expenses</w:t>
            </w:r>
          </w:p>
        </w:tc>
        <w:tc>
          <w:tcPr>
            <w:tcW w:w="3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820" w:type="dxa"/>
            <w:vAlign w:val="bottom"/>
            <w:gridSpan w:val="2"/>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6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payable and other liabilities</w:t>
            </w:r>
          </w:p>
        </w:tc>
        <w:tc>
          <w:tcPr>
            <w:tcW w:w="38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640" w:type="dxa"/>
            <w:vAlign w:val="bottom"/>
            <w:shd w:val="clear" w:color="auto" w:fill="CFF0FC"/>
          </w:tcPr>
          <w:p>
            <w:pPr>
              <w:ind w:left="380"/>
              <w:spacing w:after="0" w:line="191" w:lineRule="exact"/>
              <w:rPr>
                <w:sz w:val="20"/>
                <w:szCs w:val="20"/>
                <w:color w:val="auto"/>
              </w:rPr>
            </w:pPr>
            <w:r>
              <w:rPr>
                <w:rFonts w:ascii="Times New Roman" w:cs="Times New Roman" w:eastAsia="Times New Roman" w:hAnsi="Times New Roman"/>
                <w:sz w:val="18"/>
                <w:szCs w:val="18"/>
                <w:color w:val="auto"/>
              </w:rPr>
              <w:t>Operating lease assets obtained in exchange for new</w:t>
            </w:r>
          </w:p>
        </w:tc>
        <w:tc>
          <w:tcPr>
            <w:tcW w:w="380" w:type="dxa"/>
            <w:vAlign w:val="bottom"/>
            <w:vMerge w:val="restart"/>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26,111</w:t>
            </w:r>
          </w:p>
        </w:tc>
        <w:tc>
          <w:tcPr>
            <w:tcW w:w="820" w:type="dxa"/>
            <w:vAlign w:val="bottom"/>
            <w:gridSpan w:val="2"/>
            <w:vMerge w:val="restart"/>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14,076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764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80" w:type="dxa"/>
            <w:vAlign w:val="bottom"/>
            <w:vMerge w:val="continue"/>
            <w:shd w:val="clear" w:color="auto" w:fill="CFF0FC"/>
          </w:tcPr>
          <w:p>
            <w:pPr>
              <w:spacing w:after="0"/>
              <w:rPr>
                <w:sz w:val="21"/>
                <w:szCs w:val="21"/>
                <w:color w:val="auto"/>
              </w:rPr>
            </w:pPr>
          </w:p>
        </w:tc>
        <w:tc>
          <w:tcPr>
            <w:tcW w:w="1240" w:type="dxa"/>
            <w:vAlign w:val="bottom"/>
            <w:vMerge w:val="continue"/>
            <w:shd w:val="clear" w:color="auto" w:fill="CFF0FC"/>
          </w:tcPr>
          <w:p>
            <w:pPr>
              <w:spacing w:after="0"/>
              <w:rPr>
                <w:sz w:val="21"/>
                <w:szCs w:val="21"/>
                <w:color w:val="auto"/>
              </w:rPr>
            </w:pPr>
          </w:p>
        </w:tc>
        <w:tc>
          <w:tcPr>
            <w:tcW w:w="820" w:type="dxa"/>
            <w:vAlign w:val="bottom"/>
            <w:gridSpan w:val="2"/>
            <w:vMerge w:val="continue"/>
            <w:shd w:val="clear" w:color="auto" w:fill="CFF0FC"/>
          </w:tcPr>
          <w:p>
            <w:pPr>
              <w:spacing w:after="0"/>
              <w:rPr>
                <w:sz w:val="21"/>
                <w:szCs w:val="21"/>
                <w:color w:val="auto"/>
              </w:rPr>
            </w:pPr>
          </w:p>
        </w:tc>
        <w:tc>
          <w:tcPr>
            <w:tcW w:w="1060" w:type="dxa"/>
            <w:vAlign w:val="bottom"/>
            <w:vMerge w:val="continue"/>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76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3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35,375</w:t>
            </w:r>
          </w:p>
        </w:tc>
        <w:tc>
          <w:tcPr>
            <w:tcW w:w="82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6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Income taxes paid (net of refunds received)</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9,281</w:t>
            </w:r>
          </w:p>
        </w:tc>
        <w:tc>
          <w:tcPr>
            <w:tcW w:w="280" w:type="dxa"/>
            <w:vAlign w:val="bottom"/>
            <w:tcBorders>
              <w:bottom w:val="single" w:sz="8" w:color="CFF0FC"/>
            </w:tcBorders>
            <w:shd w:val="clear" w:color="auto" w:fill="CFF0FC"/>
          </w:tcPr>
          <w:p>
            <w:pPr>
              <w:spacing w:after="0"/>
              <w:rPr>
                <w:sz w:val="22"/>
                <w:szCs w:val="22"/>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3,877</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5878830</wp:posOffset>
            </wp:positionH>
            <wp:positionV relativeFrom="paragraph">
              <wp:posOffset>-1275080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-1257935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-1275080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-1257935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-692785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-675640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-692785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-675640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-24765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-7620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8" w:name="page9"/>
    <w:bookmarkEnd w:id="8"/>
    <w:p>
      <w:pPr>
        <w:jc w:val="center"/>
        <w:ind w:left="340" w:right="2660"/>
        <w:spacing w:after="0" w:line="268" w:lineRule="auto"/>
        <w:rPr>
          <w:sz w:val="20"/>
          <w:szCs w:val="20"/>
          <w:color w:val="auto"/>
        </w:rPr>
      </w:pPr>
      <w:r>
        <w:rPr>
          <w:rFonts w:ascii="Times New Roman" w:cs="Times New Roman" w:eastAsia="Times New Roman" w:hAnsi="Times New Roman"/>
          <w:sz w:val="18"/>
          <w:szCs w:val="18"/>
          <w:b w:val="1"/>
          <w:bCs w:val="1"/>
          <w:color w:val="auto"/>
        </w:rPr>
        <w:t>H&amp;E EQUIPMENT SERVICES, INC. AND SUBSIDIARIES NOTES TO CONDENSED CONSOLIDATED FINANCIAL STATEMENTS (Unaudited)</w:t>
      </w:r>
    </w:p>
    <w:p>
      <w:pPr>
        <w:spacing w:after="0" w:line="170" w:lineRule="exact"/>
        <w:rPr>
          <w:sz w:val="20"/>
          <w:szCs w:val="20"/>
          <w:color w:val="auto"/>
        </w:rPr>
      </w:pPr>
    </w:p>
    <w:p>
      <w:pPr>
        <w:ind w:left="380" w:right="7920" w:hanging="372"/>
        <w:spacing w:after="0" w:line="377" w:lineRule="auto"/>
        <w:tabs>
          <w:tab w:leader="none" w:pos="2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Nature of Operations Basis of Presentation</w:t>
      </w:r>
    </w:p>
    <w:p>
      <w:pPr>
        <w:spacing w:after="0" w:line="1" w:lineRule="exact"/>
        <w:rPr>
          <w:sz w:val="20"/>
          <w:szCs w:val="20"/>
          <w:color w:val="auto"/>
        </w:rPr>
      </w:pPr>
    </w:p>
    <w:p>
      <w:pPr>
        <w:ind w:right="60" w:firstLine="374"/>
        <w:spacing w:after="0" w:line="260" w:lineRule="auto"/>
        <w:rPr>
          <w:sz w:val="20"/>
          <w:szCs w:val="20"/>
          <w:color w:val="auto"/>
        </w:rPr>
      </w:pPr>
      <w:r>
        <w:rPr>
          <w:rFonts w:ascii="Times New Roman" w:cs="Times New Roman" w:eastAsia="Times New Roman" w:hAnsi="Times New Roman"/>
          <w:sz w:val="18"/>
          <w:szCs w:val="18"/>
          <w:color w:val="auto"/>
        </w:rPr>
        <w:t>Our condensed consolidated financial statements include the financial position and results of operations of H&amp;E Equipment Services, Inc. and its wholly-owned subsidiaries H&amp;E Finance Corp., GNE Investments, Inc., Great Northern Equipment, Inc., H&amp;E California Holding, Inc., H&amp;E Equipment Services (California), LLC, H&amp;E Equipment Services (Midwest), Inc. and H&amp;E Equipment Services (Mid-Atlantic), Inc., collectively referred to herein as “we”, “us”, “our” or the “Company.”</w:t>
      </w:r>
    </w:p>
    <w:p>
      <w:pPr>
        <w:spacing w:after="0" w:line="141"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have been prepared in accordance with accounting principles generally accepted in the United States of America for interim financial information and with the instructions to Form 10-Q and Rule 10-01 of Regulation S-X. Accordingly, certain information and footnote disclosures normally included in financial statements prepared in accordance with accounting principles generally accepted in the United States of America have been condensed or omitted pursuant to such regulations. In the opinion of management, all adjustments (consisting of all normal and recurring adjustments) considered necessary for a fair presentation have been included. Operating results for the three and six months ended June 30, 2024 are not necessarily indicative of the results that may be expected for the year ending December 31, 2024, and therefore, the results and trends in these interim condensed consolidated financial statements may not be the same for the entire year. These interim condensed consolidated financial statements should be read in conjunction with the annual audited consolidated financial statements and related notes in our Annual Report on Form 10-K for the year ended December 31, 2023, from which the consolidated balance sheet amounts as of December 31, 2023 were derived. All significant intercompany accounts and transactions have been eliminated in these condensed consolidated financial statements.</w:t>
      </w:r>
    </w:p>
    <w:p>
      <w:pPr>
        <w:spacing w:after="0" w:line="164" w:lineRule="exact"/>
        <w:rPr>
          <w:sz w:val="20"/>
          <w:szCs w:val="20"/>
          <w:color w:val="auto"/>
        </w:rPr>
      </w:pPr>
    </w:p>
    <w:p>
      <w:pPr>
        <w:ind w:right="420" w:firstLine="374"/>
        <w:spacing w:after="0" w:line="281" w:lineRule="auto"/>
        <w:rPr>
          <w:sz w:val="20"/>
          <w:szCs w:val="20"/>
          <w:color w:val="auto"/>
        </w:rPr>
      </w:pPr>
      <w:r>
        <w:rPr>
          <w:rFonts w:ascii="Times New Roman" w:cs="Times New Roman" w:eastAsia="Times New Roman" w:hAnsi="Times New Roman"/>
          <w:sz w:val="18"/>
          <w:szCs w:val="18"/>
          <w:color w:val="auto"/>
        </w:rPr>
        <w:t>The nature of our business is such that short-term obligations are typically met by cash flows generated from long-term assets. Consequently, the accompanying condensed consolidated balance sheets are presented on an unclassified basis.</w:t>
      </w:r>
    </w:p>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Nature of Operations</w:t>
      </w:r>
    </w:p>
    <w:p>
      <w:pPr>
        <w:spacing w:after="0" w:line="121" w:lineRule="exact"/>
        <w:rPr>
          <w:sz w:val="20"/>
          <w:szCs w:val="20"/>
          <w:color w:val="auto"/>
        </w:rPr>
      </w:pPr>
    </w:p>
    <w:p>
      <w:pPr>
        <w:ind w:right="140" w:firstLine="374"/>
        <w:spacing w:after="0" w:line="260" w:lineRule="auto"/>
        <w:rPr>
          <w:sz w:val="20"/>
          <w:szCs w:val="20"/>
          <w:color w:val="auto"/>
        </w:rPr>
      </w:pPr>
      <w:r>
        <w:rPr>
          <w:rFonts w:ascii="Times New Roman" w:cs="Times New Roman" w:eastAsia="Times New Roman" w:hAnsi="Times New Roman"/>
          <w:sz w:val="18"/>
          <w:szCs w:val="18"/>
          <w:color w:val="auto"/>
        </w:rPr>
        <w:t>Founded in 1961, H&amp;E Equipment Services, Inc. is one of the largest rental equipment companies in the nation, serving customers at our 149 branch locations across 31 states. The Company’s fleet is comprised of aerial work platforms, earthmoving, material handling, and other general and specialty lines. H&amp;E serves a diverse set of end markets in many high-growth geographies including branches throughout the Pacific Northwest, West Coast, Intermountain, Southwest, Gulf Coast, Southeast, Midwest and Mid-Atlantic regions.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121" w:lineRule="exact"/>
        <w:rPr>
          <w:sz w:val="20"/>
          <w:szCs w:val="20"/>
          <w:color w:val="auto"/>
        </w:rPr>
      </w:pPr>
    </w:p>
    <w:p>
      <w:pPr>
        <w:jc w:val="both"/>
        <w:ind w:right="200" w:firstLine="374"/>
        <w:spacing w:after="0" w:line="312" w:lineRule="auto"/>
        <w:rPr>
          <w:sz w:val="20"/>
          <w:szCs w:val="20"/>
          <w:color w:val="auto"/>
        </w:rPr>
      </w:pPr>
      <w:r>
        <w:rPr>
          <w:rFonts w:ascii="Times New Roman" w:cs="Times New Roman" w:eastAsia="Times New Roman" w:hAnsi="Times New Roman"/>
          <w:sz w:val="17"/>
          <w:szCs w:val="17"/>
          <w:color w:val="auto"/>
        </w:rPr>
        <w:t>We describe our significant accounting policies in Note 2 of the notes to Consolidated Financial Statements in our Annual Report on Form 10-K for the year ended December 31, 2023. During the three and six months ended June 30, 2024, there were no significant changes to those accounting policies.</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accounting principles generally accepted in the United States of America, which requires management to use its judgment to make estimates and assumptions that affect the reported amounts of assets and liabilities and related disclosures at the date of the consolidated financial statements and the reported amounts of revenues and expenses during the reported period. These assumptions and estimates could have a material effect on our condensed consolidated financial statements. Actual results may differ materially from those estimates. We review our estimates on an ongoing basis based on information currently available, and changes in facts and circumstances may cause us to revise these estimates.</w:t>
      </w:r>
    </w:p>
    <w:p>
      <w:pPr>
        <w:spacing w:after="0" w:line="1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21" w:lineRule="exact"/>
        <w:rPr>
          <w:sz w:val="20"/>
          <w:szCs w:val="20"/>
          <w:color w:val="auto"/>
        </w:rPr>
      </w:pPr>
    </w:p>
    <w:p>
      <w:pPr>
        <w:ind w:right="40" w:firstLine="374"/>
        <w:spacing w:after="0" w:line="281" w:lineRule="auto"/>
        <w:rPr>
          <w:sz w:val="20"/>
          <w:szCs w:val="20"/>
          <w:color w:val="auto"/>
        </w:rPr>
      </w:pPr>
      <w:r>
        <w:rPr>
          <w:rFonts w:ascii="Times New Roman" w:cs="Times New Roman" w:eastAsia="Times New Roman" w:hAnsi="Times New Roman"/>
          <w:sz w:val="18"/>
          <w:szCs w:val="18"/>
          <w:color w:val="auto"/>
        </w:rPr>
        <w:t>Certain reclassifications have been made to prior period amounts in the condensed consolidated statements of income to conform to the current period presentation. These reclassifications did not have a material impact on previously reported amounts.</w:t>
      </w:r>
    </w:p>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20" w:firstLine="374"/>
        <w:spacing w:after="0" w:line="281" w:lineRule="auto"/>
        <w:rPr>
          <w:sz w:val="20"/>
          <w:szCs w:val="20"/>
          <w:color w:val="auto"/>
        </w:rPr>
      </w:pPr>
      <w:r>
        <w:rPr>
          <w:rFonts w:ascii="Times New Roman" w:cs="Times New Roman" w:eastAsia="Times New Roman" w:hAnsi="Times New Roman"/>
          <w:sz w:val="18"/>
          <w:szCs w:val="18"/>
          <w:color w:val="auto"/>
        </w:rPr>
        <w:t>We recognize revenue in accordance with two different Financial Accounting Standards Board (“FASB”) Accounting Standards Codification (“ASC”) standards: 1) Topic 606 and 2) Topic 842.</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466725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sectPr>
      </w:pPr>
    </w:p>
    <w:bookmarkStart w:id="9" w:name="page10"/>
    <w:bookmarkEnd w:id="9"/>
    <w:p>
      <w:pPr>
        <w:ind w:right="80" w:firstLine="374"/>
        <w:spacing w:after="0" w:line="256" w:lineRule="auto"/>
        <w:rPr>
          <w:sz w:val="20"/>
          <w:szCs w:val="20"/>
          <w:color w:val="auto"/>
        </w:rPr>
      </w:pPr>
      <w:r>
        <w:rPr>
          <w:rFonts w:ascii="Times New Roman" w:cs="Times New Roman" w:eastAsia="Times New Roman" w:hAnsi="Times New Roman"/>
          <w:sz w:val="18"/>
          <w:szCs w:val="18"/>
          <w:color w:val="auto"/>
        </w:rPr>
        <w:t>Under Topic 606, Revenue from Contracts with Customers, revenue is recognized when control of the promised goods or services are transferred to our customers, in an amount that reflects the consideration we expect to be entitled to in exchange for those goods or services. Revenue is measured based on the consideration specified in the contract with the customer, and excludes any sales incentives and amounts collected on behalf of third parties. A performance obligation is a promise in a contract to transfer a distinct good or service to a customer. Our contracts with customers generally do not include multiple performance obligations. We recognize revenue when we satisfy a performance obligation by transferring control over a product or service to a customer. The amount of revenue recognized reflects the consideration we expect to be entitled to in exchange for such products or services.</w:t>
      </w:r>
    </w:p>
    <w:p>
      <w:pPr>
        <w:spacing w:after="0" w:line="159" w:lineRule="exact"/>
        <w:rPr>
          <w:sz w:val="20"/>
          <w:szCs w:val="20"/>
          <w:color w:val="auto"/>
        </w:rPr>
      </w:pPr>
    </w:p>
    <w:p>
      <w:pPr>
        <w:ind w:right="100" w:firstLine="374"/>
        <w:spacing w:after="0" w:line="260" w:lineRule="auto"/>
        <w:rPr>
          <w:sz w:val="20"/>
          <w:szCs w:val="20"/>
          <w:color w:val="auto"/>
        </w:rPr>
      </w:pPr>
      <w:r>
        <w:rPr>
          <w:rFonts w:ascii="Times New Roman" w:cs="Times New Roman" w:eastAsia="Times New Roman" w:hAnsi="Times New Roman"/>
          <w:sz w:val="18"/>
          <w:szCs w:val="18"/>
          <w:color w:val="auto"/>
        </w:rPr>
        <w:t>Under Topic 842, Leases, we account for equipment rental contracts as operating leases. We recognize revenue from equipment rentals in the period earned, regardless of the timing of billing to customers. A rental contract includes rates for daily, weekly or monthly use, and rental revenues are earned on a daily basis as rental contracts remain outstanding. Because the rental contracts can extend across multiple reporting periods, we record unbilled rental revenues and deferred rental revenues at the end of reporting periods so rental revenues earned is appropriately stated for the periods presented.</w:t>
      </w:r>
    </w:p>
    <w:p>
      <w:pPr>
        <w:spacing w:after="0" w:line="141" w:lineRule="exact"/>
        <w:rPr>
          <w:sz w:val="20"/>
          <w:szCs w:val="20"/>
          <w:color w:val="auto"/>
        </w:rPr>
      </w:pPr>
    </w:p>
    <w:p>
      <w:pPr>
        <w:ind w:right="240" w:firstLine="374"/>
        <w:spacing w:after="0" w:line="281" w:lineRule="auto"/>
        <w:rPr>
          <w:sz w:val="20"/>
          <w:szCs w:val="20"/>
          <w:color w:val="auto"/>
        </w:rPr>
      </w:pPr>
      <w:r>
        <w:rPr>
          <w:rFonts w:ascii="Times New Roman" w:cs="Times New Roman" w:eastAsia="Times New Roman" w:hAnsi="Times New Roman"/>
          <w:sz w:val="18"/>
          <w:szCs w:val="18"/>
          <w:color w:val="auto"/>
        </w:rPr>
        <w:t>In the table below, revenues as presented in our condensed consolidated statements of income for the three and six months ended June 30, 2024 and 2023 are summarized by type and by the applicable accounting standard.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Topic 842</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8"/>
              </w:rPr>
              <w:t>Topic 606</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w w:val="98"/>
              </w:rPr>
              <w:t>Topic 842</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Topic 606</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0"/>
        </w:trPr>
        <w:tc>
          <w:tcPr>
            <w:tcW w:w="4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4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Rental revenues</w:t>
            </w:r>
          </w:p>
        </w:tc>
        <w:tc>
          <w:tcPr>
            <w:tcW w:w="12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Owned equipment rentals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267,162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267,367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250,718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250,831</w:t>
            </w:r>
          </w:p>
        </w:tc>
        <w:tc>
          <w:tcPr>
            <w:tcW w:w="100" w:type="dxa"/>
            <w:vAlign w:val="bottom"/>
          </w:tcPr>
          <w:p>
            <w:pPr>
              <w:spacing w:after="0"/>
              <w:rPr>
                <w:sz w:val="20"/>
                <w:szCs w:val="20"/>
                <w:color w:val="auto"/>
              </w:rPr>
            </w:pPr>
          </w:p>
        </w:tc>
      </w:tr>
      <w:tr>
        <w:trPr>
          <w:trHeight w:val="247"/>
        </w:trPr>
        <w:tc>
          <w:tcPr>
            <w:tcW w:w="4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Re-rent revenue</w:t>
            </w: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8,106</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8,106</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7,892</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7,892</w:t>
            </w:r>
          </w:p>
        </w:tc>
        <w:tc>
          <w:tcPr>
            <w:tcW w:w="100" w:type="dxa"/>
            <w:vAlign w:val="bottom"/>
            <w:shd w:val="clear" w:color="auto" w:fill="CFF0FC"/>
          </w:tcPr>
          <w:p>
            <w:pPr>
              <w:spacing w:after="0"/>
              <w:rPr>
                <w:sz w:val="21"/>
                <w:szCs w:val="21"/>
                <w:color w:val="auto"/>
              </w:rPr>
            </w:pPr>
          </w:p>
        </w:tc>
      </w:tr>
      <w:tr>
        <w:trPr>
          <w:trHeight w:val="234"/>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Ancillary and other rental revenues:</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
        </w:trPr>
        <w:tc>
          <w:tcPr>
            <w:tcW w:w="4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43"/>
        </w:trPr>
        <w:tc>
          <w:tcPr>
            <w:tcW w:w="4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Delivery and pick-up</w:t>
            </w: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20,242</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20,242</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17,674</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17,674</w:t>
            </w:r>
          </w:p>
        </w:tc>
        <w:tc>
          <w:tcPr>
            <w:tcW w:w="100" w:type="dxa"/>
            <w:vAlign w:val="bottom"/>
            <w:shd w:val="clear" w:color="auto" w:fill="CFF0FC"/>
          </w:tcPr>
          <w:p>
            <w:pPr>
              <w:spacing w:after="0"/>
              <w:rPr>
                <w:sz w:val="21"/>
                <w:szCs w:val="21"/>
                <w:color w:val="auto"/>
              </w:rPr>
            </w:pPr>
          </w:p>
        </w:tc>
      </w:tr>
      <w:tr>
        <w:trPr>
          <w:trHeight w:val="238"/>
        </w:trPr>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16,641</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16,641</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15,062</w:t>
            </w:r>
          </w:p>
        </w:tc>
        <w:tc>
          <w:tcPr>
            <w:tcW w:w="100" w:type="dxa"/>
            <w:vAlign w:val="bottom"/>
          </w:tcPr>
          <w:p>
            <w:pPr>
              <w:spacing w:after="0"/>
              <w:rPr>
                <w:sz w:val="20"/>
                <w:szCs w:val="20"/>
                <w:color w:val="auto"/>
              </w:rPr>
            </w:pPr>
          </w:p>
        </w:tc>
      </w:tr>
      <w:tr>
        <w:trPr>
          <w:trHeight w:val="236"/>
        </w:trPr>
        <w:tc>
          <w:tcPr>
            <w:tcW w:w="4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ancillary rental revenues</w:t>
            </w:r>
          </w:p>
        </w:tc>
        <w:tc>
          <w:tcPr>
            <w:tcW w:w="12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16,641</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20,242</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36,883</w:t>
            </w:r>
          </w:p>
        </w:tc>
        <w:tc>
          <w:tcPr>
            <w:tcW w:w="2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15,062</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17,674</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32,736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equipment rental revenues</w:t>
            </w: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291,909</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20,447</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312,356</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273,672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17,787</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291,459</w:t>
            </w:r>
          </w:p>
        </w:tc>
        <w:tc>
          <w:tcPr>
            <w:tcW w:w="100" w:type="dxa"/>
            <w:vAlign w:val="bottom"/>
          </w:tcPr>
          <w:p>
            <w:pPr>
              <w:spacing w:after="0"/>
              <w:rPr>
                <w:sz w:val="20"/>
                <w:szCs w:val="20"/>
                <w:color w:val="auto"/>
              </w:rPr>
            </w:pPr>
          </w:p>
        </w:tc>
      </w:tr>
      <w:tr>
        <w:trPr>
          <w:trHeight w:val="240"/>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of rental equipment</w:t>
            </w: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34,937</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34,937</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39,653</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39,653</w:t>
            </w:r>
          </w:p>
        </w:tc>
        <w:tc>
          <w:tcPr>
            <w:tcW w:w="100" w:type="dxa"/>
            <w:vAlign w:val="bottom"/>
            <w:shd w:val="clear" w:color="auto" w:fill="CFF0FC"/>
          </w:tcPr>
          <w:p>
            <w:pPr>
              <w:spacing w:after="0"/>
              <w:rPr>
                <w:sz w:val="20"/>
                <w:szCs w:val="20"/>
                <w:color w:val="auto"/>
              </w:rPr>
            </w:pPr>
          </w:p>
        </w:tc>
      </w:tr>
      <w:tr>
        <w:trPr>
          <w:trHeight w:val="238"/>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of new equipment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8,857</w:t>
            </w:r>
          </w:p>
        </w:tc>
        <w:tc>
          <w:tcPr>
            <w:tcW w:w="100" w:type="dxa"/>
            <w:vAlign w:val="bottom"/>
          </w:tcPr>
          <w:p>
            <w:pPr>
              <w:spacing w:after="0"/>
              <w:rPr>
                <w:sz w:val="20"/>
                <w:szCs w:val="20"/>
                <w:color w:val="auto"/>
              </w:rPr>
            </w:pPr>
          </w:p>
        </w:tc>
      </w:tr>
      <w:tr>
        <w:trPr>
          <w:trHeight w:val="243"/>
        </w:trPr>
        <w:tc>
          <w:tcPr>
            <w:tcW w:w="4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Parts, service and other</w:t>
            </w:r>
          </w:p>
        </w:tc>
        <w:tc>
          <w:tcPr>
            <w:tcW w:w="12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18,319</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18,319</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20,263</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20,263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291,909</w:t>
            </w:r>
          </w:p>
        </w:tc>
        <w:tc>
          <w:tcPr>
            <w:tcW w:w="24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84,373</w:t>
            </w:r>
          </w:p>
        </w:tc>
        <w:tc>
          <w:tcPr>
            <w:tcW w:w="240" w:type="dxa"/>
            <w:vAlign w:val="bottom"/>
          </w:tcPr>
          <w:p>
            <w:pPr>
              <w:spacing w:after="0"/>
              <w:rPr>
                <w:sz w:val="20"/>
                <w:szCs w:val="20"/>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376,282</w:t>
            </w:r>
          </w:p>
        </w:tc>
        <w:tc>
          <w:tcPr>
            <w:tcW w:w="26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273,672</w:t>
            </w:r>
          </w:p>
        </w:tc>
        <w:tc>
          <w:tcPr>
            <w:tcW w:w="2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86,560</w:t>
            </w:r>
          </w:p>
        </w:tc>
        <w:tc>
          <w:tcPr>
            <w:tcW w:w="2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360,232</w:t>
            </w:r>
          </w:p>
        </w:tc>
        <w:tc>
          <w:tcPr>
            <w:tcW w:w="100" w:type="dxa"/>
            <w:vAlign w:val="bottom"/>
          </w:tcPr>
          <w:p>
            <w:pPr>
              <w:spacing w:after="0"/>
              <w:rPr>
                <w:sz w:val="20"/>
                <w:szCs w:val="20"/>
                <w:color w:val="auto"/>
              </w:rPr>
            </w:pPr>
          </w:p>
        </w:tc>
      </w:tr>
      <w:tr>
        <w:trPr>
          <w:trHeight w:val="20"/>
        </w:trPr>
        <w:tc>
          <w:tcPr>
            <w:tcW w:w="4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6"/>
        </w:trPr>
        <w:tc>
          <w:tcPr>
            <w:tcW w:w="46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4"/>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4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Topic 842</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8"/>
              </w:rPr>
              <w:t>Topic 606</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w w:val="98"/>
              </w:rPr>
              <w:t>Topic 842</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Topic 606</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0"/>
        </w:trPr>
        <w:tc>
          <w:tcPr>
            <w:tcW w:w="4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4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Rental revenues</w:t>
            </w:r>
          </w:p>
        </w:tc>
        <w:tc>
          <w:tcPr>
            <w:tcW w:w="12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Owned equipment rentals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520,460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520,787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474,298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474,548</w:t>
            </w:r>
          </w:p>
        </w:tc>
        <w:tc>
          <w:tcPr>
            <w:tcW w:w="100" w:type="dxa"/>
            <w:vAlign w:val="bottom"/>
          </w:tcPr>
          <w:p>
            <w:pPr>
              <w:spacing w:after="0"/>
              <w:rPr>
                <w:sz w:val="20"/>
                <w:szCs w:val="20"/>
                <w:color w:val="auto"/>
              </w:rPr>
            </w:pPr>
          </w:p>
        </w:tc>
      </w:tr>
      <w:tr>
        <w:trPr>
          <w:trHeight w:val="247"/>
        </w:trPr>
        <w:tc>
          <w:tcPr>
            <w:tcW w:w="4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Re-rent revenue</w:t>
            </w: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16,427</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16,427</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16,251</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16,251</w:t>
            </w:r>
          </w:p>
        </w:tc>
        <w:tc>
          <w:tcPr>
            <w:tcW w:w="100" w:type="dxa"/>
            <w:vAlign w:val="bottom"/>
            <w:shd w:val="clear" w:color="auto" w:fill="CFF0FC"/>
          </w:tcPr>
          <w:p>
            <w:pPr>
              <w:spacing w:after="0"/>
              <w:rPr>
                <w:sz w:val="21"/>
                <w:szCs w:val="21"/>
                <w:color w:val="auto"/>
              </w:rPr>
            </w:pPr>
          </w:p>
        </w:tc>
      </w:tr>
      <w:tr>
        <w:trPr>
          <w:trHeight w:val="234"/>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Ancillary and other rental revenues:</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
        </w:trPr>
        <w:tc>
          <w:tcPr>
            <w:tcW w:w="4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43"/>
        </w:trPr>
        <w:tc>
          <w:tcPr>
            <w:tcW w:w="4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Delivery and pick-up</w:t>
            </w: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38,849</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38,849</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33,165</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33,165</w:t>
            </w:r>
          </w:p>
        </w:tc>
        <w:tc>
          <w:tcPr>
            <w:tcW w:w="100" w:type="dxa"/>
            <w:vAlign w:val="bottom"/>
            <w:shd w:val="clear" w:color="auto" w:fill="CFF0FC"/>
          </w:tcPr>
          <w:p>
            <w:pPr>
              <w:spacing w:after="0"/>
              <w:rPr>
                <w:sz w:val="21"/>
                <w:szCs w:val="21"/>
                <w:color w:val="auto"/>
              </w:rPr>
            </w:pPr>
          </w:p>
        </w:tc>
      </w:tr>
      <w:tr>
        <w:trPr>
          <w:trHeight w:val="238"/>
        </w:trPr>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31,618</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31,618</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29,503</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29,503</w:t>
            </w:r>
          </w:p>
        </w:tc>
        <w:tc>
          <w:tcPr>
            <w:tcW w:w="100" w:type="dxa"/>
            <w:vAlign w:val="bottom"/>
          </w:tcPr>
          <w:p>
            <w:pPr>
              <w:spacing w:after="0"/>
              <w:rPr>
                <w:sz w:val="20"/>
                <w:szCs w:val="20"/>
                <w:color w:val="auto"/>
              </w:rPr>
            </w:pPr>
          </w:p>
        </w:tc>
      </w:tr>
      <w:tr>
        <w:trPr>
          <w:trHeight w:val="236"/>
        </w:trPr>
        <w:tc>
          <w:tcPr>
            <w:tcW w:w="4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ancillary rental revenues</w:t>
            </w:r>
          </w:p>
        </w:tc>
        <w:tc>
          <w:tcPr>
            <w:tcW w:w="12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31,618</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38,849</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70,467</w:t>
            </w:r>
          </w:p>
        </w:tc>
        <w:tc>
          <w:tcPr>
            <w:tcW w:w="2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29,503</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33,165</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62,668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equipment rental revenues</w:t>
            </w: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568,505</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39,176</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607,681</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520,052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33,415</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553,467</w:t>
            </w:r>
          </w:p>
        </w:tc>
        <w:tc>
          <w:tcPr>
            <w:tcW w:w="100" w:type="dxa"/>
            <w:vAlign w:val="bottom"/>
          </w:tcPr>
          <w:p>
            <w:pPr>
              <w:spacing w:after="0"/>
              <w:rPr>
                <w:sz w:val="20"/>
                <w:szCs w:val="20"/>
                <w:color w:val="auto"/>
              </w:rPr>
            </w:pPr>
          </w:p>
        </w:tc>
      </w:tr>
      <w:tr>
        <w:trPr>
          <w:trHeight w:val="240"/>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of rental equipment</w:t>
            </w: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83,052</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83,052</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71,768</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71,768</w:t>
            </w:r>
          </w:p>
        </w:tc>
        <w:tc>
          <w:tcPr>
            <w:tcW w:w="100" w:type="dxa"/>
            <w:vAlign w:val="bottom"/>
            <w:shd w:val="clear" w:color="auto" w:fill="CFF0FC"/>
          </w:tcPr>
          <w:p>
            <w:pPr>
              <w:spacing w:after="0"/>
              <w:rPr>
                <w:sz w:val="20"/>
                <w:szCs w:val="20"/>
                <w:color w:val="auto"/>
              </w:rPr>
            </w:pPr>
          </w:p>
        </w:tc>
      </w:tr>
      <w:tr>
        <w:trPr>
          <w:trHeight w:val="238"/>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of new equipment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21,082</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21,082</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16,675</w:t>
            </w:r>
          </w:p>
        </w:tc>
        <w:tc>
          <w:tcPr>
            <w:tcW w:w="100" w:type="dxa"/>
            <w:vAlign w:val="bottom"/>
          </w:tcPr>
          <w:p>
            <w:pPr>
              <w:spacing w:after="0"/>
              <w:rPr>
                <w:sz w:val="20"/>
                <w:szCs w:val="20"/>
                <w:color w:val="auto"/>
              </w:rPr>
            </w:pPr>
          </w:p>
        </w:tc>
      </w:tr>
      <w:tr>
        <w:trPr>
          <w:trHeight w:val="243"/>
        </w:trPr>
        <w:tc>
          <w:tcPr>
            <w:tcW w:w="4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Parts, service and other</w:t>
            </w:r>
          </w:p>
        </w:tc>
        <w:tc>
          <w:tcPr>
            <w:tcW w:w="12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35,824</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35,824</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40,804</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40,804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568,505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179,134</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747,639</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520,052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162,662</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682,714</w:t>
            </w:r>
          </w:p>
        </w:tc>
        <w:tc>
          <w:tcPr>
            <w:tcW w:w="100" w:type="dxa"/>
            <w:vAlign w:val="bottom"/>
          </w:tcPr>
          <w:p>
            <w:pPr>
              <w:spacing w:after="0"/>
              <w:rPr>
                <w:sz w:val="20"/>
                <w:szCs w:val="20"/>
                <w:color w:val="auto"/>
              </w:rPr>
            </w:pPr>
          </w:p>
        </w:tc>
      </w:tr>
      <w:tr>
        <w:trPr>
          <w:trHeight w:val="20"/>
        </w:trPr>
        <w:tc>
          <w:tcPr>
            <w:tcW w:w="4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3515360</wp:posOffset>
            </wp:positionH>
            <wp:positionV relativeFrom="paragraph">
              <wp:posOffset>-3432810</wp:posOffset>
            </wp:positionV>
            <wp:extent cx="76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4243705</wp:posOffset>
            </wp:positionH>
            <wp:positionV relativeFrom="paragraph">
              <wp:posOffset>-3432810</wp:posOffset>
            </wp:positionV>
            <wp:extent cx="768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4971415</wp:posOffset>
            </wp:positionH>
            <wp:positionV relativeFrom="paragraph">
              <wp:posOffset>-3432810</wp:posOffset>
            </wp:positionV>
            <wp:extent cx="76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-3432810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-3432810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-3432810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3515360</wp:posOffset>
            </wp:positionH>
            <wp:positionV relativeFrom="paragraph">
              <wp:posOffset>-2799080</wp:posOffset>
            </wp:positionV>
            <wp:extent cx="768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4243705</wp:posOffset>
            </wp:positionH>
            <wp:positionV relativeFrom="paragraph">
              <wp:posOffset>-2799080</wp:posOffset>
            </wp:positionV>
            <wp:extent cx="768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4971415</wp:posOffset>
            </wp:positionH>
            <wp:positionV relativeFrom="paragraph">
              <wp:posOffset>-2799080</wp:posOffset>
            </wp:positionV>
            <wp:extent cx="768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-2799080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-2799080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-2799080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3515360</wp:posOffset>
            </wp:positionH>
            <wp:positionV relativeFrom="paragraph">
              <wp:posOffset>-821055</wp:posOffset>
            </wp:positionV>
            <wp:extent cx="768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4243705</wp:posOffset>
            </wp:positionH>
            <wp:positionV relativeFrom="paragraph">
              <wp:posOffset>-821055</wp:posOffset>
            </wp:positionV>
            <wp:extent cx="768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4971415</wp:posOffset>
            </wp:positionH>
            <wp:positionV relativeFrom="paragraph">
              <wp:posOffset>-821055</wp:posOffset>
            </wp:positionV>
            <wp:extent cx="768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-821055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-821055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-821055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3515360</wp:posOffset>
            </wp:positionH>
            <wp:positionV relativeFrom="paragraph">
              <wp:posOffset>-187960</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4243705</wp:posOffset>
            </wp:positionH>
            <wp:positionV relativeFrom="paragraph">
              <wp:posOffset>-187960</wp:posOffset>
            </wp:positionV>
            <wp:extent cx="768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4971415</wp:posOffset>
            </wp:positionH>
            <wp:positionV relativeFrom="paragraph">
              <wp:posOffset>-187960</wp:posOffset>
            </wp:positionV>
            <wp:extent cx="768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-187960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-187960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58"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Revenues by reporting segment are presented in Note 11 of our condensed consolidated financial statements. We believe that the disaggregation of our revenues from contracts to customers as reflected above, coupled with further discussion below and the reporting segments in Note 11, depict how the nature, amount, timing and uncertainty of our revenues and cash flows are affected by economic factors. For further information related to our accounting for revenues pursuant to Topic 606 and Topic 842, see Significant Accounting Policies in Note 2 to our Annual Report on Form 10-K for the year ended December 31, 2023.</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10" w:name="page11"/>
    <w:bookmarkEnd w:id="10"/>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Receivables and contract assets and liabilities</w:t>
      </w:r>
    </w:p>
    <w:p>
      <w:pPr>
        <w:spacing w:after="0" w:line="121" w:lineRule="exact"/>
        <w:rPr>
          <w:sz w:val="20"/>
          <w:szCs w:val="20"/>
          <w:color w:val="auto"/>
        </w:rPr>
      </w:pPr>
    </w:p>
    <w:p>
      <w:pPr>
        <w:ind w:right="20" w:firstLine="374"/>
        <w:spacing w:after="0" w:line="265" w:lineRule="auto"/>
        <w:rPr>
          <w:sz w:val="20"/>
          <w:szCs w:val="20"/>
          <w:color w:val="auto"/>
        </w:rPr>
      </w:pPr>
      <w:r>
        <w:rPr>
          <w:rFonts w:ascii="Times New Roman" w:cs="Times New Roman" w:eastAsia="Times New Roman" w:hAnsi="Times New Roman"/>
          <w:sz w:val="18"/>
          <w:szCs w:val="18"/>
          <w:color w:val="auto"/>
        </w:rPr>
        <w:t>We manage credit risk associated with our accounts receivables at the customer level. Because the same customers typically generate the revenues that are accounted for under both Topic 606 and Topic 842, the discussions below on credit risk and our allowance for doubtful accounts address our total revenues from Topic 606 and Topic 842.</w:t>
      </w:r>
    </w:p>
    <w:p>
      <w:pPr>
        <w:spacing w:after="0" w:line="137" w:lineRule="exact"/>
        <w:rPr>
          <w:sz w:val="20"/>
          <w:szCs w:val="20"/>
          <w:color w:val="auto"/>
        </w:rPr>
      </w:pPr>
    </w:p>
    <w:p>
      <w:pPr>
        <w:ind w:right="100" w:firstLine="374"/>
        <w:spacing w:after="0" w:line="265" w:lineRule="auto"/>
        <w:rPr>
          <w:sz w:val="20"/>
          <w:szCs w:val="20"/>
          <w:color w:val="auto"/>
        </w:rPr>
      </w:pPr>
      <w:r>
        <w:rPr>
          <w:rFonts w:ascii="Times New Roman" w:cs="Times New Roman" w:eastAsia="Times New Roman" w:hAnsi="Times New Roman"/>
          <w:sz w:val="18"/>
          <w:szCs w:val="18"/>
          <w:color w:val="auto"/>
        </w:rPr>
        <w:t>We believe concentration of credit risk with respect to our receivables is limited because our customer base is comprised of a large number of geographically diverse customers. No single customer accounted for more than 10% of our total revenues for any of the periods presented in this Quarterly Report on Form 10-Q. We manage credit risk through credit approvals, credit limits and other monitoring procedures.</w:t>
      </w:r>
    </w:p>
    <w:p>
      <w:pPr>
        <w:spacing w:after="0" w:line="150"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Pursuant to Topic 842 and Topic 326 for rental and non-rental receivables, respectively, we maintain an allowance for doubtful accounts that reflects our estimate of our expected credit losses. Our allowance is estimated using a loss rate model based on delinquency. The estimated loss rate is based on our historical experience with specific customers, our understanding of our current economic circumstances, reasonable and supportable forecasts, and our own judgment as to the likelihood of ultimate payment based upon available data. Our largest exposure to doubtful accounts is our rental operations, which as discussed above is accounted for under Topic 842. For the six months ended June 30, 2024, revenue under ASC 842 represents 76% of our total revenues and an approximate corresponding percentage of our receivables, net and associated allowance for doubtful accounts. We perform credit evaluations of customers and establish credit limits based on reviews of our customers’ current credit information and payment histories. We believe our credit risk is somewhat mitigated by our geographically diverse customer base and our credit evaluation procedures. The actual rate of future credit losses, however, may not be similar to past experience. Our estimate of doubtful accounts could change based on changing circumstances, including changes in the economy or in the particular circumstances of individual customers. Accordingly, we may be required to increase or decrease our allowance for doubtful accounts. Bad debt expense as a percentage of total revenues for the six months ended June 30, 2024 and 2023 was approximately 0.4% and 0.3%, respectively.</w:t>
      </w:r>
    </w:p>
    <w:p>
      <w:pPr>
        <w:spacing w:after="0" w:line="148" w:lineRule="exact"/>
        <w:rPr>
          <w:sz w:val="20"/>
          <w:szCs w:val="20"/>
          <w:color w:val="auto"/>
        </w:rPr>
      </w:pPr>
    </w:p>
    <w:p>
      <w:pPr>
        <w:ind w:right="380" w:firstLine="374"/>
        <w:spacing w:after="0" w:line="260" w:lineRule="auto"/>
        <w:rPr>
          <w:sz w:val="20"/>
          <w:szCs w:val="20"/>
          <w:color w:val="auto"/>
        </w:rPr>
      </w:pPr>
      <w:r>
        <w:rPr>
          <w:rFonts w:ascii="Times New Roman" w:cs="Times New Roman" w:eastAsia="Times New Roman" w:hAnsi="Times New Roman"/>
          <w:sz w:val="18"/>
          <w:szCs w:val="18"/>
          <w:color w:val="auto"/>
        </w:rPr>
        <w:t>We do not have material contract assets, impairment losses associated therewith, or material contract liabilities associated with contracts with customers. Our contracts with customers do not generally result in material amounts billed to customers in excess of recognizable revenue. We did not recognize material revenues during the three and six months ended June 30, 2024 and 2023 that were included in the contract liability balance as of the beginning of such periods.</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jc w:val="both"/>
        <w:ind w:right="120" w:firstLine="374"/>
        <w:spacing w:after="0" w:line="265" w:lineRule="auto"/>
        <w:rPr>
          <w:sz w:val="20"/>
          <w:szCs w:val="20"/>
          <w:color w:val="auto"/>
        </w:rPr>
      </w:pPr>
      <w:r>
        <w:rPr>
          <w:rFonts w:ascii="Times New Roman" w:cs="Times New Roman" w:eastAsia="Times New Roman" w:hAnsi="Times New Roman"/>
          <w:sz w:val="18"/>
          <w:szCs w:val="18"/>
          <w:color w:val="auto"/>
        </w:rPr>
        <w:t>Goodwill is recorded as the excess of the consideration transferred plus the fair value of any non-controlling interest in the acquiree at the acquisition date over the fair values of the identifiable net assets acquired. The change to the carrying amount of goodwill for the year ended December 31, 2023 and the six months ended June 30, 2024 is as follows (amounts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Equipment Rentals</w:t>
            </w:r>
          </w:p>
        </w:tc>
        <w:tc>
          <w:tcPr>
            <w:tcW w:w="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Sales of Rental Eq.</w:t>
            </w:r>
          </w:p>
        </w:tc>
        <w:tc>
          <w:tcPr>
            <w:tcW w:w="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Parts Sales</w:t>
            </w:r>
          </w:p>
        </w:tc>
        <w:tc>
          <w:tcPr>
            <w:tcW w:w="3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r>
      <w:tr>
        <w:trPr>
          <w:trHeight w:val="236"/>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2022 (1)</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88,529</w:t>
            </w:r>
          </w:p>
        </w:tc>
        <w:tc>
          <w:tcPr>
            <w:tcW w:w="3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8,447</w:t>
            </w:r>
          </w:p>
        </w:tc>
        <w:tc>
          <w:tcPr>
            <w:tcW w:w="5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5,714</w:t>
            </w:r>
          </w:p>
        </w:tc>
        <w:tc>
          <w:tcPr>
            <w:tcW w:w="30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102,690</w:t>
            </w:r>
          </w:p>
        </w:tc>
        <w:tc>
          <w:tcPr>
            <w:tcW w:w="100" w:type="dxa"/>
            <w:vAlign w:val="bottom"/>
            <w:shd w:val="clear" w:color="auto" w:fill="CFF0FC"/>
          </w:tcPr>
          <w:p>
            <w:pPr>
              <w:spacing w:after="0"/>
              <w:rPr>
                <w:sz w:val="20"/>
                <w:szCs w:val="20"/>
                <w:color w:val="auto"/>
              </w:rPr>
            </w:pPr>
          </w:p>
        </w:tc>
      </w:tr>
      <w:tr>
        <w:trPr>
          <w:trHeight w:val="238"/>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(2)</w:t>
            </w: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0"/>
                <w:szCs w:val="20"/>
                <w:color w:val="auto"/>
              </w:rPr>
            </w:pPr>
          </w:p>
        </w:tc>
      </w:tr>
      <w:tr>
        <w:trPr>
          <w:trHeight w:val="247"/>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Decrease (3)</w:t>
            </w:r>
          </w:p>
        </w:tc>
        <w:tc>
          <w:tcPr>
            <w:tcW w:w="140" w:type="dxa"/>
            <w:vAlign w:val="bottom"/>
            <w:shd w:val="clear" w:color="auto" w:fill="CFF0FC"/>
          </w:tcPr>
          <w:p>
            <w:pPr>
              <w:spacing w:after="0"/>
              <w:rPr>
                <w:sz w:val="21"/>
                <w:szCs w:val="21"/>
                <w:color w:val="auto"/>
              </w:rPr>
            </w:pPr>
          </w:p>
        </w:tc>
        <w:tc>
          <w:tcPr>
            <w:tcW w:w="17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(5,714 )</w:t>
            </w:r>
          </w:p>
        </w:tc>
        <w:tc>
          <w:tcPr>
            <w:tcW w:w="3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(5,714 )</w:t>
            </w:r>
          </w:p>
        </w:tc>
      </w:tr>
      <w:tr>
        <w:trPr>
          <w:trHeight w:val="238"/>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(4)</w:t>
            </w:r>
          </w:p>
        </w:tc>
        <w:tc>
          <w:tcPr>
            <w:tcW w:w="140" w:type="dxa"/>
            <w:vAlign w:val="bottom"/>
          </w:tcPr>
          <w:p>
            <w:pPr>
              <w:spacing w:after="0"/>
              <w:rPr>
                <w:sz w:val="20"/>
                <w:szCs w:val="20"/>
                <w:color w:val="auto"/>
              </w:rPr>
            </w:pPr>
          </w:p>
        </w:tc>
        <w:tc>
          <w:tcPr>
            <w:tcW w:w="1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(132 )</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(132 )</w:t>
            </w:r>
          </w:p>
        </w:tc>
      </w:tr>
      <w:tr>
        <w:trPr>
          <w:trHeight w:val="247"/>
        </w:trPr>
        <w:tc>
          <w:tcPr>
            <w:tcW w:w="4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Increase (5)</w:t>
            </w:r>
          </w:p>
        </w:tc>
        <w:tc>
          <w:tcPr>
            <w:tcW w:w="14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11,282</w:t>
            </w:r>
          </w:p>
        </w:tc>
        <w:tc>
          <w:tcPr>
            <w:tcW w:w="3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11,282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2023 (1)</w:t>
            </w: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99,708</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8,447</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108,155</w:t>
            </w:r>
          </w:p>
        </w:tc>
        <w:tc>
          <w:tcPr>
            <w:tcW w:w="100" w:type="dxa"/>
            <w:vAlign w:val="bottom"/>
          </w:tcPr>
          <w:p>
            <w:pPr>
              <w:spacing w:after="0"/>
              <w:rPr>
                <w:sz w:val="20"/>
                <w:szCs w:val="20"/>
                <w:color w:val="auto"/>
              </w:rPr>
            </w:pPr>
          </w:p>
        </w:tc>
      </w:tr>
      <w:tr>
        <w:trPr>
          <w:trHeight w:val="247"/>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Increase (6)</w:t>
            </w: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17,536</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17,536</w:t>
            </w:r>
          </w:p>
        </w:tc>
        <w:tc>
          <w:tcPr>
            <w:tcW w:w="100" w:type="dxa"/>
            <w:vAlign w:val="bottom"/>
            <w:shd w:val="clear" w:color="auto" w:fill="CFF0FC"/>
          </w:tcPr>
          <w:p>
            <w:pPr>
              <w:spacing w:after="0"/>
              <w:rPr>
                <w:sz w:val="21"/>
                <w:szCs w:val="21"/>
                <w:color w:val="auto"/>
              </w:rPr>
            </w:pPr>
          </w:p>
        </w:tc>
      </w:tr>
      <w:tr>
        <w:trPr>
          <w:trHeight w:val="238"/>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(7)</w:t>
            </w:r>
          </w:p>
        </w:tc>
        <w:tc>
          <w:tcPr>
            <w:tcW w:w="140" w:type="dxa"/>
            <w:vAlign w:val="bottom"/>
          </w:tcPr>
          <w:p>
            <w:pPr>
              <w:spacing w:after="0"/>
              <w:rPr>
                <w:sz w:val="20"/>
                <w:szCs w:val="20"/>
                <w:color w:val="auto"/>
              </w:rPr>
            </w:pPr>
          </w:p>
        </w:tc>
        <w:tc>
          <w:tcPr>
            <w:tcW w:w="1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(100 )</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(100 )</w:t>
            </w:r>
          </w:p>
        </w:tc>
      </w:tr>
      <w:tr>
        <w:trPr>
          <w:trHeight w:val="247"/>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Increase (8)</w:t>
            </w: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8,401</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8,401</w:t>
            </w:r>
          </w:p>
        </w:tc>
        <w:tc>
          <w:tcPr>
            <w:tcW w:w="100" w:type="dxa"/>
            <w:vAlign w:val="bottom"/>
            <w:shd w:val="clear" w:color="auto" w:fill="CFF0FC"/>
          </w:tcPr>
          <w:p>
            <w:pPr>
              <w:spacing w:after="0"/>
              <w:rPr>
                <w:sz w:val="21"/>
                <w:szCs w:val="21"/>
                <w:color w:val="auto"/>
              </w:rPr>
            </w:pPr>
          </w:p>
        </w:tc>
      </w:tr>
      <w:tr>
        <w:trPr>
          <w:trHeight w:val="243"/>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(9)</w:t>
            </w:r>
          </w:p>
        </w:tc>
        <w:tc>
          <w:tcPr>
            <w:tcW w:w="1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tcPr>
          <w:p>
            <w:pPr>
              <w:spacing w:after="0"/>
              <w:rPr>
                <w:sz w:val="21"/>
                <w:szCs w:val="21"/>
                <w:color w:val="auto"/>
              </w:rPr>
            </w:pPr>
          </w:p>
        </w:tc>
      </w:tr>
      <w:tr>
        <w:trPr>
          <w:trHeight w:val="276"/>
        </w:trPr>
        <w:tc>
          <w:tcPr>
            <w:tcW w:w="4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June 30, 2024 (1)</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126,196</w:t>
            </w:r>
          </w:p>
        </w:tc>
        <w:tc>
          <w:tcPr>
            <w:tcW w:w="3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8,447</w:t>
            </w:r>
          </w:p>
        </w:tc>
        <w:tc>
          <w:tcPr>
            <w:tcW w:w="3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134,643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-967105</wp:posOffset>
            </wp:positionV>
            <wp:extent cx="768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4774565</wp:posOffset>
            </wp:positionH>
            <wp:positionV relativeFrom="paragraph">
              <wp:posOffset>-967105</wp:posOffset>
            </wp:positionV>
            <wp:extent cx="768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-967105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-967105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-24765</wp:posOffset>
            </wp:positionV>
            <wp:extent cx="768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-7620</wp:posOffset>
            </wp:positionV>
            <wp:extent cx="768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4774565</wp:posOffset>
            </wp:positionH>
            <wp:positionV relativeFrom="paragraph">
              <wp:posOffset>-24765</wp:posOffset>
            </wp:positionV>
            <wp:extent cx="768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4774565</wp:posOffset>
            </wp:positionH>
            <wp:positionV relativeFrom="paragraph">
              <wp:posOffset>-7620</wp:posOffset>
            </wp:positionV>
            <wp:extent cx="768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-24765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-7620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0" w:lineRule="exact"/>
        <w:rPr>
          <w:sz w:val="20"/>
          <w:szCs w:val="20"/>
          <w:color w:val="auto"/>
        </w:rPr>
      </w:pPr>
    </w:p>
    <w:p>
      <w:pPr>
        <w:ind w:left="1020" w:right="140" w:hanging="504"/>
        <w:spacing w:after="0" w:line="265"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carrying amount of goodwill as of December 31, 2022 in the table above is reflected net of $92.7 million of accumulated impairment charges. The total carrying amount of goodwill as of December 31, 2023 and June 30, 2024 in the table above is reflected net of $98.4 million of accumulated impairment charges.</w:t>
      </w:r>
    </w:p>
    <w:p>
      <w:pPr>
        <w:spacing w:after="0" w:line="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is related to the closing adjustments of the OSR Acquisition during the first quarter of 2023.</w:t>
      </w:r>
    </w:p>
    <w:p>
      <w:pPr>
        <w:spacing w:after="0" w:line="62"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is related to the Parts Sales goodwill impairment calculated during the third quarter of 2023.</w:t>
      </w:r>
    </w:p>
    <w:p>
      <w:pPr>
        <w:spacing w:after="0" w:line="62"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is related to the final closing adjustment of the OSR Acquisition during the third quarter of 2023.</w:t>
      </w:r>
    </w:p>
    <w:p>
      <w:pPr>
        <w:spacing w:after="0" w:line="62"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due to the Giffin Equipment (“Giffin”) Acquisition during the fourth quarter of 2023.</w:t>
      </w:r>
    </w:p>
    <w:p>
      <w:pPr>
        <w:spacing w:after="0" w:line="62"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due to the Precision Rentals (“Precision”) Acquisition during the first quarter of 2024.</w:t>
      </w:r>
    </w:p>
    <w:p>
      <w:pPr>
        <w:spacing w:after="0" w:line="62"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is related to the purchase accounting adjustment of the Giffin Acquisition during the first quarter of 2024.</w:t>
      </w:r>
    </w:p>
    <w:p>
      <w:pPr>
        <w:spacing w:after="0" w:line="62"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due to Lewistown Rentals (“Lewistown”) Acquisition during the second quarter of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466725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11" w:name="page12"/>
    <w:bookmarkEnd w:id="11"/>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is related to the final closing adjustment of the Precision Acquisition during the second quarter of 2024.</w:t>
      </w:r>
    </w:p>
    <w:p>
      <w:pPr>
        <w:spacing w:after="0" w:line="2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212529"/>
        </w:rPr>
        <w:t>Rental Equipment</w:t>
      </w:r>
    </w:p>
    <w:p>
      <w:pPr>
        <w:spacing w:after="0" w:line="121" w:lineRule="exact"/>
        <w:rPr>
          <w:sz w:val="20"/>
          <w:szCs w:val="20"/>
          <w:color w:val="auto"/>
        </w:rPr>
      </w:pPr>
    </w:p>
    <w:p>
      <w:pPr>
        <w:ind w:right="160" w:firstLine="374"/>
        <w:spacing w:after="0" w:line="270" w:lineRule="auto"/>
        <w:rPr>
          <w:sz w:val="20"/>
          <w:szCs w:val="20"/>
          <w:color w:val="auto"/>
        </w:rPr>
      </w:pPr>
      <w:r>
        <w:rPr>
          <w:rFonts w:ascii="Times New Roman" w:cs="Times New Roman" w:eastAsia="Times New Roman" w:hAnsi="Times New Roman"/>
          <w:sz w:val="17"/>
          <w:szCs w:val="17"/>
          <w:color w:val="212529"/>
        </w:rPr>
        <w:t>The rental equipment we purchase is recorded in rental equipment on the condensed consolidated balance sheets and is stated at cost. Due to the Company’s shift to operate as a pure-play rental company, as of the quarter ended June 30, 2024 purchases of equipment are now disaggregated between inventory and rental equipment according to classification at the time of purchase as opposed to considering all generally available for sale. Purchases of equipment designated for fleet are now recorded as rental equipment while equipment designated for sale is recorded as inventory. Rental equipment is depreciated over the estimated useful life of the equipment upon placed in service using the straight-line method and is included in rental depreciation within our condensed consolidated statements of income. Estimated useful lives vary based upon type of equipment. Generally, we depreciate aerial work platforms over a ten year estimated useful life, earthmoving equipment over a five year estimated useful life with a 25% salvage value, and material handling equipment over a seven year estimated useful life. Attachments and other smaller type equipment are depreciated generally over a three year estimated useful life. We periodically evaluate the appropriateness of remaining depreciable lives and any salvage value assigned to rental equipment. Depreciation expense on rental equipment is reflected in rental depreciation in cost of revenues on the condensed consolidated statements of income.</w:t>
      </w:r>
    </w:p>
    <w:p>
      <w:pPr>
        <w:spacing w:after="0" w:line="134"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212529"/>
        </w:rPr>
        <w:t>Ordinary repair and maintenance costs and property taxes are reflected in rental expenses in cost of revenues on the condensed consolidated statements of income. However, expenditures for additions or improvements that significantly extend the useful life of the asset are capitalized in the period incurred. When rental equipment is sold or disposed of, the related cost and accumulated depreciation are removed from the respective accounts and any gains or losses are included in gross profit in the condensed consolidated statements of income. We receive individual offers for fleet on a continual basis, at which time we perform an analysis on whether or not to accept the offer. The rental equipment is not transferred to inventory under the held for sale model as the equipment is used to generate revenues until the equipment is sold.</w:t>
      </w:r>
    </w:p>
    <w:p>
      <w:pPr>
        <w:spacing w:after="0" w:line="1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212529"/>
        </w:rPr>
        <w:t>Recent Accounting Pronouncements</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Pronouncements Not Yet Adopted</w:t>
      </w:r>
    </w:p>
    <w:p>
      <w:pPr>
        <w:spacing w:after="0" w:line="11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121" w:lineRule="exact"/>
        <w:rPr>
          <w:sz w:val="20"/>
          <w:szCs w:val="20"/>
          <w:color w:val="auto"/>
        </w:rPr>
      </w:pPr>
    </w:p>
    <w:p>
      <w:pPr>
        <w:ind w:right="240" w:firstLine="374"/>
        <w:spacing w:after="0" w:line="255" w:lineRule="auto"/>
        <w:rPr>
          <w:sz w:val="20"/>
          <w:szCs w:val="20"/>
          <w:color w:val="auto"/>
        </w:rPr>
      </w:pPr>
      <w:r>
        <w:rPr>
          <w:rFonts w:ascii="Times New Roman" w:cs="Times New Roman" w:eastAsia="Times New Roman" w:hAnsi="Times New Roman"/>
          <w:sz w:val="18"/>
          <w:szCs w:val="18"/>
          <w:color w:val="auto"/>
        </w:rPr>
        <w:t>In November 2023, the FASB issued Accounting Standards Update (“ASU”) No. 2023-07, Segment Reporting (Topic 280): Improvements to Reportable Segment Disclosures, which improves the disclosures about a public entity’s reportable segments and addresses requests for additional, more detailed information about a reportable segment’s expenses. The amendments in this ASU require disclosure of incremental segment information on an annual and interim basis for all public entities. The amendments are effective for our Annual Report on Form 10-K for fiscal years beginning after December 15, 2023, and for the interim periods within fiscal years beginning after December 15, 2024, with early adoption permitted. ASU 2023-07 became effective on January 1, 2024 and is not expected to have an impact on our financial statements, but will result in expanded reportable segment disclosures.</w:t>
      </w:r>
    </w:p>
    <w:p>
      <w:pPr>
        <w:spacing w:after="0" w:line="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80" w:firstLine="374"/>
        <w:spacing w:after="0" w:line="254"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which should improve the transparency of income tax disclosures by requiring consistent categories and greater disaggregation of information in the rate reconciliation and income taxes paid disaggregated by jurisdiction. The ASU requires that public entities on an annual basis disclose specific categories in the rate reconciliation, provide additional information for reconciling items that meet a quantitative threshold and the following information about income taxes paid: the amount of income taxes paid disaggregated by federal (national), state, and foreign taxes and the amount of income taxes paid disaggregated by individual jurisdictions. Lastly, the amendments in this ASU require that entities disclose income (or loss) from continuing operations before income tax expense (or benefit) disaggregated between domestic and foreign and income tax expense (or benefit) from continuing operations disaggregated by federal (national), state, and foreign. ASU 2023-09 becomes effective January 1, 2025 and is not expected to have an impact on our financial statements, but will result in expanded tax disclosures.</w:t>
      </w:r>
    </w:p>
    <w:p>
      <w:pPr>
        <w:spacing w:after="0" w:line="200" w:lineRule="exact"/>
        <w:rPr>
          <w:sz w:val="20"/>
          <w:szCs w:val="20"/>
          <w:color w:val="auto"/>
        </w:rPr>
      </w:pPr>
    </w:p>
    <w:p>
      <w:pPr>
        <w:spacing w:after="0" w:line="238" w:lineRule="exact"/>
        <w:rPr>
          <w:sz w:val="20"/>
          <w:szCs w:val="20"/>
          <w:color w:val="auto"/>
        </w:rPr>
      </w:pPr>
    </w:p>
    <w:p>
      <w:pPr>
        <w:ind w:left="380" w:right="8700" w:hanging="372"/>
        <w:spacing w:after="0" w:line="397" w:lineRule="auto"/>
        <w:tabs>
          <w:tab w:leader="none" w:pos="26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Acquisitions and Dispositions </w:t>
      </w:r>
      <w:r>
        <w:rPr>
          <w:rFonts w:ascii="Times New Roman" w:cs="Times New Roman" w:eastAsia="Times New Roman" w:hAnsi="Times New Roman"/>
          <w:sz w:val="17"/>
          <w:szCs w:val="17"/>
          <w:i w:val="1"/>
          <w:iCs w:val="1"/>
          <w:color w:val="auto"/>
        </w:rPr>
        <w:t>2024 Acquisitions</w:t>
      </w:r>
    </w:p>
    <w:p>
      <w:pPr>
        <w:ind w:left="38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Lewistown Rentals</w:t>
      </w:r>
    </w:p>
    <w:p>
      <w:pPr>
        <w:spacing w:after="0" w:line="121" w:lineRule="exact"/>
        <w:rPr>
          <w:sz w:val="20"/>
          <w:szCs w:val="20"/>
          <w:color w:val="auto"/>
        </w:rPr>
      </w:pPr>
    </w:p>
    <w:p>
      <w:pPr>
        <w:ind w:right="160" w:firstLine="374"/>
        <w:spacing w:after="0" w:line="312" w:lineRule="auto"/>
        <w:rPr>
          <w:sz w:val="20"/>
          <w:szCs w:val="20"/>
          <w:color w:val="auto"/>
        </w:rPr>
      </w:pPr>
      <w:r>
        <w:rPr>
          <w:rFonts w:ascii="Times New Roman" w:cs="Times New Roman" w:eastAsia="Times New Roman" w:hAnsi="Times New Roman"/>
          <w:sz w:val="17"/>
          <w:szCs w:val="17"/>
          <w:color w:val="auto"/>
        </w:rPr>
        <w:t>Effective May 1, 2024, we completed the acquisition of Lewistown Rentals (“Lewistown”), a Lewistown, Montana-based equipment rental business and three of its affiliated rental operations in Havre, Glasgow and Great Falls, Montana. The acquisition expands our presence in the Montana market.</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8" w:right="359" w:bottom="1440" w:gutter="0" w:footer="0" w:header="0"/>
        </w:sectPr>
      </w:pPr>
    </w:p>
    <w:bookmarkStart w:id="12" w:name="page13"/>
    <w:bookmarkEnd w:id="12"/>
    <w:p>
      <w:pPr>
        <w:ind w:right="240" w:firstLine="374"/>
        <w:spacing w:after="0" w:line="255" w:lineRule="auto"/>
        <w:rPr>
          <w:sz w:val="20"/>
          <w:szCs w:val="20"/>
          <w:color w:val="auto"/>
        </w:rPr>
      </w:pPr>
      <w:r>
        <w:rPr>
          <w:rFonts w:ascii="Times New Roman" w:cs="Times New Roman" w:eastAsia="Times New Roman" w:hAnsi="Times New Roman"/>
          <w:sz w:val="18"/>
          <w:szCs w:val="18"/>
          <w:color w:val="auto"/>
        </w:rPr>
        <w:t>The aggregate cash consideration paid was approximately $33.7 million. The acquisition and related fees and expenses were funded from available cash and borrowings. The following table summarizes the fair value of the assets acquired and liabilities assumed as of the acquisition date. The opening balance sheet amounts presented below are preliminary and subject to change as we obtain additional information during the acquisition measurement period regarding each asset acquired and liability assumed and finalize customary closing adjustments with the seller.</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2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 in thousands</w:t>
            </w:r>
          </w:p>
        </w:tc>
      </w:tr>
      <w:tr>
        <w:trPr>
          <w:trHeight w:val="236"/>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shd w:val="clear" w:color="auto" w:fill="CFF0FC"/>
          </w:tcPr>
          <w:p>
            <w:pPr>
              <w:spacing w:after="0"/>
              <w:rPr>
                <w:sz w:val="20"/>
                <w:szCs w:val="20"/>
                <w:color w:val="auto"/>
              </w:rPr>
            </w:pPr>
          </w:p>
        </w:tc>
      </w:tr>
      <w:tr>
        <w:trPr>
          <w:trHeight w:val="238"/>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r>
      <w:tr>
        <w:trPr>
          <w:trHeight w:val="247"/>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Rental equipment</w:t>
            </w:r>
          </w:p>
        </w:tc>
        <w:tc>
          <w:tcPr>
            <w:tcW w:w="28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18,987</w:t>
            </w:r>
          </w:p>
        </w:tc>
        <w:tc>
          <w:tcPr>
            <w:tcW w:w="100" w:type="dxa"/>
            <w:vAlign w:val="bottom"/>
            <w:shd w:val="clear" w:color="auto" w:fill="CFF0FC"/>
          </w:tcPr>
          <w:p>
            <w:pPr>
              <w:spacing w:after="0"/>
              <w:rPr>
                <w:sz w:val="21"/>
                <w:szCs w:val="21"/>
                <w:color w:val="auto"/>
              </w:rPr>
            </w:pPr>
          </w:p>
        </w:tc>
      </w:tr>
      <w:tr>
        <w:trPr>
          <w:trHeight w:val="238"/>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00" w:type="dxa"/>
            <w:vAlign w:val="bottom"/>
          </w:tcPr>
          <w:p>
            <w:pPr>
              <w:spacing w:after="0"/>
              <w:rPr>
                <w:sz w:val="20"/>
                <w:szCs w:val="20"/>
                <w:color w:val="auto"/>
              </w:rPr>
            </w:pPr>
          </w:p>
        </w:tc>
      </w:tr>
      <w:tr>
        <w:trPr>
          <w:trHeight w:val="243"/>
        </w:trPr>
        <w:tc>
          <w:tcPr>
            <w:tcW w:w="9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xml:space="preserve">Customer relationships intangible asset </w:t>
            </w:r>
            <w:r>
              <w:rPr>
                <w:rFonts w:ascii="Times New Roman" w:cs="Times New Roman" w:eastAsia="Times New Roman" w:hAnsi="Times New Roman"/>
                <w:sz w:val="14"/>
                <w:szCs w:val="14"/>
                <w:color w:val="auto"/>
              </w:rPr>
              <w:t>(1)</w:t>
            </w:r>
          </w:p>
        </w:tc>
        <w:tc>
          <w:tcPr>
            <w:tcW w:w="280" w:type="dxa"/>
            <w:vAlign w:val="bottom"/>
            <w:tcBorders>
              <w:bottom w:val="single" w:sz="8" w:color="auto"/>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9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identifiable assets acquired</w:t>
            </w: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25,373</w:t>
            </w:r>
          </w:p>
        </w:tc>
        <w:tc>
          <w:tcPr>
            <w:tcW w:w="100" w:type="dxa"/>
            <w:vAlign w:val="bottom"/>
          </w:tcPr>
          <w:p>
            <w:pPr>
              <w:spacing w:after="0"/>
              <w:rPr>
                <w:sz w:val="20"/>
                <w:szCs w:val="20"/>
                <w:color w:val="auto"/>
              </w:rPr>
            </w:pPr>
          </w:p>
        </w:tc>
      </w:tr>
      <w:tr>
        <w:trPr>
          <w:trHeight w:val="247"/>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FF0FC"/>
          </w:tcPr>
          <w:p>
            <w:pPr>
              <w:spacing w:after="0"/>
              <w:rPr>
                <w:sz w:val="21"/>
                <w:szCs w:val="21"/>
                <w:color w:val="auto"/>
              </w:rPr>
            </w:pP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(71 )</w:t>
            </w:r>
          </w:p>
        </w:tc>
      </w:tr>
      <w:tr>
        <w:trPr>
          <w:trHeight w:val="238"/>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payable and other liabilities</w:t>
            </w:r>
          </w:p>
        </w:tc>
        <w:tc>
          <w:tcPr>
            <w:tcW w:w="280" w:type="dxa"/>
            <w:vAlign w:val="bottom"/>
          </w:tcPr>
          <w:p>
            <w:pPr>
              <w:spacing w:after="0"/>
              <w:rPr>
                <w:sz w:val="20"/>
                <w:szCs w:val="20"/>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(28 )</w:t>
            </w:r>
          </w:p>
        </w:tc>
      </w:tr>
      <w:tr>
        <w:trPr>
          <w:trHeight w:val="20"/>
        </w:trPr>
        <w:tc>
          <w:tcPr>
            <w:tcW w:w="9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9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280" w:type="dxa"/>
            <w:vAlign w:val="bottom"/>
            <w:shd w:val="clear" w:color="auto" w:fill="CFF0FC"/>
          </w:tcPr>
          <w:p>
            <w:pPr>
              <w:spacing w:after="0"/>
              <w:rPr>
                <w:sz w:val="20"/>
                <w:szCs w:val="20"/>
                <w:color w:val="auto"/>
              </w:rPr>
            </w:pP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(99 )</w:t>
            </w:r>
          </w:p>
        </w:tc>
      </w:tr>
      <w:tr>
        <w:trPr>
          <w:trHeight w:val="236"/>
        </w:trPr>
        <w:tc>
          <w:tcPr>
            <w:tcW w:w="924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Net identifiable assets acquired</w:t>
            </w:r>
          </w:p>
        </w:tc>
        <w:tc>
          <w:tcPr>
            <w:tcW w:w="28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25,274</w:t>
            </w:r>
          </w:p>
        </w:tc>
        <w:tc>
          <w:tcPr>
            <w:tcW w:w="100" w:type="dxa"/>
            <w:vAlign w:val="bottom"/>
            <w:tcBorders>
              <w:top w:val="single" w:sz="8" w:color="CFF0FC"/>
            </w:tcBorders>
          </w:tcPr>
          <w:p>
            <w:pPr>
              <w:spacing w:after="0"/>
              <w:rPr>
                <w:sz w:val="20"/>
                <w:szCs w:val="20"/>
                <w:color w:val="auto"/>
              </w:rPr>
            </w:pPr>
          </w:p>
        </w:tc>
      </w:tr>
      <w:tr>
        <w:trPr>
          <w:trHeight w:val="243"/>
        </w:trPr>
        <w:tc>
          <w:tcPr>
            <w:tcW w:w="9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xml:space="preserve">Goodwill </w:t>
            </w:r>
            <w:r>
              <w:rPr>
                <w:rFonts w:ascii="Times New Roman" w:cs="Times New Roman" w:eastAsia="Times New Roman" w:hAnsi="Times New Roman"/>
                <w:sz w:val="14"/>
                <w:szCs w:val="14"/>
                <w:color w:val="auto"/>
              </w:rPr>
              <w:t>(2)</w:t>
            </w:r>
          </w:p>
        </w:tc>
        <w:tc>
          <w:tcPr>
            <w:tcW w:w="280" w:type="dxa"/>
            <w:vAlign w:val="bottom"/>
            <w:tcBorders>
              <w:bottom w:val="single" w:sz="8" w:color="auto"/>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9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assets acquired</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33,675</w:t>
            </w:r>
          </w:p>
        </w:tc>
        <w:tc>
          <w:tcPr>
            <w:tcW w:w="100" w:type="dxa"/>
            <w:vAlign w:val="bottom"/>
          </w:tcPr>
          <w:p>
            <w:pPr>
              <w:spacing w:after="0"/>
              <w:rPr>
                <w:sz w:val="20"/>
                <w:szCs w:val="20"/>
                <w:color w:val="auto"/>
              </w:rPr>
            </w:pPr>
          </w:p>
        </w:tc>
      </w:tr>
      <w:tr>
        <w:trPr>
          <w:trHeight w:val="20"/>
        </w:trPr>
        <w:tc>
          <w:tcPr>
            <w:tcW w:w="9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-1137920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1020" w:right="320" w:hanging="504"/>
        <w:spacing w:after="0" w:line="260" w:lineRule="auto"/>
        <w:tabs>
          <w:tab w:leader="none" w:pos="10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following table reflects the estimated fair values and useful lives of the acquired intangible assets identified based on our preliminary purchase accounting assessments:</w:t>
      </w:r>
    </w:p>
    <w:tbl>
      <w:tblPr>
        <w:tblLayout w:type="fixed"/>
        <w:tblInd w:w="0" w:type="dxa"/>
        <w:tblCellMar>
          <w:top w:w="0" w:type="dxa"/>
          <w:left w:w="0" w:type="dxa"/>
          <w:bottom w:w="0" w:type="dxa"/>
          <w:right w:w="0" w:type="dxa"/>
        </w:tblCellMar>
      </w:tblPr>
      <w:tr>
        <w:trPr>
          <w:trHeight w:val="138"/>
        </w:trPr>
        <w:tc>
          <w:tcPr>
            <w:tcW w:w="7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center"/>
              <w:ind w:right="184"/>
              <w:spacing w:after="0" w:line="13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2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center"/>
              <w:ind w:right="184"/>
              <w:spacing w:after="0" w:line="149" w:lineRule="exact"/>
              <w:rPr>
                <w:sz w:val="20"/>
                <w:szCs w:val="20"/>
                <w:color w:val="auto"/>
              </w:rPr>
            </w:pPr>
            <w:r>
              <w:rPr>
                <w:rFonts w:ascii="Times New Roman" w:cs="Times New Roman" w:eastAsia="Times New Roman" w:hAnsi="Times New Roman"/>
                <w:sz w:val="14"/>
                <w:szCs w:val="14"/>
                <w:b w:val="1"/>
                <w:bCs w:val="1"/>
                <w:color w:val="auto"/>
              </w:rPr>
              <w:t>(amounts in</w:t>
            </w:r>
          </w:p>
        </w:tc>
        <w:tc>
          <w:tcPr>
            <w:tcW w:w="240" w:type="dxa"/>
            <w:vAlign w:val="bottom"/>
          </w:tcPr>
          <w:p>
            <w:pPr>
              <w:spacing w:after="0"/>
              <w:rPr>
                <w:sz w:val="12"/>
                <w:szCs w:val="12"/>
                <w:color w:val="auto"/>
              </w:rPr>
            </w:pPr>
          </w:p>
        </w:tc>
        <w:tc>
          <w:tcPr>
            <w:tcW w:w="162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7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240" w:type="dxa"/>
            <w:vAlign w:val="bottom"/>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020" w:hanging="504"/>
        <w:spacing w:after="0"/>
        <w:tabs>
          <w:tab w:leader="none" w:pos="10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acquired goodwill has been allocated to the equipment rentals reporting unit.</w:t>
      </w:r>
    </w:p>
    <w:p>
      <w:pPr>
        <w:spacing w:after="0" w:line="198" w:lineRule="exact"/>
        <w:rPr>
          <w:sz w:val="20"/>
          <w:szCs w:val="20"/>
          <w:color w:val="auto"/>
        </w:rPr>
      </w:pPr>
    </w:p>
    <w:p>
      <w:pPr>
        <w:ind w:right="40" w:firstLine="374"/>
        <w:spacing w:after="0" w:line="265" w:lineRule="auto"/>
        <w:rPr>
          <w:sz w:val="20"/>
          <w:szCs w:val="20"/>
          <w:color w:val="auto"/>
        </w:rPr>
      </w:pPr>
      <w:r>
        <w:rPr>
          <w:rFonts w:ascii="Times New Roman" w:cs="Times New Roman" w:eastAsia="Times New Roman" w:hAnsi="Times New Roman"/>
          <w:sz w:val="18"/>
          <w:szCs w:val="18"/>
          <w:color w:val="auto"/>
        </w:rPr>
        <w:t>The level of goodwill that resulted from the Lewistown acquisition is primarily reflective of Lewistown’s going-concern value, the value of assembled workforce, new customer relationships expected to arise from the acquisition and expected synergies from combining operations. We currently expect the goodwill recognized to be 100% deductible for income tax purposes.</w:t>
      </w:r>
    </w:p>
    <w:p>
      <w:pPr>
        <w:spacing w:after="0" w:line="137" w:lineRule="exact"/>
        <w:rPr>
          <w:sz w:val="20"/>
          <w:szCs w:val="20"/>
          <w:color w:val="auto"/>
        </w:rPr>
      </w:pPr>
    </w:p>
    <w:p>
      <w:pPr>
        <w:ind w:right="140" w:firstLine="374"/>
        <w:spacing w:after="0" w:line="260" w:lineRule="auto"/>
        <w:rPr>
          <w:sz w:val="20"/>
          <w:szCs w:val="20"/>
          <w:color w:val="auto"/>
        </w:rPr>
      </w:pPr>
      <w:r>
        <w:rPr>
          <w:rFonts w:ascii="Times New Roman" w:cs="Times New Roman" w:eastAsia="Times New Roman" w:hAnsi="Times New Roman"/>
          <w:sz w:val="18"/>
          <w:szCs w:val="18"/>
          <w:color w:val="auto"/>
        </w:rPr>
        <w:t>Acquisition costs for three and six months ended June 30, 2024 were $0.2 million and $0.4 million, respectively, included within selling, general and administrative (“SG&amp;A”) expenses on the condensed consolidated statement of income. Since our acquisition of Lewistown on May 1, 2024, significant amounts of equipment rental fleet have been moved between H&amp;E locations and the acquired locations, and it is impractical to reasonably estimate the amount of Lewistown revenues and earnings since the acquisition date.</w:t>
      </w:r>
    </w:p>
    <w:p>
      <w:pPr>
        <w:spacing w:after="0" w:line="1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assets and liabilities were recorded as of May 1, 2024 and the results of operations are included in the Company's consolidated results as of that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Precision Rentals</w:t>
      </w:r>
    </w:p>
    <w:p>
      <w:pPr>
        <w:spacing w:after="0" w:line="121" w:lineRule="exact"/>
        <w:rPr>
          <w:sz w:val="20"/>
          <w:szCs w:val="20"/>
          <w:color w:val="auto"/>
        </w:rPr>
      </w:pPr>
    </w:p>
    <w:p>
      <w:pPr>
        <w:ind w:right="340" w:firstLine="374"/>
        <w:spacing w:after="0" w:line="281" w:lineRule="auto"/>
        <w:rPr>
          <w:sz w:val="20"/>
          <w:szCs w:val="20"/>
          <w:color w:val="auto"/>
        </w:rPr>
      </w:pPr>
      <w:r>
        <w:rPr>
          <w:rFonts w:ascii="Times New Roman" w:cs="Times New Roman" w:eastAsia="Times New Roman" w:hAnsi="Times New Roman"/>
          <w:sz w:val="18"/>
          <w:szCs w:val="18"/>
          <w:color w:val="auto"/>
        </w:rPr>
        <w:t>Effective January 1, 2024, we completed the acquisition of Precision Rentals (“Precision”), an equipment rental company with a branch located in each of Arizona and Colorado. The acquisition expands our presence in both geographic markets.</w:t>
      </w:r>
    </w:p>
    <w:p>
      <w:pPr>
        <w:spacing w:after="0" w:line="136" w:lineRule="exact"/>
        <w:rPr>
          <w:sz w:val="20"/>
          <w:szCs w:val="20"/>
          <w:color w:val="auto"/>
        </w:rPr>
      </w:pPr>
    </w:p>
    <w:p>
      <w:pPr>
        <w:ind w:right="360" w:firstLine="374"/>
        <w:spacing w:after="0" w:line="260" w:lineRule="auto"/>
        <w:rPr>
          <w:sz w:val="20"/>
          <w:szCs w:val="20"/>
          <w:color w:val="auto"/>
        </w:rPr>
      </w:pPr>
      <w:r>
        <w:rPr>
          <w:rFonts w:ascii="Times New Roman" w:cs="Times New Roman" w:eastAsia="Times New Roman" w:hAnsi="Times New Roman"/>
          <w:sz w:val="18"/>
          <w:szCs w:val="18"/>
          <w:color w:val="auto"/>
        </w:rPr>
        <w:t>The aggregate cumulative cash consideration paid was approximately $124.0 million, which includes $3.5 million of fair value allocated to a noncompete agreement which is accounted for as a separate transaction from the net assets acquired in the business combination. The acquisition and related fees and expenses were funded from available cash and borrowings. Customary closing adjustments were finalized during the second quarter of 2024. The following table summarizes the fair value of the assets acquired and liabilities assumed as of the acquisition date.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87"/>
        </w:trPr>
        <w:tc>
          <w:tcPr>
            <w:tcW w:w="9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2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 in thousands</w:t>
            </w:r>
          </w:p>
        </w:tc>
      </w:tr>
      <w:tr>
        <w:trPr>
          <w:trHeight w:val="236"/>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4,120</w:t>
            </w:r>
          </w:p>
        </w:tc>
        <w:tc>
          <w:tcPr>
            <w:tcW w:w="100" w:type="dxa"/>
            <w:vAlign w:val="bottom"/>
            <w:shd w:val="clear" w:color="auto" w:fill="CFF0FC"/>
          </w:tcPr>
          <w:p>
            <w:pPr>
              <w:spacing w:after="0"/>
              <w:rPr>
                <w:sz w:val="20"/>
                <w:szCs w:val="20"/>
                <w:color w:val="auto"/>
              </w:rPr>
            </w:pPr>
          </w:p>
        </w:tc>
      </w:tr>
      <w:tr>
        <w:trPr>
          <w:trHeight w:val="238"/>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0"/>
                <w:szCs w:val="20"/>
                <w:color w:val="auto"/>
              </w:rPr>
            </w:pPr>
          </w:p>
        </w:tc>
      </w:tr>
      <w:tr>
        <w:trPr>
          <w:trHeight w:val="247"/>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Rental equipment</w:t>
            </w:r>
          </w:p>
        </w:tc>
        <w:tc>
          <w:tcPr>
            <w:tcW w:w="28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63,215</w:t>
            </w:r>
          </w:p>
        </w:tc>
        <w:tc>
          <w:tcPr>
            <w:tcW w:w="100" w:type="dxa"/>
            <w:vAlign w:val="bottom"/>
            <w:shd w:val="clear" w:color="auto" w:fill="CFF0FC"/>
          </w:tcPr>
          <w:p>
            <w:pPr>
              <w:spacing w:after="0"/>
              <w:rPr>
                <w:sz w:val="21"/>
                <w:szCs w:val="21"/>
                <w:color w:val="auto"/>
              </w:rPr>
            </w:pPr>
          </w:p>
        </w:tc>
      </w:tr>
      <w:tr>
        <w:trPr>
          <w:trHeight w:val="238"/>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100" w:type="dxa"/>
            <w:vAlign w:val="bottom"/>
          </w:tcPr>
          <w:p>
            <w:pPr>
              <w:spacing w:after="0"/>
              <w:rPr>
                <w:sz w:val="20"/>
                <w:szCs w:val="20"/>
                <w:color w:val="auto"/>
              </w:rPr>
            </w:pPr>
          </w:p>
        </w:tc>
      </w:tr>
      <w:tr>
        <w:trPr>
          <w:trHeight w:val="247"/>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FF0FC"/>
          </w:tcPr>
          <w:p>
            <w:pPr>
              <w:spacing w:after="0"/>
              <w:rPr>
                <w:sz w:val="21"/>
                <w:szCs w:val="21"/>
                <w:color w:val="auto"/>
              </w:rPr>
            </w:pPr>
          </w:p>
        </w:tc>
      </w:tr>
      <w:tr>
        <w:trPr>
          <w:trHeight w:val="238"/>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Customer relationships intangible asset </w:t>
            </w:r>
            <w:r>
              <w:rPr>
                <w:rFonts w:ascii="Times New Roman" w:cs="Times New Roman" w:eastAsia="Times New Roman" w:hAnsi="Times New Roman"/>
                <w:sz w:val="14"/>
                <w:szCs w:val="14"/>
                <w:color w:val="auto"/>
              </w:rPr>
              <w:t>(1)</w:t>
            </w: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33,700</w:t>
            </w:r>
          </w:p>
        </w:tc>
        <w:tc>
          <w:tcPr>
            <w:tcW w:w="100" w:type="dxa"/>
            <w:vAlign w:val="bottom"/>
          </w:tcPr>
          <w:p>
            <w:pPr>
              <w:spacing w:after="0"/>
              <w:rPr>
                <w:sz w:val="20"/>
                <w:szCs w:val="20"/>
                <w:color w:val="auto"/>
              </w:rPr>
            </w:pPr>
          </w:p>
        </w:tc>
      </w:tr>
      <w:tr>
        <w:trPr>
          <w:trHeight w:val="240"/>
        </w:trPr>
        <w:tc>
          <w:tcPr>
            <w:tcW w:w="9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identifiable assets acquired</w:t>
            </w:r>
          </w:p>
        </w:tc>
        <w:tc>
          <w:tcPr>
            <w:tcW w:w="28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103,251</w:t>
            </w:r>
          </w:p>
        </w:tc>
        <w:tc>
          <w:tcPr>
            <w:tcW w:w="100" w:type="dxa"/>
            <w:vAlign w:val="bottom"/>
            <w:shd w:val="clear" w:color="auto" w:fill="CFF0FC"/>
          </w:tcPr>
          <w:p>
            <w:pPr>
              <w:spacing w:after="0"/>
              <w:rPr>
                <w:sz w:val="20"/>
                <w:szCs w:val="20"/>
                <w:color w:val="auto"/>
              </w:rPr>
            </w:pPr>
          </w:p>
        </w:tc>
      </w:tr>
      <w:tr>
        <w:trPr>
          <w:trHeight w:val="238"/>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spacing w:after="0"/>
              <w:rPr>
                <w:sz w:val="20"/>
                <w:szCs w:val="20"/>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(57 )</w:t>
            </w:r>
          </w:p>
        </w:tc>
      </w:tr>
      <w:tr>
        <w:trPr>
          <w:trHeight w:val="247"/>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expenses payable and other liabilities</w:t>
            </w:r>
          </w:p>
        </w:tc>
        <w:tc>
          <w:tcPr>
            <w:tcW w:w="280" w:type="dxa"/>
            <w:vAlign w:val="bottom"/>
            <w:shd w:val="clear" w:color="auto" w:fill="CFF0FC"/>
          </w:tcPr>
          <w:p>
            <w:pPr>
              <w:spacing w:after="0"/>
              <w:rPr>
                <w:sz w:val="21"/>
                <w:szCs w:val="21"/>
                <w:color w:val="auto"/>
              </w:rPr>
            </w:pP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(832 )</w:t>
            </w:r>
          </w:p>
        </w:tc>
      </w:tr>
      <w:tr>
        <w:trPr>
          <w:trHeight w:val="238"/>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0" w:type="dxa"/>
            <w:vAlign w:val="bottom"/>
          </w:tcPr>
          <w:p>
            <w:pPr>
              <w:spacing w:after="0"/>
              <w:rPr>
                <w:sz w:val="20"/>
                <w:szCs w:val="20"/>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(68 )</w:t>
            </w:r>
          </w:p>
        </w:tc>
      </w:tr>
      <w:tr>
        <w:trPr>
          <w:trHeight w:val="20"/>
        </w:trPr>
        <w:tc>
          <w:tcPr>
            <w:tcW w:w="9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9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280" w:type="dxa"/>
            <w:vAlign w:val="bottom"/>
            <w:shd w:val="clear" w:color="auto" w:fill="CFF0FC"/>
          </w:tcPr>
          <w:p>
            <w:pPr>
              <w:spacing w:after="0"/>
              <w:rPr>
                <w:sz w:val="20"/>
                <w:szCs w:val="20"/>
                <w:color w:val="auto"/>
              </w:rPr>
            </w:pP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(957 )</w:t>
            </w:r>
          </w:p>
        </w:tc>
      </w:tr>
      <w:tr>
        <w:trPr>
          <w:trHeight w:val="236"/>
        </w:trPr>
        <w:tc>
          <w:tcPr>
            <w:tcW w:w="924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Net identifiable assets acquired</w:t>
            </w:r>
          </w:p>
        </w:tc>
        <w:tc>
          <w:tcPr>
            <w:tcW w:w="28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102,294</w:t>
            </w:r>
          </w:p>
        </w:tc>
        <w:tc>
          <w:tcPr>
            <w:tcW w:w="100" w:type="dxa"/>
            <w:vAlign w:val="bottom"/>
            <w:tcBorders>
              <w:top w:val="single" w:sz="8" w:color="CFF0FC"/>
            </w:tcBorders>
          </w:tcPr>
          <w:p>
            <w:pPr>
              <w:spacing w:after="0"/>
              <w:rPr>
                <w:sz w:val="20"/>
                <w:szCs w:val="20"/>
                <w:color w:val="auto"/>
              </w:rPr>
            </w:pPr>
          </w:p>
        </w:tc>
      </w:tr>
      <w:tr>
        <w:trPr>
          <w:trHeight w:val="243"/>
        </w:trPr>
        <w:tc>
          <w:tcPr>
            <w:tcW w:w="9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xml:space="preserve">Goodwill </w:t>
            </w:r>
            <w:r>
              <w:rPr>
                <w:rFonts w:ascii="Times New Roman" w:cs="Times New Roman" w:eastAsia="Times New Roman" w:hAnsi="Times New Roman"/>
                <w:sz w:val="14"/>
                <w:szCs w:val="14"/>
                <w:color w:val="auto"/>
              </w:rPr>
              <w:t>(2)</w:t>
            </w:r>
          </w:p>
        </w:tc>
        <w:tc>
          <w:tcPr>
            <w:tcW w:w="280" w:type="dxa"/>
            <w:vAlign w:val="bottom"/>
            <w:tcBorders>
              <w:bottom w:val="single" w:sz="8" w:color="auto"/>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18,187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9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assets acquired</w:t>
            </w: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120,481</w:t>
            </w:r>
          </w:p>
        </w:tc>
        <w:tc>
          <w:tcPr>
            <w:tcW w:w="100" w:type="dxa"/>
            <w:vAlign w:val="bottom"/>
          </w:tcPr>
          <w:p>
            <w:pPr>
              <w:spacing w:after="0"/>
              <w:rPr>
                <w:sz w:val="20"/>
                <w:szCs w:val="20"/>
                <w:color w:val="auto"/>
              </w:rPr>
            </w:pPr>
          </w:p>
        </w:tc>
      </w:tr>
      <w:tr>
        <w:trPr>
          <w:trHeight w:val="236"/>
        </w:trPr>
        <w:tc>
          <w:tcPr>
            <w:tcW w:w="9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xml:space="preserve">Noncompetition agreement intangible asset </w:t>
            </w:r>
            <w:r>
              <w:rPr>
                <w:rFonts w:ascii="Times New Roman" w:cs="Times New Roman" w:eastAsia="Times New Roman" w:hAnsi="Times New Roman"/>
                <w:sz w:val="14"/>
                <w:szCs w:val="14"/>
                <w:color w:val="auto"/>
              </w:rPr>
              <w:t>(1)(3)</w:t>
            </w:r>
          </w:p>
        </w:tc>
        <w:tc>
          <w:tcPr>
            <w:tcW w:w="280" w:type="dxa"/>
            <w:vAlign w:val="bottom"/>
            <w:tcBorders>
              <w:bottom w:val="single" w:sz="8" w:color="auto"/>
            </w:tcBorders>
            <w:shd w:val="clear" w:color="auto" w:fill="CFF0FC"/>
          </w:tcPr>
          <w:p>
            <w:pPr>
              <w:spacing w:after="0"/>
              <w:rPr>
                <w:sz w:val="20"/>
                <w:szCs w:val="20"/>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9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cumulative consideration</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123,981</w:t>
            </w:r>
          </w:p>
        </w:tc>
        <w:tc>
          <w:tcPr>
            <w:tcW w:w="100" w:type="dxa"/>
            <w:vAlign w:val="bottom"/>
          </w:tcPr>
          <w:p>
            <w:pPr>
              <w:spacing w:after="0"/>
              <w:rPr>
                <w:sz w:val="20"/>
                <w:szCs w:val="20"/>
                <w:color w:val="auto"/>
              </w:rPr>
            </w:pPr>
          </w:p>
        </w:tc>
      </w:tr>
      <w:tr>
        <w:trPr>
          <w:trHeight w:val="20"/>
        </w:trPr>
        <w:tc>
          <w:tcPr>
            <w:tcW w:w="9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-829945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-513080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1020" w:hanging="504"/>
        <w:spacing w:after="0"/>
        <w:tabs>
          <w:tab w:leader="none" w:pos="10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following table reflects the fair values and useful lives of the acquired intangible assets: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(amounts in</w:t>
            </w:r>
          </w:p>
        </w:tc>
        <w:tc>
          <w:tcPr>
            <w:tcW w:w="240" w:type="dxa"/>
            <w:vAlign w:val="bottom"/>
          </w:tcPr>
          <w:p>
            <w:pPr>
              <w:spacing w:after="0"/>
              <w:rPr>
                <w:sz w:val="12"/>
                <w:szCs w:val="12"/>
                <w:color w:val="auto"/>
              </w:rPr>
            </w:pPr>
          </w:p>
        </w:tc>
        <w:tc>
          <w:tcPr>
            <w:tcW w:w="162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7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240" w:type="dxa"/>
            <w:vAlign w:val="bottom"/>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33,700</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770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37,200</w:t>
            </w:r>
          </w:p>
        </w:tc>
        <w:tc>
          <w:tcPr>
            <w:tcW w:w="240" w:type="dxa"/>
            <w:vAlign w:val="bottom"/>
            <w:tcBorders>
              <w:bottom w:val="single" w:sz="8" w:color="CFF0FC"/>
            </w:tcBorders>
            <w:shd w:val="clear" w:color="auto" w:fill="CFF0FC"/>
          </w:tcPr>
          <w:p>
            <w:pPr>
              <w:spacing w:after="0"/>
              <w:rPr>
                <w:sz w:val="23"/>
                <w:szCs w:val="23"/>
                <w:color w:val="auto"/>
              </w:rPr>
            </w:pPr>
          </w:p>
        </w:tc>
        <w:tc>
          <w:tcPr>
            <w:tcW w:w="162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-24765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-7620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left="1020" w:hanging="504"/>
        <w:spacing w:after="0"/>
        <w:tabs>
          <w:tab w:leader="none" w:pos="10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acquired goodwill has been allocated to the equipment rentals reporting unit.</w:t>
      </w:r>
    </w:p>
    <w:p>
      <w:pPr>
        <w:spacing w:after="0" w:line="116" w:lineRule="exact"/>
        <w:rPr>
          <w:rFonts w:ascii="Times New Roman" w:cs="Times New Roman" w:eastAsia="Times New Roman" w:hAnsi="Times New Roman"/>
          <w:sz w:val="17"/>
          <w:szCs w:val="17"/>
          <w:color w:val="auto"/>
        </w:rPr>
      </w:pPr>
    </w:p>
    <w:p>
      <w:pPr>
        <w:ind w:left="1020" w:right="280" w:hanging="504"/>
        <w:spacing w:after="0" w:line="281" w:lineRule="auto"/>
        <w:tabs>
          <w:tab w:leader="none" w:pos="10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fair value of the noncompetition agreements is considered to be a separate transaction under ASC 805 and as such, has been excluded from the purchase price.</w:t>
      </w:r>
    </w:p>
    <w:p>
      <w:pPr>
        <w:spacing w:after="0" w:line="122" w:lineRule="exact"/>
        <w:rPr>
          <w:sz w:val="20"/>
          <w:szCs w:val="20"/>
          <w:color w:val="auto"/>
        </w:rPr>
      </w:pPr>
    </w:p>
    <w:p>
      <w:pPr>
        <w:ind w:right="180" w:firstLine="374"/>
        <w:spacing w:after="0" w:line="265" w:lineRule="auto"/>
        <w:rPr>
          <w:sz w:val="20"/>
          <w:szCs w:val="20"/>
          <w:color w:val="auto"/>
        </w:rPr>
      </w:pPr>
      <w:r>
        <w:rPr>
          <w:rFonts w:ascii="Times New Roman" w:cs="Times New Roman" w:eastAsia="Times New Roman" w:hAnsi="Times New Roman"/>
          <w:sz w:val="18"/>
          <w:szCs w:val="18"/>
          <w:color w:val="auto"/>
        </w:rPr>
        <w:t>The level of goodwill that resulted from the Precision acquisition is primarily reflective of Precision’s going-concern value, the value of assembled workforce, new customer relationships expected to arise from the acquisition and expected synergies from combining operations. We currently expect the goodwill recognized to be 100% deductible for income tax purposes.</w:t>
      </w:r>
    </w:p>
    <w:p>
      <w:pPr>
        <w:spacing w:after="0" w:line="150" w:lineRule="exact"/>
        <w:rPr>
          <w:sz w:val="20"/>
          <w:szCs w:val="20"/>
          <w:color w:val="auto"/>
        </w:rPr>
      </w:pPr>
    </w:p>
    <w:p>
      <w:pPr>
        <w:jc w:val="both"/>
        <w:ind w:right="100" w:firstLine="374"/>
        <w:spacing w:after="0" w:line="260" w:lineRule="auto"/>
        <w:rPr>
          <w:sz w:val="20"/>
          <w:szCs w:val="20"/>
          <w:color w:val="auto"/>
        </w:rPr>
      </w:pPr>
      <w:r>
        <w:rPr>
          <w:rFonts w:ascii="Times New Roman" w:cs="Times New Roman" w:eastAsia="Times New Roman" w:hAnsi="Times New Roman"/>
          <w:sz w:val="18"/>
          <w:szCs w:val="18"/>
          <w:color w:val="auto"/>
        </w:rPr>
        <w:t>Acquisition costs for three and six months ended June 30, 2024 were $0.1 million and $0.3 million, respectively, included within SG&amp;A expenses on the condensed consolidated statement of income. Since our acquisition of Precision on January 1, 2024, significant amounts of equipment rental fleet have been moved between H&amp;E locations and the acquired locations, and it is impractical to reasonably estimate the amount of Precision revenues and earnings since the acquisition date.</w:t>
      </w:r>
    </w:p>
    <w:p>
      <w:pPr>
        <w:spacing w:after="0" w:line="141" w:lineRule="exact"/>
        <w:rPr>
          <w:sz w:val="20"/>
          <w:szCs w:val="20"/>
          <w:color w:val="auto"/>
        </w:rPr>
      </w:pPr>
    </w:p>
    <w:p>
      <w:pPr>
        <w:ind w:right="300" w:firstLine="374"/>
        <w:spacing w:after="0" w:line="281" w:lineRule="auto"/>
        <w:rPr>
          <w:sz w:val="20"/>
          <w:szCs w:val="20"/>
          <w:color w:val="auto"/>
        </w:rPr>
      </w:pPr>
      <w:r>
        <w:rPr>
          <w:rFonts w:ascii="Times New Roman" w:cs="Times New Roman" w:eastAsia="Times New Roman" w:hAnsi="Times New Roman"/>
          <w:sz w:val="18"/>
          <w:szCs w:val="18"/>
          <w:color w:val="auto"/>
        </w:rPr>
        <w:t>The assets and liabilities were recorded as of January 1, 2024 and the results of operations are included in the Company's consolidated results as of that date.</w:t>
      </w:r>
    </w:p>
    <w:p>
      <w:pPr>
        <w:spacing w:after="0" w:line="1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2023 Acquisition</w:t>
      </w:r>
    </w:p>
    <w:p>
      <w:pPr>
        <w:spacing w:after="0" w:line="11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Giffin Equipment</w:t>
      </w:r>
    </w:p>
    <w:p>
      <w:pPr>
        <w:spacing w:after="0" w:line="121" w:lineRule="exact"/>
        <w:rPr>
          <w:sz w:val="20"/>
          <w:szCs w:val="20"/>
          <w:color w:val="auto"/>
        </w:rPr>
      </w:pPr>
    </w:p>
    <w:p>
      <w:pPr>
        <w:ind w:right="60" w:firstLine="374"/>
        <w:spacing w:after="0" w:line="281" w:lineRule="auto"/>
        <w:rPr>
          <w:sz w:val="20"/>
          <w:szCs w:val="20"/>
          <w:color w:val="auto"/>
        </w:rPr>
      </w:pPr>
      <w:r>
        <w:rPr>
          <w:rFonts w:ascii="Times New Roman" w:cs="Times New Roman" w:eastAsia="Times New Roman" w:hAnsi="Times New Roman"/>
          <w:sz w:val="18"/>
          <w:szCs w:val="18"/>
          <w:color w:val="auto"/>
        </w:rPr>
        <w:t>Effective November 1, 2023, we completed the acquisition of Mel Giffin, Inc. (d/b/a Giffin Equipment) (“Giffin”), an equipment rental company with three branches located in California. The acquisition expands our presence in the California market.</w:t>
      </w:r>
    </w:p>
    <w:p>
      <w:pPr>
        <w:spacing w:after="0" w:line="122" w:lineRule="exact"/>
        <w:rPr>
          <w:sz w:val="20"/>
          <w:szCs w:val="20"/>
          <w:color w:val="auto"/>
        </w:rPr>
      </w:pPr>
    </w:p>
    <w:p>
      <w:pPr>
        <w:ind w:right="240" w:firstLine="374"/>
        <w:spacing w:after="0" w:line="260" w:lineRule="auto"/>
        <w:rPr>
          <w:sz w:val="20"/>
          <w:szCs w:val="20"/>
          <w:color w:val="auto"/>
        </w:rPr>
      </w:pPr>
      <w:r>
        <w:rPr>
          <w:rFonts w:ascii="Times New Roman" w:cs="Times New Roman" w:eastAsia="Times New Roman" w:hAnsi="Times New Roman"/>
          <w:sz w:val="18"/>
          <w:szCs w:val="18"/>
          <w:color w:val="auto"/>
        </w:rPr>
        <w:t>The aggregate cash consideration paid was approximately $31.3 million. The acquisition and related fees and expenses were funded from available cash and borrowings. The following table summarizes the fair value of the assets acquired and liabilities assumed as of the acquisition date. The opening balance sheet amounts presented below are preliminary and subject to change as we obtain additional information during the acquisition measurement period regarding each asset acquired and liability assumed and finalize customary closing adjustments with the seller.</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1"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87"/>
        </w:trPr>
        <w:tc>
          <w:tcPr>
            <w:tcW w:w="9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2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 in thousands</w:t>
            </w:r>
          </w:p>
        </w:tc>
      </w:tr>
      <w:tr>
        <w:trPr>
          <w:trHeight w:val="236"/>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shd w:val="clear" w:color="auto" w:fill="CFF0FC"/>
          </w:tcPr>
          <w:p>
            <w:pPr>
              <w:spacing w:after="0"/>
              <w:rPr>
                <w:sz w:val="20"/>
                <w:szCs w:val="20"/>
                <w:color w:val="auto"/>
              </w:rPr>
            </w:pPr>
          </w:p>
        </w:tc>
      </w:tr>
      <w:tr>
        <w:trPr>
          <w:trHeight w:val="238"/>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r>
      <w:tr>
        <w:trPr>
          <w:trHeight w:val="247"/>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Rental equipment</w:t>
            </w:r>
          </w:p>
        </w:tc>
        <w:tc>
          <w:tcPr>
            <w:tcW w:w="28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12,291</w:t>
            </w:r>
          </w:p>
        </w:tc>
        <w:tc>
          <w:tcPr>
            <w:tcW w:w="100" w:type="dxa"/>
            <w:vAlign w:val="bottom"/>
            <w:shd w:val="clear" w:color="auto" w:fill="CFF0FC"/>
          </w:tcPr>
          <w:p>
            <w:pPr>
              <w:spacing w:after="0"/>
              <w:rPr>
                <w:sz w:val="21"/>
                <w:szCs w:val="21"/>
                <w:color w:val="auto"/>
              </w:rPr>
            </w:pPr>
          </w:p>
        </w:tc>
      </w:tr>
      <w:tr>
        <w:trPr>
          <w:trHeight w:val="238"/>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Pr>
          <w:p>
            <w:pPr>
              <w:spacing w:after="0"/>
              <w:rPr>
                <w:sz w:val="20"/>
                <w:szCs w:val="20"/>
                <w:color w:val="auto"/>
              </w:rPr>
            </w:pPr>
          </w:p>
        </w:tc>
      </w:tr>
      <w:tr>
        <w:trPr>
          <w:trHeight w:val="247"/>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FF0FC"/>
          </w:tcPr>
          <w:p>
            <w:pPr>
              <w:spacing w:after="0"/>
              <w:rPr>
                <w:sz w:val="21"/>
                <w:szCs w:val="21"/>
                <w:color w:val="auto"/>
              </w:rPr>
            </w:pPr>
          </w:p>
        </w:tc>
      </w:tr>
      <w:tr>
        <w:trPr>
          <w:trHeight w:val="238"/>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Intangible assets </w:t>
            </w:r>
            <w:r>
              <w:rPr>
                <w:rFonts w:ascii="Times New Roman" w:cs="Times New Roman" w:eastAsia="Times New Roman" w:hAnsi="Times New Roman"/>
                <w:sz w:val="14"/>
                <w:szCs w:val="14"/>
                <w:color w:val="auto"/>
              </w:rPr>
              <w:t>(1)</w:t>
            </w: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00" w:type="dxa"/>
            <w:vAlign w:val="bottom"/>
          </w:tcPr>
          <w:p>
            <w:pPr>
              <w:spacing w:after="0"/>
              <w:rPr>
                <w:sz w:val="20"/>
                <w:szCs w:val="20"/>
                <w:color w:val="auto"/>
              </w:rPr>
            </w:pPr>
          </w:p>
        </w:tc>
      </w:tr>
      <w:tr>
        <w:trPr>
          <w:trHeight w:val="240"/>
        </w:trPr>
        <w:tc>
          <w:tcPr>
            <w:tcW w:w="9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identifiable assets acquired</w:t>
            </w:r>
          </w:p>
        </w:tc>
        <w:tc>
          <w:tcPr>
            <w:tcW w:w="28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20,223</w:t>
            </w:r>
          </w:p>
        </w:tc>
        <w:tc>
          <w:tcPr>
            <w:tcW w:w="100" w:type="dxa"/>
            <w:vAlign w:val="bottom"/>
            <w:shd w:val="clear" w:color="auto" w:fill="CFF0FC"/>
          </w:tcPr>
          <w:p>
            <w:pPr>
              <w:spacing w:after="0"/>
              <w:rPr>
                <w:sz w:val="20"/>
                <w:szCs w:val="20"/>
                <w:color w:val="auto"/>
              </w:rPr>
            </w:pPr>
          </w:p>
        </w:tc>
      </w:tr>
      <w:tr>
        <w:trPr>
          <w:trHeight w:val="238"/>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payable and other liabilities</w:t>
            </w:r>
          </w:p>
        </w:tc>
        <w:tc>
          <w:tcPr>
            <w:tcW w:w="280" w:type="dxa"/>
            <w:vAlign w:val="bottom"/>
          </w:tcPr>
          <w:p>
            <w:pPr>
              <w:spacing w:after="0"/>
              <w:rPr>
                <w:sz w:val="20"/>
                <w:szCs w:val="20"/>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(19 )</w:t>
            </w:r>
          </w:p>
        </w:tc>
      </w:tr>
      <w:tr>
        <w:trPr>
          <w:trHeight w:val="243"/>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0" w:type="dxa"/>
            <w:vAlign w:val="bottom"/>
            <w:shd w:val="clear" w:color="auto" w:fill="CFF0FC"/>
          </w:tcPr>
          <w:p>
            <w:pPr>
              <w:spacing w:after="0"/>
              <w:rPr>
                <w:sz w:val="21"/>
                <w:szCs w:val="21"/>
                <w:color w:val="auto"/>
              </w:rPr>
            </w:pP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(121 )</w:t>
            </w:r>
          </w:p>
        </w:tc>
      </w:tr>
      <w:tr>
        <w:trPr>
          <w:trHeight w:val="20"/>
        </w:trPr>
        <w:tc>
          <w:tcPr>
            <w:tcW w:w="9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9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280" w:type="dxa"/>
            <w:vAlign w:val="bottom"/>
          </w:tcPr>
          <w:p>
            <w:pPr>
              <w:spacing w:after="0"/>
              <w:rPr>
                <w:sz w:val="20"/>
                <w:szCs w:val="20"/>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(140 )</w:t>
            </w:r>
          </w:p>
        </w:tc>
      </w:tr>
      <w:tr>
        <w:trPr>
          <w:trHeight w:val="240"/>
        </w:trPr>
        <w:tc>
          <w:tcPr>
            <w:tcW w:w="9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identifiable assets acquired</w:t>
            </w:r>
          </w:p>
        </w:tc>
        <w:tc>
          <w:tcPr>
            <w:tcW w:w="280" w:type="dxa"/>
            <w:vAlign w:val="bottom"/>
            <w:tcBorders>
              <w:top w:val="single" w:sz="8" w:color="auto"/>
            </w:tcBorders>
            <w:shd w:val="clear" w:color="auto" w:fill="CFF0FC"/>
          </w:tcPr>
          <w:p>
            <w:pPr>
              <w:spacing w:after="0"/>
              <w:rPr>
                <w:sz w:val="20"/>
                <w:szCs w:val="20"/>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20,083</w:t>
            </w:r>
          </w:p>
        </w:tc>
        <w:tc>
          <w:tcPr>
            <w:tcW w:w="100" w:type="dxa"/>
            <w:vAlign w:val="bottom"/>
            <w:shd w:val="clear" w:color="auto" w:fill="CFF0FC"/>
          </w:tcPr>
          <w:p>
            <w:pPr>
              <w:spacing w:after="0"/>
              <w:rPr>
                <w:sz w:val="20"/>
                <w:szCs w:val="20"/>
                <w:color w:val="auto"/>
              </w:rPr>
            </w:pPr>
          </w:p>
        </w:tc>
      </w:tr>
      <w:tr>
        <w:trPr>
          <w:trHeight w:val="238"/>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Goodwill </w:t>
            </w:r>
            <w:r>
              <w:rPr>
                <w:rFonts w:ascii="Times New Roman" w:cs="Times New Roman" w:eastAsia="Times New Roman" w:hAnsi="Times New Roman"/>
                <w:sz w:val="14"/>
                <w:szCs w:val="14"/>
                <w:color w:val="auto"/>
              </w:rPr>
              <w:t>(2)</w:t>
            </w: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11,182</w:t>
            </w:r>
          </w:p>
        </w:tc>
        <w:tc>
          <w:tcPr>
            <w:tcW w:w="100" w:type="dxa"/>
            <w:vAlign w:val="bottom"/>
          </w:tcPr>
          <w:p>
            <w:pPr>
              <w:spacing w:after="0"/>
              <w:rPr>
                <w:sz w:val="20"/>
                <w:szCs w:val="20"/>
                <w:color w:val="auto"/>
              </w:rPr>
            </w:pPr>
          </w:p>
        </w:tc>
      </w:tr>
      <w:tr>
        <w:trPr>
          <w:trHeight w:val="276"/>
        </w:trPr>
        <w:tc>
          <w:tcPr>
            <w:tcW w:w="92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assets acquired</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31,265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-667385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1020" w:right="320" w:hanging="504"/>
        <w:spacing w:after="0" w:line="260"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reflects the estimated fair values and useful lives of the acquired intangible assets identified based on our preliminary purchase accounting assessments:</w:t>
      </w:r>
    </w:p>
    <w:tbl>
      <w:tblPr>
        <w:tblLayout w:type="fixed"/>
        <w:tblInd w:w="0" w:type="dxa"/>
        <w:tblCellMar>
          <w:top w:w="0" w:type="dxa"/>
          <w:left w:w="0" w:type="dxa"/>
          <w:bottom w:w="0" w:type="dxa"/>
          <w:right w:w="0" w:type="dxa"/>
        </w:tblCellMar>
      </w:tblPr>
      <w:tr>
        <w:trPr>
          <w:trHeight w:val="138"/>
        </w:trPr>
        <w:tc>
          <w:tcPr>
            <w:tcW w:w="7700" w:type="dxa"/>
            <w:vAlign w:val="bottom"/>
          </w:tcPr>
          <w:p>
            <w:pPr>
              <w:spacing w:after="0"/>
              <w:rPr>
                <w:sz w:val="12"/>
                <w:szCs w:val="12"/>
                <w:color w:val="auto"/>
              </w:rPr>
            </w:pPr>
          </w:p>
        </w:tc>
        <w:tc>
          <w:tcPr>
            <w:tcW w:w="1160" w:type="dxa"/>
            <w:vAlign w:val="bottom"/>
          </w:tcPr>
          <w:p>
            <w:pPr>
              <w:jc w:val="center"/>
              <w:ind w:left="361"/>
              <w:spacing w:after="0" w:line="13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tcPr>
          <w:p>
            <w:pPr>
              <w:spacing w:after="0"/>
              <w:rPr>
                <w:sz w:val="12"/>
                <w:szCs w:val="12"/>
                <w:color w:val="auto"/>
              </w:rPr>
            </w:pPr>
          </w:p>
        </w:tc>
        <w:tc>
          <w:tcPr>
            <w:tcW w:w="1160" w:type="dxa"/>
            <w:vAlign w:val="bottom"/>
          </w:tcPr>
          <w:p>
            <w:pPr>
              <w:jc w:val="center"/>
              <w:ind w:left="361"/>
              <w:spacing w:after="0" w:line="149" w:lineRule="exact"/>
              <w:rPr>
                <w:sz w:val="20"/>
                <w:szCs w:val="20"/>
                <w:color w:val="auto"/>
              </w:rPr>
            </w:pPr>
            <w:r>
              <w:rPr>
                <w:rFonts w:ascii="Times New Roman" w:cs="Times New Roman" w:eastAsia="Times New Roman" w:hAnsi="Times New Roman"/>
                <w:sz w:val="14"/>
                <w:szCs w:val="14"/>
                <w:b w:val="1"/>
                <w:bCs w:val="1"/>
                <w:color w:val="auto"/>
              </w:rPr>
              <w:t>(amounts in</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7700" w:type="dxa"/>
            <w:vAlign w:val="bottom"/>
          </w:tcPr>
          <w:p>
            <w:pPr>
              <w:spacing w:after="0"/>
              <w:rPr>
                <w:sz w:val="16"/>
                <w:szCs w:val="16"/>
                <w:color w:val="auto"/>
              </w:rPr>
            </w:pPr>
          </w:p>
        </w:tc>
        <w:tc>
          <w:tcPr>
            <w:tcW w:w="1160" w:type="dxa"/>
            <w:vAlign w:val="bottom"/>
            <w:tcBorders>
              <w:bottom w:val="single" w:sz="8" w:color="auto"/>
            </w:tcBorders>
          </w:tcPr>
          <w:p>
            <w:pPr>
              <w:jc w:val="center"/>
              <w:ind w:left="361"/>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4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160" w:type="dxa"/>
            <w:vAlign w:val="bottom"/>
            <w:shd w:val="clear" w:color="auto" w:fill="CFF0FC"/>
          </w:tcPr>
          <w:p>
            <w:pPr>
              <w:jc w:val="right"/>
              <w:ind w:right="96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3,900</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11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2,600</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7700" w:type="dxa"/>
            <w:vAlign w:val="bottom"/>
            <w:tcBorders>
              <w:bottom w:val="single" w:sz="8" w:color="CFF0FC"/>
            </w:tcBorders>
            <w:shd w:val="clear" w:color="auto" w:fill="CFF0FC"/>
          </w:tcPr>
          <w:p>
            <w:pPr>
              <w:spacing w:after="0"/>
              <w:rPr>
                <w:sz w:val="23"/>
                <w:szCs w:val="23"/>
                <w:color w:val="auto"/>
              </w:rPr>
            </w:pPr>
          </w:p>
        </w:tc>
        <w:tc>
          <w:tcPr>
            <w:tcW w:w="1160" w:type="dxa"/>
            <w:vAlign w:val="bottom"/>
            <w:tcBorders>
              <w:bottom w:val="single" w:sz="8" w:color="auto"/>
            </w:tcBorders>
            <w:shd w:val="clear" w:color="auto" w:fill="CFF0FC"/>
          </w:tcPr>
          <w:p>
            <w:pPr>
              <w:jc w:val="right"/>
              <w:ind w:right="96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6,500</w:t>
            </w:r>
          </w:p>
        </w:tc>
        <w:tc>
          <w:tcPr>
            <w:tcW w:w="240" w:type="dxa"/>
            <w:vAlign w:val="bottom"/>
            <w:tcBorders>
              <w:bottom w:val="single" w:sz="8" w:color="CFF0FC"/>
            </w:tcBorders>
            <w:shd w:val="clear" w:color="auto" w:fill="CFF0FC"/>
          </w:tcPr>
          <w:p>
            <w:pPr>
              <w:spacing w:after="0"/>
              <w:rPr>
                <w:sz w:val="23"/>
                <w:szCs w:val="23"/>
                <w:color w:val="auto"/>
              </w:rPr>
            </w:pPr>
          </w:p>
        </w:tc>
        <w:tc>
          <w:tcPr>
            <w:tcW w:w="162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-24765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-7620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acquired goodwill has been allocated to the equipment rentals reporting unit.</w:t>
      </w:r>
    </w:p>
    <w:p>
      <w:pPr>
        <w:spacing w:after="0" w:line="225" w:lineRule="exact"/>
        <w:rPr>
          <w:sz w:val="20"/>
          <w:szCs w:val="20"/>
          <w:color w:val="auto"/>
        </w:rPr>
      </w:pPr>
    </w:p>
    <w:p>
      <w:pPr>
        <w:ind w:right="180" w:firstLine="374"/>
        <w:spacing w:after="0" w:line="265" w:lineRule="auto"/>
        <w:rPr>
          <w:sz w:val="20"/>
          <w:szCs w:val="20"/>
          <w:color w:val="auto"/>
        </w:rPr>
      </w:pPr>
      <w:r>
        <w:rPr>
          <w:rFonts w:ascii="Times New Roman" w:cs="Times New Roman" w:eastAsia="Times New Roman" w:hAnsi="Times New Roman"/>
          <w:sz w:val="18"/>
          <w:szCs w:val="18"/>
          <w:color w:val="auto"/>
        </w:rPr>
        <w:t>The level of goodwill that resulted from the Giffin acquisition is primarily reflective of Giffin’s going-concern value, the value of assembled workforce, new customer relationships expected to arise from the acquisition and expected synergies from combining operations. We currently expect the goodwill recognized to be 100% deductible for income tax purposes.</w:t>
      </w:r>
    </w:p>
    <w:p>
      <w:pPr>
        <w:spacing w:after="0" w:line="137" w:lineRule="exact"/>
        <w:rPr>
          <w:sz w:val="20"/>
          <w:szCs w:val="20"/>
          <w:color w:val="auto"/>
        </w:rPr>
      </w:pPr>
    </w:p>
    <w:p>
      <w:pPr>
        <w:ind w:right="40" w:firstLine="374"/>
        <w:spacing w:after="0" w:line="265" w:lineRule="auto"/>
        <w:rPr>
          <w:sz w:val="20"/>
          <w:szCs w:val="20"/>
          <w:color w:val="auto"/>
        </w:rPr>
      </w:pPr>
      <w:r>
        <w:rPr>
          <w:rFonts w:ascii="Times New Roman" w:cs="Times New Roman" w:eastAsia="Times New Roman" w:hAnsi="Times New Roman"/>
          <w:sz w:val="18"/>
          <w:szCs w:val="18"/>
          <w:color w:val="auto"/>
        </w:rPr>
        <w:t>Acquisition costs for the six months ended June 30, 2024 were $0.1 million included within SG&amp;A expenses on the condensed consolidated statement of income. Since our acquisition of Giffin on November 1, 2023, significant amounts of equipment rental fleet have been moved between H&amp;E locations and the acquired locations, and it is impractical to reasonably estimate the amount of Giffin revenues and earnings since the acquisition date.</w:t>
      </w:r>
    </w:p>
    <w:p>
      <w:pPr>
        <w:spacing w:after="0" w:line="150" w:lineRule="exact"/>
        <w:rPr>
          <w:sz w:val="20"/>
          <w:szCs w:val="20"/>
          <w:color w:val="auto"/>
        </w:rPr>
      </w:pPr>
    </w:p>
    <w:p>
      <w:pPr>
        <w:ind w:right="100" w:firstLine="374"/>
        <w:spacing w:after="0" w:line="281" w:lineRule="auto"/>
        <w:rPr>
          <w:sz w:val="20"/>
          <w:szCs w:val="20"/>
          <w:color w:val="auto"/>
        </w:rPr>
      </w:pPr>
      <w:r>
        <w:rPr>
          <w:rFonts w:ascii="Times New Roman" w:cs="Times New Roman" w:eastAsia="Times New Roman" w:hAnsi="Times New Roman"/>
          <w:sz w:val="18"/>
          <w:szCs w:val="18"/>
          <w:color w:val="auto"/>
        </w:rPr>
        <w:t>The assets and liabilities were recorded as of November 1, 2023 and the results of operations are included in the Company's consolidated results as of that date.</w:t>
      </w:r>
    </w:p>
    <w:p>
      <w:pPr>
        <w:spacing w:after="0" w:line="1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2022 Acquisition</w:t>
      </w:r>
    </w:p>
    <w:p>
      <w:pPr>
        <w:spacing w:after="0" w:line="11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One Source Equipment Rentals, Inc.</w:t>
      </w:r>
    </w:p>
    <w:p>
      <w:pPr>
        <w:spacing w:after="0" w:line="121" w:lineRule="exact"/>
        <w:rPr>
          <w:sz w:val="20"/>
          <w:szCs w:val="20"/>
          <w:color w:val="auto"/>
        </w:rPr>
      </w:pPr>
    </w:p>
    <w:p>
      <w:pPr>
        <w:ind w:right="220" w:firstLine="374"/>
        <w:spacing w:after="0" w:line="265" w:lineRule="auto"/>
        <w:rPr>
          <w:sz w:val="20"/>
          <w:szCs w:val="20"/>
          <w:color w:val="auto"/>
        </w:rPr>
      </w:pPr>
      <w:r>
        <w:rPr>
          <w:rFonts w:ascii="Times New Roman" w:cs="Times New Roman" w:eastAsia="Times New Roman" w:hAnsi="Times New Roman"/>
          <w:sz w:val="18"/>
          <w:szCs w:val="18"/>
          <w:color w:val="auto"/>
        </w:rPr>
        <w:t>Effective October 1, 2022, we acquired 100% of the equity of One Source Equipment Rentals, Inc. (“OSR”), an equipment rental company with ten branches located in the Midwest. The acquisition expands our presence in the surrounding market, including initial locations in Illinois, Indiana, and Kentucky.</w:t>
      </w:r>
    </w:p>
    <w:p>
      <w:pPr>
        <w:spacing w:after="0" w:line="137" w:lineRule="exact"/>
        <w:rPr>
          <w:sz w:val="20"/>
          <w:szCs w:val="20"/>
          <w:color w:val="auto"/>
        </w:rPr>
      </w:pPr>
    </w:p>
    <w:p>
      <w:pPr>
        <w:ind w:right="20" w:firstLine="374"/>
        <w:spacing w:after="0" w:line="260" w:lineRule="auto"/>
        <w:rPr>
          <w:sz w:val="20"/>
          <w:szCs w:val="20"/>
          <w:color w:val="auto"/>
        </w:rPr>
      </w:pPr>
      <w:r>
        <w:rPr>
          <w:rFonts w:ascii="Times New Roman" w:cs="Times New Roman" w:eastAsia="Times New Roman" w:hAnsi="Times New Roman"/>
          <w:sz w:val="18"/>
          <w:szCs w:val="18"/>
          <w:color w:val="auto"/>
        </w:rPr>
        <w:t>The aggregate cash consideration paid was approximately $136.7 million. The acquisition and related fees and expenses were funded from available cash. Customary closing adjustments were finalized during the first quarter of 2023 and the update of a tax estimate upon filing the final tax returns concluded during the third quarter of 2023. The following table summarizes the fair value of the assets acquired and liabilities assumed as of the acquisition date.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1"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87"/>
        </w:trPr>
        <w:tc>
          <w:tcPr>
            <w:tcW w:w="9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 in thousands</w:t>
            </w:r>
          </w:p>
        </w:tc>
      </w:tr>
      <w:tr>
        <w:trPr>
          <w:trHeight w:val="236"/>
        </w:trPr>
        <w:tc>
          <w:tcPr>
            <w:tcW w:w="9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shd w:val="clear" w:color="auto" w:fill="CFF0FC"/>
          </w:tcPr>
          <w:p>
            <w:pPr>
              <w:spacing w:after="0"/>
              <w:rPr>
                <w:sz w:val="20"/>
                <w:szCs w:val="20"/>
                <w:color w:val="auto"/>
              </w:rPr>
            </w:pPr>
          </w:p>
        </w:tc>
      </w:tr>
      <w:tr>
        <w:trPr>
          <w:trHeight w:val="238"/>
        </w:trPr>
        <w:tc>
          <w:tcPr>
            <w:tcW w:w="9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10,406</w:t>
            </w:r>
          </w:p>
        </w:tc>
        <w:tc>
          <w:tcPr>
            <w:tcW w:w="100" w:type="dxa"/>
            <w:vAlign w:val="bottom"/>
          </w:tcPr>
          <w:p>
            <w:pPr>
              <w:spacing w:after="0"/>
              <w:rPr>
                <w:sz w:val="20"/>
                <w:szCs w:val="20"/>
                <w:color w:val="auto"/>
              </w:rPr>
            </w:pPr>
          </w:p>
        </w:tc>
      </w:tr>
      <w:tr>
        <w:trPr>
          <w:trHeight w:val="247"/>
        </w:trPr>
        <w:tc>
          <w:tcPr>
            <w:tcW w:w="9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shd w:val="clear" w:color="auto" w:fill="CFF0FC"/>
          </w:tcPr>
          <w:p>
            <w:pPr>
              <w:spacing w:after="0"/>
              <w:rPr>
                <w:sz w:val="21"/>
                <w:szCs w:val="21"/>
                <w:color w:val="auto"/>
              </w:rPr>
            </w:pPr>
          </w:p>
        </w:tc>
      </w:tr>
      <w:tr>
        <w:trPr>
          <w:trHeight w:val="238"/>
        </w:trPr>
        <w:tc>
          <w:tcPr>
            <w:tcW w:w="9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Pr>
          <w:p>
            <w:pPr>
              <w:spacing w:after="0"/>
              <w:rPr>
                <w:sz w:val="20"/>
                <w:szCs w:val="20"/>
                <w:color w:val="auto"/>
              </w:rPr>
            </w:pPr>
          </w:p>
        </w:tc>
      </w:tr>
      <w:tr>
        <w:trPr>
          <w:trHeight w:val="247"/>
        </w:trPr>
        <w:tc>
          <w:tcPr>
            <w:tcW w:w="9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Rental equipment</w:t>
            </w:r>
          </w:p>
        </w:tc>
        <w:tc>
          <w:tcPr>
            <w:tcW w:w="26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102,436</w:t>
            </w:r>
          </w:p>
        </w:tc>
        <w:tc>
          <w:tcPr>
            <w:tcW w:w="100" w:type="dxa"/>
            <w:vAlign w:val="bottom"/>
            <w:shd w:val="clear" w:color="auto" w:fill="CFF0FC"/>
          </w:tcPr>
          <w:p>
            <w:pPr>
              <w:spacing w:after="0"/>
              <w:rPr>
                <w:sz w:val="21"/>
                <w:szCs w:val="21"/>
                <w:color w:val="auto"/>
              </w:rPr>
            </w:pPr>
          </w:p>
        </w:tc>
      </w:tr>
      <w:tr>
        <w:trPr>
          <w:trHeight w:val="238"/>
        </w:trPr>
        <w:tc>
          <w:tcPr>
            <w:tcW w:w="9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2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4,216</w:t>
            </w:r>
          </w:p>
        </w:tc>
        <w:tc>
          <w:tcPr>
            <w:tcW w:w="100" w:type="dxa"/>
            <w:vAlign w:val="bottom"/>
          </w:tcPr>
          <w:p>
            <w:pPr>
              <w:spacing w:after="0"/>
              <w:rPr>
                <w:sz w:val="20"/>
                <w:szCs w:val="20"/>
                <w:color w:val="auto"/>
              </w:rPr>
            </w:pPr>
          </w:p>
        </w:tc>
      </w:tr>
      <w:tr>
        <w:trPr>
          <w:trHeight w:val="247"/>
        </w:trPr>
        <w:tc>
          <w:tcPr>
            <w:tcW w:w="9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100" w:type="dxa"/>
            <w:vAlign w:val="bottom"/>
            <w:shd w:val="clear" w:color="auto" w:fill="CFF0FC"/>
          </w:tcPr>
          <w:p>
            <w:pPr>
              <w:spacing w:after="0"/>
              <w:rPr>
                <w:sz w:val="21"/>
                <w:szCs w:val="21"/>
                <w:color w:val="auto"/>
              </w:rPr>
            </w:pPr>
          </w:p>
        </w:tc>
      </w:tr>
      <w:tr>
        <w:trPr>
          <w:trHeight w:val="238"/>
        </w:trPr>
        <w:tc>
          <w:tcPr>
            <w:tcW w:w="9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Intangible assets </w:t>
            </w:r>
            <w:r>
              <w:rPr>
                <w:rFonts w:ascii="Times New Roman" w:cs="Times New Roman" w:eastAsia="Times New Roman" w:hAnsi="Times New Roman"/>
                <w:sz w:val="14"/>
                <w:szCs w:val="14"/>
                <w:color w:val="auto"/>
              </w:rPr>
              <w:t>(1)</w:t>
            </w: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12,300</w:t>
            </w:r>
          </w:p>
        </w:tc>
        <w:tc>
          <w:tcPr>
            <w:tcW w:w="100" w:type="dxa"/>
            <w:vAlign w:val="bottom"/>
          </w:tcPr>
          <w:p>
            <w:pPr>
              <w:spacing w:after="0"/>
              <w:rPr>
                <w:sz w:val="20"/>
                <w:szCs w:val="20"/>
                <w:color w:val="auto"/>
              </w:rPr>
            </w:pPr>
          </w:p>
        </w:tc>
      </w:tr>
      <w:tr>
        <w:trPr>
          <w:trHeight w:val="240"/>
        </w:trPr>
        <w:tc>
          <w:tcPr>
            <w:tcW w:w="9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identifiable assets acquired</w:t>
            </w:r>
          </w:p>
        </w:tc>
        <w:tc>
          <w:tcPr>
            <w:tcW w:w="260" w:type="dxa"/>
            <w:vAlign w:val="bottom"/>
            <w:shd w:val="clear" w:color="auto" w:fill="CFF0FC"/>
          </w:tcPr>
          <w:p>
            <w:pPr>
              <w:spacing w:after="0"/>
              <w:rPr>
                <w:sz w:val="20"/>
                <w:szCs w:val="20"/>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132,789</w:t>
            </w:r>
          </w:p>
        </w:tc>
        <w:tc>
          <w:tcPr>
            <w:tcW w:w="100" w:type="dxa"/>
            <w:vAlign w:val="bottom"/>
            <w:shd w:val="clear" w:color="auto" w:fill="CFF0FC"/>
          </w:tcPr>
          <w:p>
            <w:pPr>
              <w:spacing w:after="0"/>
              <w:rPr>
                <w:sz w:val="20"/>
                <w:szCs w:val="20"/>
                <w:color w:val="auto"/>
              </w:rPr>
            </w:pPr>
          </w:p>
        </w:tc>
      </w:tr>
      <w:tr>
        <w:trPr>
          <w:trHeight w:val="238"/>
        </w:trPr>
        <w:tc>
          <w:tcPr>
            <w:tcW w:w="9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spacing w:after="0"/>
              <w:rPr>
                <w:sz w:val="20"/>
                <w:szCs w:val="20"/>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(4,723 )</w:t>
            </w:r>
          </w:p>
        </w:tc>
      </w:tr>
      <w:tr>
        <w:trPr>
          <w:trHeight w:val="247"/>
        </w:trPr>
        <w:tc>
          <w:tcPr>
            <w:tcW w:w="9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payable</w:t>
            </w:r>
          </w:p>
        </w:tc>
        <w:tc>
          <w:tcPr>
            <w:tcW w:w="26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(786 )</w:t>
            </w:r>
          </w:p>
        </w:tc>
      </w:tr>
      <w:tr>
        <w:trPr>
          <w:trHeight w:val="238"/>
        </w:trPr>
        <w:tc>
          <w:tcPr>
            <w:tcW w:w="9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tcPr>
          <w:p>
            <w:pPr>
              <w:spacing w:after="0"/>
              <w:rPr>
                <w:sz w:val="20"/>
                <w:szCs w:val="20"/>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(2,388 )</w:t>
            </w:r>
          </w:p>
        </w:tc>
      </w:tr>
      <w:tr>
        <w:trPr>
          <w:trHeight w:val="243"/>
        </w:trPr>
        <w:tc>
          <w:tcPr>
            <w:tcW w:w="9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(27,653 )</w:t>
            </w:r>
          </w:p>
        </w:tc>
      </w:tr>
      <w:tr>
        <w:trPr>
          <w:trHeight w:val="20"/>
        </w:trPr>
        <w:tc>
          <w:tcPr>
            <w:tcW w:w="93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9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260" w:type="dxa"/>
            <w:vAlign w:val="bottom"/>
          </w:tcPr>
          <w:p>
            <w:pPr>
              <w:spacing w:after="0"/>
              <w:rPr>
                <w:sz w:val="20"/>
                <w:szCs w:val="20"/>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(35,550 )</w:t>
            </w:r>
          </w:p>
        </w:tc>
      </w:tr>
      <w:tr>
        <w:trPr>
          <w:trHeight w:val="240"/>
        </w:trPr>
        <w:tc>
          <w:tcPr>
            <w:tcW w:w="9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identifiable assets acquired</w:t>
            </w:r>
          </w:p>
        </w:tc>
        <w:tc>
          <w:tcPr>
            <w:tcW w:w="260" w:type="dxa"/>
            <w:vAlign w:val="bottom"/>
            <w:tcBorders>
              <w:top w:val="single" w:sz="8" w:color="auto"/>
            </w:tcBorders>
            <w:shd w:val="clear" w:color="auto" w:fill="CFF0FC"/>
          </w:tcPr>
          <w:p>
            <w:pPr>
              <w:spacing w:after="0"/>
              <w:rPr>
                <w:sz w:val="20"/>
                <w:szCs w:val="20"/>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97,239</w:t>
            </w:r>
          </w:p>
        </w:tc>
        <w:tc>
          <w:tcPr>
            <w:tcW w:w="100" w:type="dxa"/>
            <w:vAlign w:val="bottom"/>
            <w:shd w:val="clear" w:color="auto" w:fill="CFF0FC"/>
          </w:tcPr>
          <w:p>
            <w:pPr>
              <w:spacing w:after="0"/>
              <w:rPr>
                <w:sz w:val="20"/>
                <w:szCs w:val="20"/>
                <w:color w:val="auto"/>
              </w:rPr>
            </w:pPr>
          </w:p>
        </w:tc>
      </w:tr>
      <w:tr>
        <w:trPr>
          <w:trHeight w:val="238"/>
        </w:trPr>
        <w:tc>
          <w:tcPr>
            <w:tcW w:w="9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Goodwill </w:t>
            </w:r>
            <w:r>
              <w:rPr>
                <w:rFonts w:ascii="Times New Roman" w:cs="Times New Roman" w:eastAsia="Times New Roman" w:hAnsi="Times New Roman"/>
                <w:sz w:val="14"/>
                <w:szCs w:val="14"/>
                <w:color w:val="auto"/>
              </w:rPr>
              <w:t>(2)</w:t>
            </w: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39,451</w:t>
            </w:r>
          </w:p>
        </w:tc>
        <w:tc>
          <w:tcPr>
            <w:tcW w:w="100" w:type="dxa"/>
            <w:vAlign w:val="bottom"/>
          </w:tcPr>
          <w:p>
            <w:pPr>
              <w:spacing w:after="0"/>
              <w:rPr>
                <w:sz w:val="20"/>
                <w:szCs w:val="20"/>
                <w:color w:val="auto"/>
              </w:rPr>
            </w:pPr>
          </w:p>
        </w:tc>
      </w:tr>
      <w:tr>
        <w:trPr>
          <w:trHeight w:val="276"/>
        </w:trPr>
        <w:tc>
          <w:tcPr>
            <w:tcW w:w="93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assets acquired</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136,690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-667385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left="1020" w:right="520" w:hanging="504"/>
        <w:spacing w:after="0" w:line="260"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reflects the estimated fair values and useful lives of the acquired intangible assets identified based on our purchase accounting assessments:</w:t>
      </w:r>
    </w:p>
    <w:tbl>
      <w:tblPr>
        <w:tblLayout w:type="fixed"/>
        <w:tblInd w:w="0" w:type="dxa"/>
        <w:tblCellMar>
          <w:top w:w="0" w:type="dxa"/>
          <w:left w:w="0" w:type="dxa"/>
          <w:bottom w:w="0" w:type="dxa"/>
          <w:right w:w="0" w:type="dxa"/>
        </w:tblCellMar>
      </w:tblPr>
      <w:tr>
        <w:trPr>
          <w:trHeight w:val="138"/>
        </w:trPr>
        <w:tc>
          <w:tcPr>
            <w:tcW w:w="7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center"/>
              <w:ind w:right="179"/>
              <w:spacing w:after="0" w:line="13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2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(amounts in</w:t>
            </w:r>
          </w:p>
        </w:tc>
        <w:tc>
          <w:tcPr>
            <w:tcW w:w="240" w:type="dxa"/>
            <w:vAlign w:val="bottom"/>
          </w:tcPr>
          <w:p>
            <w:pPr>
              <w:spacing w:after="0"/>
              <w:rPr>
                <w:sz w:val="12"/>
                <w:szCs w:val="12"/>
                <w:color w:val="auto"/>
              </w:rPr>
            </w:pPr>
          </w:p>
        </w:tc>
        <w:tc>
          <w:tcPr>
            <w:tcW w:w="162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7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240" w:type="dxa"/>
            <w:vAlign w:val="bottom"/>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10,600</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770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12,300</w:t>
            </w:r>
          </w:p>
        </w:tc>
        <w:tc>
          <w:tcPr>
            <w:tcW w:w="240" w:type="dxa"/>
            <w:vAlign w:val="bottom"/>
            <w:tcBorders>
              <w:bottom w:val="single" w:sz="8" w:color="CFF0FC"/>
            </w:tcBorders>
            <w:shd w:val="clear" w:color="auto" w:fill="CFF0FC"/>
          </w:tcPr>
          <w:p>
            <w:pPr>
              <w:spacing w:after="0"/>
              <w:rPr>
                <w:sz w:val="23"/>
                <w:szCs w:val="23"/>
                <w:color w:val="auto"/>
              </w:rPr>
            </w:pPr>
          </w:p>
        </w:tc>
        <w:tc>
          <w:tcPr>
            <w:tcW w:w="162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-24765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-7620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acquired goodwill has been allocated to the equipment rentals reporting unit.</w:t>
      </w:r>
    </w:p>
    <w:p>
      <w:pPr>
        <w:spacing w:after="0" w:line="225" w:lineRule="exact"/>
        <w:rPr>
          <w:sz w:val="20"/>
          <w:szCs w:val="20"/>
          <w:color w:val="auto"/>
        </w:rPr>
      </w:pPr>
    </w:p>
    <w:p>
      <w:pPr>
        <w:ind w:right="20" w:firstLine="374"/>
        <w:spacing w:after="0" w:line="260" w:lineRule="auto"/>
        <w:rPr>
          <w:sz w:val="20"/>
          <w:szCs w:val="20"/>
          <w:color w:val="auto"/>
        </w:rPr>
      </w:pPr>
      <w:r>
        <w:rPr>
          <w:rFonts w:ascii="Times New Roman" w:cs="Times New Roman" w:eastAsia="Times New Roman" w:hAnsi="Times New Roman"/>
          <w:sz w:val="18"/>
          <w:szCs w:val="18"/>
          <w:color w:val="auto"/>
        </w:rPr>
        <w:t>Included in the total goodwill amount of $39.5 million is approximately $0.8 million of accrued purchase price consideration to be paid to the sellers pursuant to the terms of the purchase agreement among the parties named thereto. The level of goodwill that resulted from the OSR acquisition is primarily reflective of OSR’s going-concern value, the value of assembled workforce, new customer relationships expected to arise from the acquisition and expected synergies from combining operations.</w:t>
      </w:r>
    </w:p>
    <w:p>
      <w:pPr>
        <w:spacing w:after="0" w:line="155" w:lineRule="exact"/>
        <w:rPr>
          <w:sz w:val="20"/>
          <w:szCs w:val="20"/>
          <w:color w:val="auto"/>
        </w:rPr>
      </w:pPr>
    </w:p>
    <w:p>
      <w:pPr>
        <w:ind w:right="500" w:firstLine="374"/>
        <w:spacing w:after="0" w:line="288" w:lineRule="auto"/>
        <w:rPr>
          <w:sz w:val="20"/>
          <w:szCs w:val="20"/>
          <w:color w:val="auto"/>
        </w:rPr>
      </w:pPr>
      <w:r>
        <w:rPr>
          <w:rFonts w:ascii="Times New Roman" w:cs="Times New Roman" w:eastAsia="Times New Roman" w:hAnsi="Times New Roman"/>
          <w:sz w:val="17"/>
          <w:szCs w:val="17"/>
          <w:color w:val="auto"/>
        </w:rPr>
        <w:t>Total acquisition costs were $0.8 million and included within SG&amp;A expenses on the consolidated statement of income during the year ended December 31, 2022. Since our acquisition of OSR on October 1, 2022, significant amounts of equipment rental fleet have been moved between H&amp;E locations and the acquired locations, and it is impractical to reasonably estimate the amount of OSR revenues and earnings since the acquisition date.</w:t>
      </w:r>
    </w:p>
    <w:p>
      <w:pPr>
        <w:spacing w:after="0" w:line="119" w:lineRule="exact"/>
        <w:rPr>
          <w:sz w:val="20"/>
          <w:szCs w:val="20"/>
          <w:color w:val="auto"/>
        </w:rPr>
      </w:pPr>
    </w:p>
    <w:p>
      <w:pPr>
        <w:ind w:right="280" w:firstLine="374"/>
        <w:spacing w:after="0" w:line="281" w:lineRule="auto"/>
        <w:rPr>
          <w:sz w:val="20"/>
          <w:szCs w:val="20"/>
          <w:color w:val="auto"/>
        </w:rPr>
      </w:pPr>
      <w:r>
        <w:rPr>
          <w:rFonts w:ascii="Times New Roman" w:cs="Times New Roman" w:eastAsia="Times New Roman" w:hAnsi="Times New Roman"/>
          <w:sz w:val="18"/>
          <w:szCs w:val="18"/>
          <w:color w:val="auto"/>
        </w:rPr>
        <w:t>The assets and liabilities were recorded as of October 1, 2022 and the results of operations are included in the Company's consolidated results as of that date.</w:t>
      </w:r>
    </w:p>
    <w:p>
      <w:pPr>
        <w:spacing w:after="0" w:line="1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Pro forma financial information (unaudited)</w:t>
      </w:r>
    </w:p>
    <w:p>
      <w:pPr>
        <w:spacing w:after="0" w:line="119" w:lineRule="exact"/>
        <w:rPr>
          <w:sz w:val="20"/>
          <w:szCs w:val="20"/>
          <w:color w:val="auto"/>
        </w:rPr>
      </w:pPr>
    </w:p>
    <w:p>
      <w:pPr>
        <w:jc w:val="both"/>
        <w:ind w:right="240" w:firstLine="374"/>
        <w:spacing w:after="0" w:line="265" w:lineRule="auto"/>
        <w:rPr>
          <w:sz w:val="20"/>
          <w:szCs w:val="20"/>
          <w:color w:val="auto"/>
        </w:rPr>
      </w:pPr>
      <w:r>
        <w:rPr>
          <w:rFonts w:ascii="Times New Roman" w:cs="Times New Roman" w:eastAsia="Times New Roman" w:hAnsi="Times New Roman"/>
          <w:sz w:val="18"/>
          <w:szCs w:val="18"/>
          <w:color w:val="auto"/>
        </w:rPr>
        <w:t>We completed the Giffin acquisition effective November 1, 2023, the Precision acquisition effective January 1, 2024 and the Lewistown acquisition effective May 1, 2024; therefore, our reported condensed consolidated statements of income for the quarter ended June 30, 2023 does not include Giffin, Precision or Lewistown and the three and six months ended June 30, 2024 does not include Lewistown for the entire period.</w:t>
      </w:r>
    </w:p>
    <w:p>
      <w:pPr>
        <w:spacing w:after="0" w:line="69" w:lineRule="exact"/>
        <w:rPr>
          <w:sz w:val="20"/>
          <w:szCs w:val="20"/>
          <w:color w:val="auto"/>
        </w:rPr>
      </w:pPr>
    </w:p>
    <w:p>
      <w:pPr>
        <w:ind w:right="20" w:firstLine="374"/>
        <w:spacing w:after="0" w:line="255" w:lineRule="auto"/>
        <w:rPr>
          <w:sz w:val="20"/>
          <w:szCs w:val="20"/>
          <w:color w:val="auto"/>
        </w:rPr>
      </w:pPr>
      <w:r>
        <w:rPr>
          <w:rFonts w:ascii="Times New Roman" w:cs="Times New Roman" w:eastAsia="Times New Roman" w:hAnsi="Times New Roman"/>
          <w:sz w:val="18"/>
          <w:szCs w:val="18"/>
          <w:color w:val="auto"/>
        </w:rPr>
        <w:t>The unaudited pro forma information in the table below (amounts in thousands) is for informational purposes only and gives effect to the Giffin, Precision and Lewistown acquisitions had all been completed on January 1, 2023 (the “pro forma acquisition date”). The unaudited pro forma information is not necessarily indicative of our results of operations had the acquisition been completed on the pro forma acquisition date, nor is it necessarily indicative of our future results. The unaudited pro forma information does not reflect any cost savings from operating efficiencies or synergies that could result from the acquisition, nor does it reflect additional revenue opportunities following the acquisition. The unaudited pro forma financial information includes adjustments primarily related to the incremental depreciation and amortization expense of the rental equipment and intangible assets acquired, the elimination of interest expense related to historical debt as well as other expenses that are not part of the combined entity and transaction expenses.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87"/>
        </w:trPr>
        <w:tc>
          <w:tcPr>
            <w:tcW w:w="5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Pro Forma (unaudited)</w:t>
            </w:r>
          </w:p>
        </w:tc>
        <w:tc>
          <w:tcPr>
            <w:tcW w:w="2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1"/>
        </w:trPr>
        <w:tc>
          <w:tcPr>
            <w:tcW w:w="5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340" w:type="dxa"/>
            <w:vAlign w:val="bottom"/>
            <w:gridSpan w:val="4"/>
          </w:tcPr>
          <w:p>
            <w:pPr>
              <w:jc w:val="right"/>
              <w:ind w:right="599"/>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60" w:type="dxa"/>
            <w:vAlign w:val="bottom"/>
            <w:gridSpan w:val="3"/>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7"/>
        </w:trPr>
        <w:tc>
          <w:tcPr>
            <w:tcW w:w="5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7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00" w:type="dxa"/>
            <w:vAlign w:val="bottom"/>
          </w:tcPr>
          <w:p>
            <w:pPr>
              <w:spacing w:after="0"/>
              <w:rPr>
                <w:sz w:val="14"/>
                <w:szCs w:val="14"/>
                <w:color w:val="auto"/>
              </w:rPr>
            </w:pPr>
          </w:p>
        </w:tc>
      </w:tr>
      <w:tr>
        <w:trPr>
          <w:trHeight w:val="236"/>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377,009</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373,444</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750,546</w:t>
            </w:r>
          </w:p>
        </w:tc>
        <w:tc>
          <w:tcPr>
            <w:tcW w:w="6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708,931</w:t>
            </w:r>
          </w:p>
        </w:tc>
        <w:tc>
          <w:tcPr>
            <w:tcW w:w="100" w:type="dxa"/>
            <w:vAlign w:val="bottom"/>
            <w:shd w:val="clear" w:color="auto" w:fill="CFF0FC"/>
          </w:tcPr>
          <w:p>
            <w:pPr>
              <w:spacing w:after="0"/>
              <w:rPr>
                <w:sz w:val="20"/>
                <w:szCs w:val="20"/>
                <w:color w:val="auto"/>
              </w:rPr>
            </w:pPr>
          </w:p>
        </w:tc>
      </w:tr>
      <w:tr>
        <w:trPr>
          <w:trHeight w:val="234"/>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33,199</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40,623</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58,903</w:t>
            </w:r>
          </w:p>
        </w:tc>
        <w:tc>
          <w:tcPr>
            <w:tcW w:w="6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65,664</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of Financial Instruments</w:t>
      </w:r>
    </w:p>
    <w:p>
      <w:pPr>
        <w:spacing w:after="0" w:line="121" w:lineRule="exact"/>
        <w:rPr>
          <w:sz w:val="20"/>
          <w:szCs w:val="20"/>
          <w:color w:val="auto"/>
        </w:rPr>
      </w:pPr>
    </w:p>
    <w:p>
      <w:pPr>
        <w:ind w:right="240" w:firstLine="374"/>
        <w:spacing w:after="0" w:line="265" w:lineRule="auto"/>
        <w:rPr>
          <w:sz w:val="20"/>
          <w:szCs w:val="20"/>
          <w:color w:val="auto"/>
        </w:rPr>
      </w:pPr>
      <w:r>
        <w:rPr>
          <w:rFonts w:ascii="Times New Roman" w:cs="Times New Roman" w:eastAsia="Times New Roman" w:hAnsi="Times New Roman"/>
          <w:sz w:val="18"/>
          <w:szCs w:val="18"/>
          <w:color w:val="auto"/>
        </w:rPr>
        <w:t>Fair value is defined as the amount that would be received for selling an asset or paid to transfer a liability in an orderly transaction between market participants at the measurement date. The FASB fair value measurement guidance established a fair value hierarchy that prioritizes the inputs used to measure fair value. The three broad levels of the fair value hierarchy are as follows:</w:t>
      </w:r>
    </w:p>
    <w:p>
      <w:pPr>
        <w:spacing w:after="0" w:line="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Level 1 – Quoted prices (unadjusted) in active markets for identical assets or liabilities</w:t>
      </w:r>
    </w:p>
    <w:p>
      <w:pPr>
        <w:spacing w:after="0" w:line="117" w:lineRule="exact"/>
        <w:rPr>
          <w:sz w:val="20"/>
          <w:szCs w:val="20"/>
          <w:color w:val="auto"/>
        </w:rPr>
      </w:pPr>
    </w:p>
    <w:p>
      <w:pPr>
        <w:ind w:left="760" w:right="500" w:hanging="360"/>
        <w:spacing w:after="0" w:line="281" w:lineRule="auto"/>
        <w:rPr>
          <w:sz w:val="20"/>
          <w:szCs w:val="20"/>
          <w:color w:val="auto"/>
        </w:rPr>
      </w:pPr>
      <w:r>
        <w:rPr>
          <w:rFonts w:ascii="Times New Roman" w:cs="Times New Roman" w:eastAsia="Times New Roman" w:hAnsi="Times New Roman"/>
          <w:sz w:val="18"/>
          <w:szCs w:val="18"/>
          <w:color w:val="auto"/>
        </w:rPr>
        <w:t>Level 2 – Quoted prices for similar assets and liabilities in active markets or inputs that are observable for the asset or liability, either directly or indirectly</w:t>
      </w:r>
    </w:p>
    <w:p>
      <w:pPr>
        <w:spacing w:after="0" w:line="5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Level 3 – Unobservable inputs for which little or no market data exists, therefore requiring a company to develop its own assumptions</w:t>
      </w:r>
    </w:p>
    <w:p>
      <w:pPr>
        <w:spacing w:after="0" w:line="184" w:lineRule="exact"/>
        <w:rPr>
          <w:sz w:val="20"/>
          <w:szCs w:val="20"/>
          <w:color w:val="auto"/>
        </w:rPr>
      </w:pPr>
    </w:p>
    <w:p>
      <w:pPr>
        <w:ind w:right="20" w:firstLine="374"/>
        <w:spacing w:after="0" w:line="256" w:lineRule="auto"/>
        <w:rPr>
          <w:sz w:val="20"/>
          <w:szCs w:val="20"/>
          <w:color w:val="auto"/>
        </w:rPr>
      </w:pPr>
      <w:r>
        <w:rPr>
          <w:rFonts w:ascii="Times New Roman" w:cs="Times New Roman" w:eastAsia="Times New Roman" w:hAnsi="Times New Roman"/>
          <w:sz w:val="18"/>
          <w:szCs w:val="18"/>
          <w:color w:val="auto"/>
        </w:rPr>
        <w:t>The carrying value of financial instruments reported in the accompanying condensed consolidated balance sheets for cash, accounts receivable, Senior Secured Credit Facility (the “Credit Facility”), accounts payable and accrued expenses payable and other liabilities approximate fair value due to the immediate or short-term nature, maturity or market interest rate of these financial instruments. The Company’s outstanding obligations on its Credit Facility are deemed to be at fair value as the interest rates are variable and consistent with prevailing rates, which are considered Level 2 inputs. The carrying amounts and fair values of our other financial instruments subject to fair value disclosures as of June 30, 2024 and December 31, 2023 are presented in the table below (amounts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1"/>
        </w:trPr>
        <w:tc>
          <w:tcPr>
            <w:tcW w:w="7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80" w:type="dxa"/>
            <w:vAlign w:val="bottom"/>
          </w:tcPr>
          <w:p>
            <w:pPr>
              <w:jc w:val="center"/>
              <w:ind w:right="221"/>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tcPr>
          <w:p>
            <w:pPr>
              <w:jc w:val="center"/>
              <w:ind w:right="459"/>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1"/>
                <w:szCs w:val="11"/>
                <w:color w:val="auto"/>
              </w:rPr>
            </w:pPr>
          </w:p>
        </w:tc>
      </w:tr>
      <w:tr>
        <w:trPr>
          <w:trHeight w:val="187"/>
        </w:trPr>
        <w:tc>
          <w:tcPr>
            <w:tcW w:w="77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3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Manufacturer flooring plans payable with interest computed at 9.00% (Level 3)</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2,642</w:t>
            </w:r>
          </w:p>
        </w:tc>
        <w:tc>
          <w:tcPr>
            <w:tcW w:w="80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100" w:type="dxa"/>
            <w:vAlign w:val="bottom"/>
            <w:shd w:val="clear" w:color="auto" w:fill="CFF0FC"/>
          </w:tcPr>
          <w:p>
            <w:pPr>
              <w:spacing w:after="0"/>
              <w:rPr>
                <w:sz w:val="20"/>
                <w:szCs w:val="20"/>
                <w:color w:val="auto"/>
              </w:rPr>
            </w:pP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Unsecured Notes due 2028 with interest computed at 3.875% (Level 2)</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1,243,573</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1,128,213</w:t>
            </w:r>
          </w:p>
        </w:tc>
        <w:tc>
          <w:tcPr>
            <w:tcW w:w="100" w:type="dxa"/>
            <w:vAlign w:val="bottom"/>
          </w:tcPr>
          <w:p>
            <w:pPr>
              <w:spacing w:after="0"/>
              <w:rPr>
                <w:sz w:val="20"/>
                <w:szCs w:val="20"/>
                <w:color w:val="auto"/>
              </w:rPr>
            </w:pPr>
          </w:p>
        </w:tc>
      </w:tr>
      <w:tr>
        <w:trPr>
          <w:trHeight w:val="507"/>
        </w:trPr>
        <w:tc>
          <w:tcPr>
            <w:tcW w:w="77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31"/>
        </w:trPr>
        <w:tc>
          <w:tcPr>
            <w:tcW w:w="7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80" w:type="dxa"/>
            <w:vAlign w:val="bottom"/>
          </w:tcPr>
          <w:p>
            <w:pPr>
              <w:jc w:val="center"/>
              <w:ind w:right="221"/>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tcPr>
          <w:p>
            <w:pPr>
              <w:jc w:val="center"/>
              <w:ind w:right="459"/>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1"/>
                <w:szCs w:val="11"/>
                <w:color w:val="auto"/>
              </w:rPr>
            </w:pPr>
          </w:p>
        </w:tc>
      </w:tr>
      <w:tr>
        <w:trPr>
          <w:trHeight w:val="187"/>
        </w:trPr>
        <w:tc>
          <w:tcPr>
            <w:tcW w:w="77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3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Manufacturer flooring plans payable with interest computed at 8.75% (Level 3)</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2,708</w:t>
            </w:r>
          </w:p>
        </w:tc>
        <w:tc>
          <w:tcPr>
            <w:tcW w:w="80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100" w:type="dxa"/>
            <w:vAlign w:val="bottom"/>
            <w:shd w:val="clear" w:color="auto" w:fill="CFF0FC"/>
          </w:tcPr>
          <w:p>
            <w:pPr>
              <w:spacing w:after="0"/>
              <w:rPr>
                <w:sz w:val="20"/>
                <w:szCs w:val="20"/>
                <w:color w:val="auto"/>
              </w:rPr>
            </w:pP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Unsecured Notes due 2028 with interest computed at 3.875% (Level 2)</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1,242,852</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1,137,170</w:t>
            </w:r>
          </w:p>
        </w:tc>
        <w:tc>
          <w:tcPr>
            <w:tcW w:w="100" w:type="dxa"/>
            <w:vAlign w:val="bottom"/>
          </w:tcPr>
          <w:p>
            <w:pPr>
              <w:spacing w:after="0"/>
              <w:rPr>
                <w:sz w:val="20"/>
                <w:szCs w:val="20"/>
                <w:color w:val="auto"/>
              </w:rPr>
            </w:pPr>
          </w:p>
        </w:tc>
      </w:tr>
    </w:tbl>
    <w:p>
      <w:pPr>
        <w:spacing w:after="0" w:line="314" w:lineRule="exact"/>
        <w:rPr>
          <w:sz w:val="20"/>
          <w:szCs w:val="20"/>
          <w:color w:val="auto"/>
        </w:rPr>
      </w:pPr>
    </w:p>
    <w:p>
      <w:pPr>
        <w:ind w:right="80" w:firstLine="374"/>
        <w:spacing w:after="0" w:line="260" w:lineRule="auto"/>
        <w:rPr>
          <w:sz w:val="20"/>
          <w:szCs w:val="20"/>
          <w:color w:val="auto"/>
        </w:rPr>
      </w:pPr>
      <w:r>
        <w:rPr>
          <w:rFonts w:ascii="Times New Roman" w:cs="Times New Roman" w:eastAsia="Times New Roman" w:hAnsi="Times New Roman"/>
          <w:sz w:val="18"/>
          <w:szCs w:val="18"/>
          <w:color w:val="auto"/>
        </w:rPr>
        <w:t>At June 30, 2024 and December 31, 2023, the fair value of our senior unsecured notes due 2028 (the “Senior Unsecured Notes”) was based on quoted bond trading market prices for those notes. For our Level 3 unobservable inputs, we calculate a discount rate for our manufacturing floor plans payable based on the U.S. prime rate plus the applicable margin on our Credit Facility. The discount rate is disclosed in the above table. The assets collateralized against the manufacturer flooring plans payable approximate its carrying value.</w:t>
      </w:r>
    </w:p>
    <w:p>
      <w:pPr>
        <w:spacing w:after="0" w:line="155" w:lineRule="exact"/>
        <w:rPr>
          <w:sz w:val="20"/>
          <w:szCs w:val="20"/>
          <w:color w:val="auto"/>
        </w:rPr>
      </w:pPr>
    </w:p>
    <w:p>
      <w:pPr>
        <w:ind w:right="160" w:firstLine="374"/>
        <w:spacing w:after="0" w:line="281" w:lineRule="auto"/>
        <w:rPr>
          <w:sz w:val="20"/>
          <w:szCs w:val="20"/>
          <w:color w:val="auto"/>
        </w:rPr>
      </w:pPr>
      <w:r>
        <w:rPr>
          <w:rFonts w:ascii="Times New Roman" w:cs="Times New Roman" w:eastAsia="Times New Roman" w:hAnsi="Times New Roman"/>
          <w:sz w:val="18"/>
          <w:szCs w:val="18"/>
          <w:color w:val="auto"/>
        </w:rPr>
        <w:t>During the three and six months ended June 30, 2024 and 2023, there were no transfers of financial assets or liabilities in or out of Level 3 of the fair value hierarchy.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Stockholders’ Equity</w:t>
      </w:r>
    </w:p>
    <w:p>
      <w:pPr>
        <w:spacing w:after="0" w:line="121" w:lineRule="exact"/>
        <w:rPr>
          <w:sz w:val="20"/>
          <w:szCs w:val="20"/>
          <w:color w:val="auto"/>
        </w:rPr>
      </w:pPr>
    </w:p>
    <w:p>
      <w:pPr>
        <w:ind w:right="700" w:firstLine="374"/>
        <w:spacing w:after="0" w:line="281" w:lineRule="auto"/>
        <w:rPr>
          <w:sz w:val="20"/>
          <w:szCs w:val="20"/>
          <w:color w:val="auto"/>
        </w:rPr>
      </w:pPr>
      <w:r>
        <w:rPr>
          <w:rFonts w:ascii="Times New Roman" w:cs="Times New Roman" w:eastAsia="Times New Roman" w:hAnsi="Times New Roman"/>
          <w:sz w:val="18"/>
          <w:szCs w:val="18"/>
          <w:color w:val="auto"/>
        </w:rPr>
        <w:t>The following table summarizes the activity in Stockholders’ Equity for the three and six months ended June 30, 2024 and 2023, respectively (amounts in thousands, except share and per share data):</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1"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87"/>
        </w:trPr>
        <w:tc>
          <w:tcPr>
            <w:tcW w:w="4360" w:type="dxa"/>
            <w:vAlign w:val="bottom"/>
          </w:tcPr>
          <w:p>
            <w:pPr>
              <w:spacing w:after="0"/>
              <w:rPr>
                <w:sz w:val="16"/>
                <w:szCs w:val="16"/>
                <w:color w:val="auto"/>
              </w:rPr>
            </w:pPr>
          </w:p>
        </w:tc>
        <w:tc>
          <w:tcPr>
            <w:tcW w:w="2240" w:type="dxa"/>
            <w:vAlign w:val="bottom"/>
            <w:tcBorders>
              <w:bottom w:val="single" w:sz="8" w:color="auto"/>
            </w:tcBorders>
            <w:gridSpan w:val="4"/>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1"/>
        </w:trPr>
        <w:tc>
          <w:tcPr>
            <w:tcW w:w="4360" w:type="dxa"/>
            <w:vAlign w:val="bottom"/>
          </w:tcPr>
          <w:p>
            <w:pPr>
              <w:spacing w:after="0"/>
              <w:rPr>
                <w:sz w:val="11"/>
                <w:szCs w:val="11"/>
                <w:color w:val="auto"/>
              </w:rPr>
            </w:pPr>
          </w:p>
        </w:tc>
        <w:tc>
          <w:tcPr>
            <w:tcW w:w="1280" w:type="dxa"/>
            <w:vAlign w:val="bottom"/>
            <w:gridSpan w:val="2"/>
          </w:tcPr>
          <w:p>
            <w:pPr>
              <w:jc w:val="right"/>
              <w:ind w:right="580"/>
              <w:spacing w:after="0" w:line="131"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1"/>
                <w:szCs w:val="11"/>
                <w:color w:val="auto"/>
              </w:rPr>
            </w:pPr>
          </w:p>
        </w:tc>
        <w:tc>
          <w:tcPr>
            <w:tcW w:w="800" w:type="dxa"/>
            <w:vAlign w:val="bottom"/>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right"/>
              <w:ind w:right="440"/>
              <w:spacing w:after="0" w:line="131"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11"/>
                <w:szCs w:val="11"/>
                <w:color w:val="auto"/>
              </w:rPr>
            </w:pPr>
          </w:p>
        </w:tc>
        <w:tc>
          <w:tcPr>
            <w:tcW w:w="900" w:type="dxa"/>
            <w:vAlign w:val="bottom"/>
            <w:gridSpan w:val="2"/>
          </w:tcPr>
          <w:p>
            <w:pPr>
              <w:jc w:val="right"/>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060" w:type="dxa"/>
            <w:vAlign w:val="bottom"/>
            <w:gridSpan w:val="3"/>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7"/>
        </w:trPr>
        <w:tc>
          <w:tcPr>
            <w:tcW w:w="4360" w:type="dxa"/>
            <w:vAlign w:val="bottom"/>
          </w:tcPr>
          <w:p>
            <w:pPr>
              <w:spacing w:after="0"/>
              <w:rPr>
                <w:sz w:val="16"/>
                <w:szCs w:val="16"/>
                <w:color w:val="auto"/>
              </w:rPr>
            </w:pPr>
          </w:p>
        </w:tc>
        <w:tc>
          <w:tcPr>
            <w:tcW w:w="102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Balances at December 31, 2023</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40,823,375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261,927</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(76,017 )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347,971</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534,289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dividends declared on common stock ($0.275 per share)</w:t>
            </w: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(9,900 )</w:t>
            </w:r>
          </w:p>
        </w:tc>
        <w:tc>
          <w:tcPr>
            <w:tcW w:w="2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(9,900 )</w:t>
            </w:r>
          </w:p>
        </w:tc>
        <w:tc>
          <w:tcPr>
            <w:tcW w:w="0" w:type="dxa"/>
            <w:vAlign w:val="bottom"/>
          </w:tcPr>
          <w:p>
            <w:pPr>
              <w:spacing w:after="0"/>
              <w:rPr>
                <w:sz w:val="1"/>
                <w:szCs w:val="1"/>
                <w:color w:val="auto"/>
              </w:rPr>
            </w:pPr>
          </w:p>
        </w:tc>
      </w:tr>
      <w:tr>
        <w:trPr>
          <w:trHeight w:val="220"/>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net of forfeitures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137,436</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Repurchase of 57,662 shares of restricted common stock</w:t>
            </w: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(3,390 )</w:t>
            </w:r>
          </w:p>
        </w:tc>
        <w:tc>
          <w:tcPr>
            <w:tcW w:w="1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(3,390 )</w:t>
            </w:r>
          </w:p>
        </w:tc>
        <w:tc>
          <w:tcPr>
            <w:tcW w:w="0" w:type="dxa"/>
            <w:vAlign w:val="bottom"/>
          </w:tcPr>
          <w:p>
            <w:pPr>
              <w:spacing w:after="0"/>
              <w:rPr>
                <w:sz w:val="1"/>
                <w:szCs w:val="1"/>
                <w:color w:val="auto"/>
              </w:rPr>
            </w:pPr>
          </w:p>
        </w:tc>
      </w:tr>
      <w:tr>
        <w:trPr>
          <w:trHeight w:val="226"/>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25,889</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Balances at March 31, 2024</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40,960,811</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265,715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(79,407 )</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363,960</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550,678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dividends declared on common stock ($0.275 per share)</w:t>
            </w: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(10,092 )</w:t>
            </w:r>
          </w:p>
        </w:tc>
        <w:tc>
          <w:tcPr>
            <w:tcW w:w="2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(10,092 )</w:t>
            </w:r>
          </w:p>
        </w:tc>
        <w:tc>
          <w:tcPr>
            <w:tcW w:w="0" w:type="dxa"/>
            <w:vAlign w:val="bottom"/>
          </w:tcPr>
          <w:p>
            <w:pPr>
              <w:spacing w:after="0"/>
              <w:rPr>
                <w:sz w:val="1"/>
                <w:szCs w:val="1"/>
                <w:color w:val="auto"/>
              </w:rPr>
            </w:pPr>
          </w:p>
        </w:tc>
      </w:tr>
      <w:tr>
        <w:trPr>
          <w:trHeight w:val="220"/>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 forfeitures</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(5,642 )</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6"/>
        </w:trPr>
        <w:tc>
          <w:tcPr>
            <w:tcW w:w="4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33,261</w:t>
            </w:r>
          </w:p>
        </w:tc>
        <w:tc>
          <w:tcPr>
            <w:tcW w:w="2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33,261</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at June 30, 2024</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40,955,169</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267,917</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(79,407 )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387,129</w:t>
            </w:r>
          </w:p>
        </w:tc>
        <w:tc>
          <w:tcPr>
            <w:tcW w:w="2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576,049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at December 31, 2022</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40,567,876</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251,901</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(69,964 )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218,700</w:t>
            </w:r>
          </w:p>
        </w:tc>
        <w:tc>
          <w:tcPr>
            <w:tcW w:w="20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401,042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2,990</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declared on common stock ($0.275 per share)</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(9,794 )</w:t>
            </w:r>
          </w:p>
        </w:tc>
        <w:tc>
          <w:tcPr>
            <w:tcW w:w="2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(9,794 )</w:t>
            </w:r>
          </w:p>
        </w:tc>
        <w:tc>
          <w:tcPr>
            <w:tcW w:w="0" w:type="dxa"/>
            <w:vAlign w:val="bottom"/>
          </w:tcPr>
          <w:p>
            <w:pPr>
              <w:spacing w:after="0"/>
              <w:rPr>
                <w:sz w:val="1"/>
                <w:szCs w:val="1"/>
                <w:color w:val="auto"/>
              </w:rPr>
            </w:pPr>
          </w:p>
        </w:tc>
      </w:tr>
      <w:tr>
        <w:trPr>
          <w:trHeight w:val="247"/>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common stock, net of forfeitures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132,501</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58,211 shares of restricted common stock</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(3,226 )</w:t>
            </w: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(3,226 )</w:t>
            </w:r>
          </w:p>
        </w:tc>
        <w:tc>
          <w:tcPr>
            <w:tcW w:w="0" w:type="dxa"/>
            <w:vAlign w:val="bottom"/>
          </w:tcPr>
          <w:p>
            <w:pPr>
              <w:spacing w:after="0"/>
              <w:rPr>
                <w:sz w:val="1"/>
                <w:szCs w:val="1"/>
                <w:color w:val="auto"/>
              </w:rPr>
            </w:pPr>
          </w:p>
        </w:tc>
      </w:tr>
      <w:tr>
        <w:trPr>
          <w:trHeight w:val="244"/>
        </w:trPr>
        <w:tc>
          <w:tcPr>
            <w:tcW w:w="4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25,674</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25,674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at March 31, 2023</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40,700,377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254,891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(73,190 )</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234,580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416,687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2,039</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declared on common stock ($0.275 per share)</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(10,046 )</w:t>
            </w:r>
          </w:p>
        </w:tc>
        <w:tc>
          <w:tcPr>
            <w:tcW w:w="2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(10,046 )</w:t>
            </w:r>
          </w:p>
        </w:tc>
        <w:tc>
          <w:tcPr>
            <w:tcW w:w="0" w:type="dxa"/>
            <w:vAlign w:val="bottom"/>
          </w:tcPr>
          <w:p>
            <w:pPr>
              <w:spacing w:after="0"/>
              <w:rPr>
                <w:sz w:val="1"/>
                <w:szCs w:val="1"/>
                <w:color w:val="auto"/>
              </w:rPr>
            </w:pPr>
          </w:p>
        </w:tc>
      </w:tr>
      <w:tr>
        <w:trPr>
          <w:trHeight w:val="247"/>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Restricted stock forfeitures</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(5,323 )</w:t>
            </w: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41,216</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Balances at June 30, 2023</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40,695,054</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256,930</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(73,190 )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265,750</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449,896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3421380</wp:posOffset>
            </wp:positionH>
            <wp:positionV relativeFrom="paragraph">
              <wp:posOffset>-2199640</wp:posOffset>
            </wp:positionV>
            <wp:extent cx="768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4192270</wp:posOffset>
            </wp:positionH>
            <wp:positionV relativeFrom="paragraph">
              <wp:posOffset>-2199640</wp:posOffset>
            </wp:positionV>
            <wp:extent cx="768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4954270</wp:posOffset>
            </wp:positionH>
            <wp:positionV relativeFrom="paragraph">
              <wp:posOffset>-2199640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-2199640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6332855</wp:posOffset>
            </wp:positionH>
            <wp:positionV relativeFrom="paragraph">
              <wp:posOffset>-2199640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-2199640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3421380</wp:posOffset>
            </wp:positionH>
            <wp:positionV relativeFrom="paragraph">
              <wp:posOffset>-949960</wp:posOffset>
            </wp:positionV>
            <wp:extent cx="768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4192270</wp:posOffset>
            </wp:positionH>
            <wp:positionV relativeFrom="paragraph">
              <wp:posOffset>-949960</wp:posOffset>
            </wp:positionV>
            <wp:extent cx="768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4954270</wp:posOffset>
            </wp:positionH>
            <wp:positionV relativeFrom="paragraph">
              <wp:posOffset>-949960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-949960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6332855</wp:posOffset>
            </wp:positionH>
            <wp:positionV relativeFrom="paragraph">
              <wp:posOffset>-949960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-949960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3421380</wp:posOffset>
            </wp:positionH>
            <wp:positionV relativeFrom="paragraph">
              <wp:posOffset>-24765</wp:posOffset>
            </wp:positionV>
            <wp:extent cx="768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3421380</wp:posOffset>
            </wp:positionH>
            <wp:positionV relativeFrom="paragraph">
              <wp:posOffset>-7620</wp:posOffset>
            </wp:positionV>
            <wp:extent cx="768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4192270</wp:posOffset>
            </wp:positionH>
            <wp:positionV relativeFrom="paragraph">
              <wp:posOffset>-24765</wp:posOffset>
            </wp:positionV>
            <wp:extent cx="768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4192270</wp:posOffset>
            </wp:positionH>
            <wp:positionV relativeFrom="paragraph">
              <wp:posOffset>-7620</wp:posOffset>
            </wp:positionV>
            <wp:extent cx="768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4954270</wp:posOffset>
            </wp:positionH>
            <wp:positionV relativeFrom="paragraph">
              <wp:posOffset>-24765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4954270</wp:posOffset>
            </wp:positionH>
            <wp:positionV relativeFrom="paragraph">
              <wp:posOffset>-7620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-24765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-7620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6332855</wp:posOffset>
            </wp:positionH>
            <wp:positionV relativeFrom="paragraph">
              <wp:posOffset>-24765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6332855</wp:posOffset>
            </wp:positionH>
            <wp:positionV relativeFrom="paragraph">
              <wp:posOffset>-7620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Stock-Based Compensation</w:t>
      </w:r>
    </w:p>
    <w:p>
      <w:pPr>
        <w:spacing w:after="0" w:line="121" w:lineRule="exact"/>
        <w:rPr>
          <w:sz w:val="20"/>
          <w:szCs w:val="20"/>
          <w:color w:val="auto"/>
        </w:rPr>
      </w:pPr>
    </w:p>
    <w:p>
      <w:pPr>
        <w:ind w:right="300" w:firstLine="374"/>
        <w:spacing w:after="0" w:line="265" w:lineRule="auto"/>
        <w:rPr>
          <w:sz w:val="20"/>
          <w:szCs w:val="20"/>
          <w:color w:val="auto"/>
        </w:rPr>
      </w:pPr>
      <w:r>
        <w:rPr>
          <w:rFonts w:ascii="Times New Roman" w:cs="Times New Roman" w:eastAsia="Times New Roman" w:hAnsi="Times New Roman"/>
          <w:sz w:val="18"/>
          <w:szCs w:val="18"/>
          <w:color w:val="auto"/>
        </w:rPr>
        <w:t>Stock-based compensation is measured at the grant date, based on the calculated fair value of the award, net of an estimated forfeiture rate, and is recognized as an expense over the requisite employee service period (generally the vesting period of the grant). The estimated forfeiture rate is based on historical experience and revised, if necessary, in subsequent periods for actual forfeitures.</w:t>
      </w:r>
    </w:p>
    <w:p>
      <w:pPr>
        <w:spacing w:after="0" w:line="69"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Our Amended and Restated 2016 Stock-Based Incentive Compensation Plan (the “2016 Plan”) is administered by the Compensation Committee of our Board of Directors, which selects persons eligible to receive awards and determines the number of shares and/or options subject to each award, the terms, conditions, performance measures, if any, and other provisions of the award. Under the 2016 Plan, we may offer deferred shares or restricted shares of our common stock and grant options, including both incentive stock options and nonqualified stock options, to purchase shares of our common stock. Shares available for future stock-based payment awards under our 2016 Plan were 2,360,083 shares of common stock as of June 30, 2024.</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Non-vested Stock</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our non-vested stock activity for the six months ended June 30, 2024:</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73"/>
        </w:trPr>
        <w:tc>
          <w:tcPr>
            <w:tcW w:w="7740" w:type="dxa"/>
            <w:vAlign w:val="bottom"/>
          </w:tcPr>
          <w:p>
            <w:pPr>
              <w:spacing w:after="0"/>
              <w:rPr>
                <w:sz w:val="15"/>
                <w:szCs w:val="15"/>
                <w:color w:val="auto"/>
              </w:rPr>
            </w:pPr>
          </w:p>
        </w:tc>
        <w:tc>
          <w:tcPr>
            <w:tcW w:w="184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5"/>
                <w:szCs w:val="15"/>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Average Grant</w:t>
            </w:r>
          </w:p>
        </w:tc>
      </w:tr>
      <w:tr>
        <w:trPr>
          <w:trHeight w:val="189"/>
        </w:trPr>
        <w:tc>
          <w:tcPr>
            <w:tcW w:w="7740" w:type="dxa"/>
            <w:vAlign w:val="bottom"/>
          </w:tcPr>
          <w:p>
            <w:pPr>
              <w:spacing w:after="0"/>
              <w:rPr>
                <w:sz w:val="16"/>
                <w:szCs w:val="16"/>
                <w:color w:val="auto"/>
              </w:rPr>
            </w:pPr>
          </w:p>
        </w:tc>
        <w:tc>
          <w:tcPr>
            <w:tcW w:w="184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6"/>
                <w:szCs w:val="16"/>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Date Fair Value</w:t>
            </w: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stock at December 31, 2023</w:t>
            </w: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497,396</w:t>
            </w:r>
          </w:p>
        </w:tc>
        <w:tc>
          <w:tcPr>
            <w:tcW w:w="28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40.73</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73,063</w:t>
            </w:r>
          </w:p>
        </w:tc>
        <w:tc>
          <w:tcPr>
            <w:tcW w:w="2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38.33</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(139,584 )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100" w:type="dxa"/>
            <w:vAlign w:val="bottom"/>
            <w:shd w:val="clear" w:color="auto" w:fill="CFF0FC"/>
          </w:tcPr>
          <w:p>
            <w:pPr>
              <w:spacing w:after="0"/>
              <w:rPr>
                <w:sz w:val="21"/>
                <w:szCs w:val="21"/>
                <w:color w:val="auto"/>
              </w:rPr>
            </w:pP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(7,790 )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42.71</w:t>
            </w:r>
          </w:p>
        </w:tc>
        <w:tc>
          <w:tcPr>
            <w:tcW w:w="100" w:type="dxa"/>
            <w:vAlign w:val="bottom"/>
          </w:tcPr>
          <w:p>
            <w:pPr>
              <w:spacing w:after="0"/>
              <w:rPr>
                <w:sz w:val="21"/>
                <w:szCs w:val="21"/>
                <w:color w:val="auto"/>
              </w:rPr>
            </w:pPr>
          </w:p>
        </w:tc>
      </w:tr>
      <w:tr>
        <w:trPr>
          <w:trHeight w:val="27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stock at June 30, 2024</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423,085</w:t>
            </w:r>
          </w:p>
        </w:tc>
        <w:tc>
          <w:tcPr>
            <w:tcW w:w="2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both"/>
        <w:ind w:right="380" w:firstLine="374"/>
        <w:spacing w:after="0" w:line="281" w:lineRule="auto"/>
        <w:rPr>
          <w:sz w:val="20"/>
          <w:szCs w:val="20"/>
          <w:color w:val="auto"/>
        </w:rPr>
      </w:pPr>
      <w:r>
        <w:rPr>
          <w:rFonts w:ascii="Times New Roman" w:cs="Times New Roman" w:eastAsia="Times New Roman" w:hAnsi="Times New Roman"/>
          <w:sz w:val="18"/>
          <w:szCs w:val="18"/>
          <w:color w:val="auto"/>
        </w:rPr>
        <w:t>As of June 30, 2024, we had unrecognized compensation expense of approximately $10.2 million related to non-vested stock that we expect to be recognized over a weighted-average period of approximately 1.5 years. The following table summarizes compensation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18" w:name="page19"/>
    <w:bookmarkEnd w:id="18"/>
    <w:p>
      <w:pPr>
        <w:ind w:right="100"/>
        <w:spacing w:after="0" w:line="281" w:lineRule="auto"/>
        <w:rPr>
          <w:sz w:val="20"/>
          <w:szCs w:val="20"/>
          <w:color w:val="auto"/>
        </w:rPr>
      </w:pPr>
      <w:r>
        <w:rPr>
          <w:rFonts w:ascii="Times New Roman" w:cs="Times New Roman" w:eastAsia="Times New Roman" w:hAnsi="Times New Roman"/>
          <w:sz w:val="18"/>
          <w:szCs w:val="18"/>
          <w:color w:val="auto"/>
        </w:rPr>
        <w:t>expense related to non-vested stock, which is included in SG&amp;A expenses in the accompanying condensed consolidated statements of income for the three and six months ended June 30, 2024 and 2023 (amounts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660" w:type="dxa"/>
            <w:vAlign w:val="bottom"/>
          </w:tcPr>
          <w:p>
            <w:pPr>
              <w:spacing w:after="0"/>
              <w:rPr>
                <w:sz w:val="16"/>
                <w:szCs w:val="16"/>
                <w:color w:val="auto"/>
              </w:rPr>
            </w:pPr>
          </w:p>
        </w:tc>
        <w:tc>
          <w:tcPr>
            <w:tcW w:w="2080" w:type="dxa"/>
            <w:vAlign w:val="bottom"/>
            <w:gridSpan w:val="4"/>
          </w:tcPr>
          <w:p>
            <w:pPr>
              <w:jc w:val="center"/>
              <w:ind w:left="34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566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Borders>
              <w:bottom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left="48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566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36"/>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Compensation expense</w:t>
            </w:r>
          </w:p>
        </w:tc>
        <w:tc>
          <w:tcPr>
            <w:tcW w:w="720" w:type="dxa"/>
            <w:vAlign w:val="bottom"/>
            <w:shd w:val="clear" w:color="auto" w:fill="CFF0FC"/>
          </w:tcPr>
          <w:p>
            <w:pPr>
              <w:jc w:val="right"/>
              <w:ind w:right="54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2,202</w:t>
            </w:r>
          </w:p>
        </w:tc>
        <w:tc>
          <w:tcPr>
            <w:tcW w:w="940" w:type="dxa"/>
            <w:vAlign w:val="bottom"/>
            <w:gridSpan w:val="2"/>
            <w:shd w:val="clear" w:color="auto" w:fill="CFF0FC"/>
          </w:tcPr>
          <w:p>
            <w:pPr>
              <w:jc w:val="right"/>
              <w:ind w:right="50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2,039</w:t>
            </w: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5,990</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5,029</w:t>
            </w:r>
          </w:p>
        </w:tc>
        <w:tc>
          <w:tcPr>
            <w:tcW w:w="100" w:type="dxa"/>
            <w:vAlign w:val="bottom"/>
            <w:shd w:val="clear" w:color="auto" w:fill="CFF0FC"/>
          </w:tcPr>
          <w:p>
            <w:pPr>
              <w:spacing w:after="0"/>
              <w:rPr>
                <w:sz w:val="20"/>
                <w:szCs w:val="20"/>
                <w:color w:val="auto"/>
              </w:rPr>
            </w:pPr>
          </w:p>
        </w:tc>
      </w:tr>
    </w:tbl>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Income per Share</w:t>
      </w:r>
    </w:p>
    <w:p>
      <w:pPr>
        <w:spacing w:after="0" w:line="121"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Income per common share for the three and six months ended June 30, 2024 and 2023 is based on the weighted average number of common shares outstanding during the period. The effects of potentially dilutive securities that are anti-dilutive are not included in the computation of dilutive income per share. We include all common shares granted under our incentive compensation plan which remain unvested (“restricted common shares”) and contain non-forfeitable rights to dividends or dividend equivalents, whether paid or unpaid (“participating securities”), in the number of shares outstanding in our basic and diluted EPS calculations using the two-class method. All of our restricted common shares are currently participating securities.</w:t>
      </w:r>
    </w:p>
    <w:p>
      <w:pPr>
        <w:spacing w:after="0" w:line="155" w:lineRule="exact"/>
        <w:rPr>
          <w:sz w:val="20"/>
          <w:szCs w:val="20"/>
          <w:color w:val="auto"/>
        </w:rPr>
      </w:pPr>
    </w:p>
    <w:p>
      <w:pPr>
        <w:ind w:right="20" w:firstLine="374"/>
        <w:spacing w:after="0" w:line="272" w:lineRule="auto"/>
        <w:rPr>
          <w:sz w:val="20"/>
          <w:szCs w:val="20"/>
          <w:color w:val="auto"/>
        </w:rPr>
      </w:pPr>
      <w:r>
        <w:rPr>
          <w:rFonts w:ascii="Times New Roman" w:cs="Times New Roman" w:eastAsia="Times New Roman" w:hAnsi="Times New Roman"/>
          <w:sz w:val="17"/>
          <w:szCs w:val="17"/>
          <w:color w:val="auto"/>
        </w:rPr>
        <w:t>Under the two-class method, earnings per common share are computed by dividing the sum of distributed earnings allocated to common shareholders and undistributed earnings allocated to common shareholders by the weighted average number of common shares outstanding for the period. In applying the two-class method, distributed and undistributed earnings are allocated to both common shares and restricted common shares based on the total weighted average shares outstanding during the period. The number of restricted common shares outstanding was less than 1% of total outstanding shares for the three and six months ended June 30, 2024 and 2023 and, consequently, was immaterial to the basic and diluted EPS calculations. Therefore, use of the two-class method had no impact on our basic and diluted EPS calculations for the periods presented. The following table sets forth the computation of basic and diluted net income per common share for the three and six months ended June 30, 2024 and 2023 (amounts in thousands, except per share amounts):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00" w:type="dxa"/>
            <w:vAlign w:val="bottom"/>
            <w:gridSpan w:val="4"/>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60" w:type="dxa"/>
            <w:vAlign w:val="bottom"/>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5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317"/>
        </w:trPr>
        <w:tc>
          <w:tcPr>
            <w:tcW w:w="5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4"/>
                <w:szCs w:val="24"/>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33,261</w:t>
            </w:r>
          </w:p>
        </w:tc>
        <w:tc>
          <w:tcPr>
            <w:tcW w:w="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41,216</w:t>
            </w:r>
          </w:p>
        </w:tc>
        <w:tc>
          <w:tcPr>
            <w:tcW w:w="500" w:type="dxa"/>
            <w:vAlign w:val="bottom"/>
            <w:gridSpan w:val="3"/>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59,150</w:t>
            </w:r>
          </w:p>
        </w:tc>
        <w:tc>
          <w:tcPr>
            <w:tcW w:w="520" w:type="dxa"/>
            <w:vAlign w:val="bottom"/>
            <w:gridSpan w:val="3"/>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66,890</w:t>
            </w:r>
          </w:p>
        </w:tc>
        <w:tc>
          <w:tcPr>
            <w:tcW w:w="100" w:type="dxa"/>
            <w:vAlign w:val="bottom"/>
            <w:shd w:val="clear" w:color="auto" w:fill="CFF0FC"/>
          </w:tcPr>
          <w:p>
            <w:pPr>
              <w:spacing w:after="0"/>
              <w:rPr>
                <w:sz w:val="21"/>
                <w:szCs w:val="21"/>
                <w:color w:val="auto"/>
              </w:rPr>
            </w:pPr>
          </w:p>
        </w:tc>
      </w:tr>
      <w:tr>
        <w:trPr>
          <w:trHeight w:val="243"/>
        </w:trPr>
        <w:tc>
          <w:tcPr>
            <w:tcW w:w="5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36,248</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36,075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36,050</w:t>
            </w:r>
          </w:p>
        </w:tc>
        <w:tc>
          <w:tcPr>
            <w:tcW w:w="100" w:type="dxa"/>
            <w:vAlign w:val="bottom"/>
          </w:tcPr>
          <w:p>
            <w:pPr>
              <w:spacing w:after="0"/>
              <w:rPr>
                <w:sz w:val="20"/>
                <w:szCs w:val="20"/>
                <w:color w:val="auto"/>
              </w:rPr>
            </w:pPr>
          </w:p>
        </w:tc>
      </w:tr>
      <w:tr>
        <w:trPr>
          <w:trHeight w:val="247"/>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Effect of dilutive non-vested restricted stock</w:t>
            </w: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36,470</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36,327</w:t>
            </w:r>
          </w:p>
        </w:tc>
        <w:tc>
          <w:tcPr>
            <w:tcW w:w="100" w:type="dxa"/>
            <w:vAlign w:val="bottom"/>
          </w:tcPr>
          <w:p>
            <w:pPr>
              <w:spacing w:after="0"/>
              <w:rPr>
                <w:sz w:val="20"/>
                <w:szCs w:val="20"/>
                <w:color w:val="auto"/>
              </w:rPr>
            </w:pPr>
          </w:p>
        </w:tc>
      </w:tr>
      <w:tr>
        <w:trPr>
          <w:trHeight w:val="236"/>
        </w:trPr>
        <w:tc>
          <w:tcPr>
            <w:tcW w:w="58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per share:</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500" w:type="dxa"/>
            <w:vAlign w:val="bottom"/>
            <w:gridSpan w:val="3"/>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520" w:type="dxa"/>
            <w:vAlign w:val="bottom"/>
            <w:gridSpan w:val="3"/>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FF0FC"/>
          </w:tcPr>
          <w:p>
            <w:pPr>
              <w:spacing w:after="0"/>
              <w:rPr>
                <w:sz w:val="21"/>
                <w:szCs w:val="2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50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52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6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shares excluded from the denominator as anti-dilutive:</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9"/>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Non-vested restricted stock</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40" w:type="dxa"/>
            <w:vAlign w:val="bottom"/>
            <w:gridSpan w:val="2"/>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gridSpan w:val="3"/>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gridSpan w:val="2"/>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0"/>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Dividends declared per common share outstanding</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0.275</w:t>
            </w:r>
          </w:p>
        </w:tc>
        <w:tc>
          <w:tcPr>
            <w:tcW w:w="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0.275</w:t>
            </w:r>
          </w:p>
        </w:tc>
        <w:tc>
          <w:tcPr>
            <w:tcW w:w="100" w:type="dxa"/>
            <w:vAlign w:val="bottom"/>
            <w:shd w:val="clear" w:color="auto" w:fill="CFF0FC"/>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shd w:val="clear" w:color="auto" w:fill="CFF0FC"/>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-1591945</wp:posOffset>
            </wp:positionV>
            <wp:extent cx="768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-1591945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-1591945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-1591945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Senior Secured Credit Facility</w:t>
      </w:r>
    </w:p>
    <w:p>
      <w:pPr>
        <w:spacing w:after="0" w:line="121" w:lineRule="exact"/>
        <w:rPr>
          <w:sz w:val="20"/>
          <w:szCs w:val="20"/>
          <w:color w:val="auto"/>
        </w:rPr>
      </w:pPr>
    </w:p>
    <w:p>
      <w:pPr>
        <w:ind w:right="180" w:firstLine="374"/>
        <w:spacing w:after="0" w:line="265" w:lineRule="auto"/>
        <w:rPr>
          <w:sz w:val="20"/>
          <w:szCs w:val="20"/>
          <w:color w:val="auto"/>
        </w:rPr>
      </w:pPr>
      <w:r>
        <w:rPr>
          <w:rFonts w:ascii="Times New Roman" w:cs="Times New Roman" w:eastAsia="Times New Roman" w:hAnsi="Times New Roman"/>
          <w:sz w:val="18"/>
          <w:szCs w:val="18"/>
          <w:color w:val="auto"/>
        </w:rPr>
        <w:t>We and our subsidiaries are parties to a $750.0 million Credit Facility with Wells Fargo Bank, National Association, as administrative agent, and the lenders named therein. For further information related to significant terms of the Credit Facility, see Note 10 to the Company’s Consolidated Financial Statements included as Item 8 in the Company’s Annual Report on Form 10-K for the year ended December 31, 2023.</w:t>
      </w:r>
    </w:p>
    <w:p>
      <w:pPr>
        <w:spacing w:after="0" w:line="137" w:lineRule="exact"/>
        <w:rPr>
          <w:sz w:val="20"/>
          <w:szCs w:val="20"/>
          <w:color w:val="auto"/>
        </w:rPr>
      </w:pPr>
    </w:p>
    <w:p>
      <w:pPr>
        <w:jc w:val="both"/>
        <w:ind w:right="240" w:firstLine="374"/>
        <w:spacing w:after="0" w:line="265" w:lineRule="auto"/>
        <w:rPr>
          <w:sz w:val="20"/>
          <w:szCs w:val="20"/>
          <w:color w:val="auto"/>
        </w:rPr>
      </w:pPr>
      <w:r>
        <w:rPr>
          <w:rFonts w:ascii="Times New Roman" w:cs="Times New Roman" w:eastAsia="Times New Roman" w:hAnsi="Times New Roman"/>
          <w:sz w:val="18"/>
          <w:szCs w:val="18"/>
          <w:color w:val="auto"/>
        </w:rPr>
        <w:t>At June 30, 2024, we had $287.3 million outstanding under the Credit Facility and could borrow up to approximately $450.4 million, net of a $12.3 million outstanding letter of credit. As of June 30, 2024, the weighted average interest rate under the Credit Facility was approximately 7.2%. As of June 30, 2024, we were in compliance with our financial covenants under the Amended and Restated Credit Agreement.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19" w:name="page20"/>
    <w:bookmarkEnd w:id="19"/>
    <w:p>
      <w:pPr>
        <w:ind w:right="420" w:firstLine="374"/>
        <w:spacing w:after="0" w:line="281" w:lineRule="auto"/>
        <w:rPr>
          <w:sz w:val="20"/>
          <w:szCs w:val="20"/>
          <w:color w:val="auto"/>
        </w:rPr>
      </w:pPr>
      <w:r>
        <w:rPr>
          <w:rFonts w:ascii="Times New Roman" w:cs="Times New Roman" w:eastAsia="Times New Roman" w:hAnsi="Times New Roman"/>
          <w:sz w:val="18"/>
          <w:szCs w:val="18"/>
          <w:color w:val="auto"/>
        </w:rPr>
        <w:t>The aggregate amounts outstanding as of June 30, 2024 under both the Credit Facility and our Senior Secured Notes (Note 9) of $1,537.3 million mature during 2028.</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Senior Unsecured Note</w:t>
      </w:r>
      <w:r>
        <w:rPr>
          <w:rFonts w:ascii="Times New Roman" w:cs="Times New Roman" w:eastAsia="Times New Roman" w:hAnsi="Times New Roman"/>
          <w:sz w:val="18"/>
          <w:szCs w:val="18"/>
          <w:color w:val="auto"/>
        </w:rPr>
        <w:t>s</w:t>
      </w:r>
    </w:p>
    <w:p>
      <w:pPr>
        <w:spacing w:after="0" w:line="121" w:lineRule="exact"/>
        <w:rPr>
          <w:sz w:val="20"/>
          <w:szCs w:val="20"/>
          <w:color w:val="auto"/>
        </w:rPr>
      </w:pPr>
    </w:p>
    <w:p>
      <w:pPr>
        <w:ind w:right="80" w:firstLine="374"/>
        <w:spacing w:after="0" w:line="288" w:lineRule="auto"/>
        <w:rPr>
          <w:sz w:val="20"/>
          <w:szCs w:val="20"/>
          <w:color w:val="auto"/>
        </w:rPr>
      </w:pPr>
      <w:r>
        <w:rPr>
          <w:rFonts w:ascii="Times New Roman" w:cs="Times New Roman" w:eastAsia="Times New Roman" w:hAnsi="Times New Roman"/>
          <w:sz w:val="17"/>
          <w:szCs w:val="17"/>
          <w:color w:val="auto"/>
        </w:rPr>
        <w:t>On December 14, 2020, we completed the offering of our $1.25 billion, 3.875% Senior Unsecured Notes due 2028. For further information related to significant terms of the Senior Unsecured Notes, see Note 9 to the Company’s Consolidated Financial Statements included as Item 8 in the Company’s Annual Report on Form 10-K for the year ended December 31, 2023. As of June 30, 2024, we were in compliance with the covenants governing our notes.</w:t>
      </w:r>
    </w:p>
    <w:p>
      <w:pPr>
        <w:spacing w:after="0" w:line="13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reconciles our Senior Unsecured Notes to our condensed consolidated balance sheets (amounts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62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1,241,409</w:t>
            </w:r>
          </w:p>
        </w:tc>
        <w:tc>
          <w:tcPr>
            <w:tcW w:w="100" w:type="dxa"/>
            <w:vAlign w:val="bottom"/>
            <w:shd w:val="clear" w:color="auto" w:fill="CFF0FC"/>
          </w:tcPr>
          <w:p>
            <w:pPr>
              <w:spacing w:after="0"/>
              <w:rPr>
                <w:sz w:val="21"/>
                <w:szCs w:val="21"/>
                <w:color w:val="auto"/>
              </w:rPr>
            </w:pPr>
          </w:p>
        </w:tc>
      </w:tr>
      <w:tr>
        <w:trPr>
          <w:trHeight w:val="238"/>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 of discount through December 31, 2023</w:t>
            </w:r>
          </w:p>
        </w:tc>
        <w:tc>
          <w:tcPr>
            <w:tcW w:w="6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00" w:type="dxa"/>
            <w:vAlign w:val="bottom"/>
          </w:tcPr>
          <w:p>
            <w:pPr>
              <w:spacing w:after="0"/>
              <w:rPr>
                <w:sz w:val="20"/>
                <w:szCs w:val="20"/>
                <w:color w:val="auto"/>
              </w:rPr>
            </w:pPr>
          </w:p>
        </w:tc>
      </w:tr>
      <w:tr>
        <w:trPr>
          <w:trHeight w:val="247"/>
        </w:trPr>
        <w:tc>
          <w:tcPr>
            <w:tcW w:w="9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financing costs through December 31, 2023</w:t>
            </w:r>
          </w:p>
        </w:tc>
        <w:tc>
          <w:tcPr>
            <w:tcW w:w="62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1,242,852</w:t>
            </w:r>
          </w:p>
        </w:tc>
        <w:tc>
          <w:tcPr>
            <w:tcW w:w="100" w:type="dxa"/>
            <w:vAlign w:val="bottom"/>
          </w:tcPr>
          <w:p>
            <w:pPr>
              <w:spacing w:after="0"/>
              <w:rPr>
                <w:sz w:val="20"/>
                <w:szCs w:val="20"/>
                <w:color w:val="auto"/>
              </w:rPr>
            </w:pPr>
          </w:p>
        </w:tc>
      </w:tr>
      <w:tr>
        <w:trPr>
          <w:trHeight w:val="247"/>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Accretion of discount through June 30, 2024</w:t>
            </w:r>
          </w:p>
        </w:tc>
        <w:tc>
          <w:tcPr>
            <w:tcW w:w="6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shd w:val="clear" w:color="auto" w:fill="CFF0FC"/>
          </w:tcPr>
          <w:p>
            <w:pPr>
              <w:spacing w:after="0"/>
              <w:rPr>
                <w:sz w:val="21"/>
                <w:szCs w:val="21"/>
                <w:color w:val="auto"/>
              </w:rPr>
            </w:pPr>
          </w:p>
        </w:tc>
      </w:tr>
      <w:tr>
        <w:trPr>
          <w:trHeight w:val="243"/>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financing costs through June 30, 2024</w:t>
            </w:r>
          </w:p>
        </w:tc>
        <w:tc>
          <w:tcPr>
            <w:tcW w:w="6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21"/>
                <w:szCs w:val="21"/>
                <w:color w:val="auto"/>
              </w:rPr>
            </w:pPr>
          </w:p>
        </w:tc>
      </w:tr>
      <w:tr>
        <w:trPr>
          <w:trHeight w:val="276"/>
        </w:trPr>
        <w:tc>
          <w:tcPr>
            <w:tcW w:w="9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620" w:type="dxa"/>
            <w:vAlign w:val="bottom"/>
            <w:tcBorders>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1,243,573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-658495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188" w:lineRule="exact"/>
        <w:rPr>
          <w:sz w:val="20"/>
          <w:szCs w:val="20"/>
          <w:color w:val="auto"/>
        </w:rPr>
      </w:pPr>
    </w:p>
    <w:p>
      <w:pPr>
        <w:ind w:right="360" w:firstLine="374"/>
        <w:spacing w:after="0" w:line="265" w:lineRule="auto"/>
        <w:rPr>
          <w:sz w:val="20"/>
          <w:szCs w:val="20"/>
          <w:color w:val="auto"/>
        </w:rPr>
      </w:pPr>
      <w:r>
        <w:rPr>
          <w:rFonts w:ascii="Times New Roman" w:cs="Times New Roman" w:eastAsia="Times New Roman" w:hAnsi="Times New Roman"/>
          <w:sz w:val="18"/>
          <w:szCs w:val="18"/>
          <w:color w:val="auto"/>
        </w:rPr>
        <w:t>At June 30, 2024, the weighted average remaining lease term for operating leases was approximately 7.4 years and for finance leases was approximately 8.5 years. The weighted average discount rate for operating leases and finance leases was approximately 6.4% and 6.0%, respectively at June 30, 2024.</w:t>
      </w:r>
    </w:p>
    <w:p>
      <w:pPr>
        <w:spacing w:after="0" w:line="137" w:lineRule="exact"/>
        <w:rPr>
          <w:sz w:val="20"/>
          <w:szCs w:val="20"/>
          <w:color w:val="auto"/>
        </w:rPr>
      </w:pPr>
    </w:p>
    <w:p>
      <w:pPr>
        <w:ind w:right="300" w:firstLine="374"/>
        <w:spacing w:after="0" w:line="265" w:lineRule="auto"/>
        <w:rPr>
          <w:sz w:val="20"/>
          <w:szCs w:val="20"/>
          <w:color w:val="auto"/>
        </w:rPr>
      </w:pPr>
      <w:r>
        <w:rPr>
          <w:rFonts w:ascii="Times New Roman" w:cs="Times New Roman" w:eastAsia="Times New Roman" w:hAnsi="Times New Roman"/>
          <w:sz w:val="18"/>
          <w:szCs w:val="18"/>
          <w:color w:val="auto"/>
        </w:rPr>
        <w:t>The future minimum lease payments of operating leases executed but not commenced as of June 30, 2024 are estimated to be $0.9 million, $3.7 million, $4.4 million, $4.5 million and $4.7 million for the years ended December 31, 2024, 2025, 2026, 2027 and 2028, respectively, and $33.0 million thereafter. It is expected that these leases will commence during 2024 and 2025.</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Information</w:t>
      </w:r>
    </w:p>
    <w:p>
      <w:pPr>
        <w:spacing w:after="0" w:line="121" w:lineRule="exact"/>
        <w:rPr>
          <w:sz w:val="20"/>
          <w:szCs w:val="20"/>
          <w:color w:val="auto"/>
        </w:rPr>
      </w:pPr>
    </w:p>
    <w:p>
      <w:pPr>
        <w:ind w:right="20" w:firstLine="374"/>
        <w:spacing w:after="0" w:line="260" w:lineRule="auto"/>
        <w:rPr>
          <w:sz w:val="20"/>
          <w:szCs w:val="20"/>
          <w:color w:val="auto"/>
        </w:rPr>
      </w:pPr>
      <w:r>
        <w:rPr>
          <w:rFonts w:ascii="Times New Roman" w:cs="Times New Roman" w:eastAsia="Times New Roman" w:hAnsi="Times New Roman"/>
          <w:sz w:val="18"/>
          <w:szCs w:val="18"/>
          <w:color w:val="auto"/>
        </w:rPr>
        <w:t>We have identified four reportable segments: equipment rentals, sales of rental equipment, sales of new equipment, and parts, service and other revenues. These segments are based upon revenue streams and how management of the Company allocates resources and assesses performance. There were no sales between segments for any of the periods presented. Selling, general, and administrative expenses as well as all other income and expense items below gross profit are not generally allocated to our reportable segments.</w:t>
      </w:r>
    </w:p>
    <w:p>
      <w:pPr>
        <w:spacing w:after="0" w:line="74" w:lineRule="exact"/>
        <w:rPr>
          <w:sz w:val="20"/>
          <w:szCs w:val="20"/>
          <w:color w:val="auto"/>
        </w:rPr>
      </w:pPr>
    </w:p>
    <w:p>
      <w:pPr>
        <w:ind w:right="220" w:firstLine="374"/>
        <w:spacing w:after="0" w:line="260" w:lineRule="auto"/>
        <w:rPr>
          <w:sz w:val="20"/>
          <w:szCs w:val="20"/>
          <w:color w:val="auto"/>
        </w:rPr>
      </w:pPr>
      <w:r>
        <w:rPr>
          <w:rFonts w:ascii="Times New Roman" w:cs="Times New Roman" w:eastAsia="Times New Roman" w:hAnsi="Times New Roman"/>
          <w:sz w:val="18"/>
          <w:szCs w:val="18"/>
          <w:color w:val="auto"/>
        </w:rPr>
        <w:t>We revised our reportable segments by aggregating parts sales and service revenues into one segment during the quarter ended June 30, 2024 due to revised internal reporting provided to our Chief Operating Decision Maker. We previously reported five segments as noted in our Consolidated Financial Statements included as Item 8 in the Company’s Annual Report on Form 10-K for the year ended December 31, 2023. The presentation of prior period information disclosed below has been revised to reflect this change.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20" w:name="page21"/>
    <w:bookmarkEnd w:id="20"/>
    <w:p>
      <w:pPr>
        <w:ind w:right="220" w:firstLine="374"/>
        <w:spacing w:after="0" w:line="281" w:lineRule="auto"/>
        <w:rPr>
          <w:sz w:val="20"/>
          <w:szCs w:val="20"/>
          <w:color w:val="auto"/>
        </w:rPr>
      </w:pPr>
      <w:r>
        <w:rPr>
          <w:rFonts w:ascii="Times New Roman" w:cs="Times New Roman" w:eastAsia="Times New Roman" w:hAnsi="Times New Roman"/>
          <w:sz w:val="18"/>
          <w:szCs w:val="18"/>
          <w:color w:val="auto"/>
        </w:rPr>
        <w:t>We do not compile discrete financial information by segments other than the information presented below. The following table presents information about our reportable segments (amounts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00" w:type="dxa"/>
            <w:vAlign w:val="bottom"/>
            <w:gridSpan w:val="7"/>
          </w:tcPr>
          <w:p>
            <w:pPr>
              <w:ind w:left="82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4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43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36"/>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Segment Revenues:</w:t>
            </w:r>
          </w:p>
        </w:tc>
        <w:tc>
          <w:tcPr>
            <w:tcW w:w="36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40" w:type="dxa"/>
            <w:vAlign w:val="bottom"/>
            <w:tcBorders>
              <w:right w:val="single" w:sz="8" w:color="CFF0FC"/>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63"/>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Equipment rentals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312,356</w:t>
            </w:r>
          </w:p>
        </w:tc>
        <w:tc>
          <w:tcPr>
            <w:tcW w:w="84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291,459</w:t>
            </w:r>
          </w:p>
        </w:tc>
        <w:tc>
          <w:tcPr>
            <w:tcW w:w="5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607,681</w:t>
            </w:r>
          </w:p>
        </w:tc>
        <w:tc>
          <w:tcPr>
            <w:tcW w:w="4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553,467</w:t>
            </w:r>
          </w:p>
        </w:tc>
        <w:tc>
          <w:tcPr>
            <w:tcW w:w="100" w:type="dxa"/>
            <w:vAlign w:val="bottom"/>
          </w:tcPr>
          <w:p>
            <w:pPr>
              <w:spacing w:after="0"/>
              <w:rPr>
                <w:sz w:val="22"/>
                <w:szCs w:val="22"/>
                <w:color w:val="auto"/>
              </w:rPr>
            </w:pPr>
          </w:p>
        </w:tc>
      </w:tr>
      <w:tr>
        <w:trPr>
          <w:trHeight w:val="249"/>
        </w:trPr>
        <w:tc>
          <w:tcPr>
            <w:tcW w:w="4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Sales of rental equipment</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34,937</w:t>
            </w:r>
          </w:p>
        </w:tc>
        <w:tc>
          <w:tcPr>
            <w:tcW w:w="2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39,653</w:t>
            </w:r>
          </w:p>
        </w:tc>
        <w:tc>
          <w:tcPr>
            <w:tcW w:w="140" w:type="dxa"/>
            <w:vAlign w:val="bottom"/>
            <w:tcBorders>
              <w:right w:val="single" w:sz="8" w:color="CFF0FC"/>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83,052</w:t>
            </w:r>
          </w:p>
        </w:tc>
        <w:tc>
          <w:tcPr>
            <w:tcW w:w="1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71,768</w:t>
            </w:r>
          </w:p>
        </w:tc>
        <w:tc>
          <w:tcPr>
            <w:tcW w:w="100" w:type="dxa"/>
            <w:vAlign w:val="bottom"/>
            <w:shd w:val="clear" w:color="auto" w:fill="CFF0FC"/>
          </w:tcPr>
          <w:p>
            <w:pPr>
              <w:spacing w:after="0"/>
              <w:rPr>
                <w:sz w:val="21"/>
                <w:szCs w:val="21"/>
                <w:color w:val="auto"/>
              </w:rPr>
            </w:pPr>
          </w:p>
        </w:tc>
      </w:tr>
      <w:tr>
        <w:trPr>
          <w:trHeight w:val="238"/>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of new equipment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10,670</w:t>
            </w: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21,082</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16,675</w:t>
            </w:r>
          </w:p>
        </w:tc>
        <w:tc>
          <w:tcPr>
            <w:tcW w:w="100" w:type="dxa"/>
            <w:vAlign w:val="bottom"/>
          </w:tcPr>
          <w:p>
            <w:pPr>
              <w:spacing w:after="0"/>
              <w:rPr>
                <w:sz w:val="20"/>
                <w:szCs w:val="20"/>
                <w:color w:val="auto"/>
              </w:rPr>
            </w:pPr>
          </w:p>
        </w:tc>
      </w:tr>
      <w:tr>
        <w:trPr>
          <w:trHeight w:val="246"/>
        </w:trPr>
        <w:tc>
          <w:tcPr>
            <w:tcW w:w="43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Parts, service and other</w:t>
            </w:r>
          </w:p>
        </w:tc>
        <w:tc>
          <w:tcPr>
            <w:tcW w:w="3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18,319</w:t>
            </w:r>
          </w:p>
        </w:tc>
        <w:tc>
          <w:tcPr>
            <w:tcW w:w="28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20,263</w:t>
            </w:r>
          </w:p>
        </w:tc>
        <w:tc>
          <w:tcPr>
            <w:tcW w:w="140" w:type="dxa"/>
            <w:vAlign w:val="bottom"/>
            <w:tcBorders>
              <w:bottom w:val="single" w:sz="8" w:color="CFF0FC"/>
              <w:right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35,824</w:t>
            </w:r>
          </w:p>
        </w:tc>
        <w:tc>
          <w:tcPr>
            <w:tcW w:w="1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40,804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4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376,282</w:t>
            </w:r>
          </w:p>
        </w:tc>
        <w:tc>
          <w:tcPr>
            <w:tcW w:w="84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360,232</w:t>
            </w:r>
          </w:p>
        </w:tc>
        <w:tc>
          <w:tcPr>
            <w:tcW w:w="5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747,639</w:t>
            </w:r>
          </w:p>
        </w:tc>
        <w:tc>
          <w:tcPr>
            <w:tcW w:w="4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682,714</w:t>
            </w:r>
          </w:p>
        </w:tc>
        <w:tc>
          <w:tcPr>
            <w:tcW w:w="100" w:type="dxa"/>
            <w:vAlign w:val="bottom"/>
          </w:tcPr>
          <w:p>
            <w:pPr>
              <w:spacing w:after="0"/>
              <w:rPr>
                <w:sz w:val="20"/>
                <w:szCs w:val="20"/>
                <w:color w:val="auto"/>
              </w:rPr>
            </w:pPr>
          </w:p>
        </w:tc>
      </w:tr>
      <w:tr>
        <w:trPr>
          <w:trHeight w:val="20"/>
        </w:trPr>
        <w:tc>
          <w:tcPr>
            <w:tcW w:w="4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Segment Gross Profit:</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40" w:type="dxa"/>
            <w:vAlign w:val="bottom"/>
            <w:tcBorders>
              <w:right w:val="single" w:sz="8" w:color="CFF0FC"/>
            </w:tcBorders>
            <w:shd w:val="clear" w:color="auto" w:fill="CFF0FC"/>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Equipment rentals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142,247</w:t>
            </w:r>
          </w:p>
        </w:tc>
        <w:tc>
          <w:tcPr>
            <w:tcW w:w="84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136,439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270,144</w:t>
            </w:r>
          </w:p>
        </w:tc>
        <w:tc>
          <w:tcPr>
            <w:tcW w:w="4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250,733</w:t>
            </w:r>
          </w:p>
        </w:tc>
        <w:tc>
          <w:tcPr>
            <w:tcW w:w="100" w:type="dxa"/>
            <w:vAlign w:val="bottom"/>
          </w:tcPr>
          <w:p>
            <w:pPr>
              <w:spacing w:after="0"/>
              <w:rPr>
                <w:sz w:val="20"/>
                <w:szCs w:val="20"/>
                <w:color w:val="auto"/>
              </w:rPr>
            </w:pPr>
          </w:p>
        </w:tc>
      </w:tr>
      <w:tr>
        <w:trPr>
          <w:trHeight w:val="247"/>
        </w:trPr>
        <w:tc>
          <w:tcPr>
            <w:tcW w:w="4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Sales of rental equipment</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21,817</w:t>
            </w:r>
          </w:p>
        </w:tc>
        <w:tc>
          <w:tcPr>
            <w:tcW w:w="2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23,438</w:t>
            </w:r>
          </w:p>
        </w:tc>
        <w:tc>
          <w:tcPr>
            <w:tcW w:w="140" w:type="dxa"/>
            <w:vAlign w:val="bottom"/>
            <w:tcBorders>
              <w:right w:val="single" w:sz="8" w:color="CFF0FC"/>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52,103</w:t>
            </w:r>
          </w:p>
        </w:tc>
        <w:tc>
          <w:tcPr>
            <w:tcW w:w="1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42,265</w:t>
            </w:r>
          </w:p>
        </w:tc>
        <w:tc>
          <w:tcPr>
            <w:tcW w:w="100" w:type="dxa"/>
            <w:vAlign w:val="bottom"/>
            <w:shd w:val="clear" w:color="auto" w:fill="CFF0FC"/>
          </w:tcPr>
          <w:p>
            <w:pPr>
              <w:spacing w:after="0"/>
              <w:rPr>
                <w:sz w:val="21"/>
                <w:szCs w:val="21"/>
                <w:color w:val="auto"/>
              </w:rPr>
            </w:pPr>
          </w:p>
        </w:tc>
      </w:tr>
      <w:tr>
        <w:trPr>
          <w:trHeight w:val="238"/>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of new equipment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3,571</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100" w:type="dxa"/>
            <w:vAlign w:val="bottom"/>
          </w:tcPr>
          <w:p>
            <w:pPr>
              <w:spacing w:after="0"/>
              <w:rPr>
                <w:sz w:val="20"/>
                <w:szCs w:val="20"/>
                <w:color w:val="auto"/>
              </w:rPr>
            </w:pPr>
          </w:p>
        </w:tc>
      </w:tr>
      <w:tr>
        <w:trPr>
          <w:trHeight w:val="260"/>
        </w:trPr>
        <w:tc>
          <w:tcPr>
            <w:tcW w:w="43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Parts, service and other</w:t>
            </w:r>
          </w:p>
        </w:tc>
        <w:tc>
          <w:tcPr>
            <w:tcW w:w="36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5,418</w:t>
            </w:r>
          </w:p>
        </w:tc>
        <w:tc>
          <w:tcPr>
            <w:tcW w:w="280" w:type="dxa"/>
            <w:vAlign w:val="bottom"/>
            <w:tcBorders>
              <w:bottom w:val="single" w:sz="8" w:color="CFF0FC"/>
            </w:tcBorders>
            <w:shd w:val="clear" w:color="auto" w:fill="CFF0FC"/>
          </w:tcPr>
          <w:p>
            <w:pPr>
              <w:spacing w:after="0"/>
              <w:rPr>
                <w:sz w:val="22"/>
                <w:szCs w:val="22"/>
                <w:color w:val="auto"/>
              </w:rPr>
            </w:pPr>
          </w:p>
        </w:tc>
        <w:tc>
          <w:tcPr>
            <w:tcW w:w="56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7,162</w:t>
            </w:r>
          </w:p>
        </w:tc>
        <w:tc>
          <w:tcPr>
            <w:tcW w:w="140" w:type="dxa"/>
            <w:vAlign w:val="bottom"/>
            <w:tcBorders>
              <w:bottom w:val="single" w:sz="8" w:color="CFF0FC"/>
              <w:right w:val="single" w:sz="8" w:color="CFF0FC"/>
            </w:tcBorders>
            <w:shd w:val="clear" w:color="auto" w:fill="CFF0FC"/>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12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10,327</w:t>
            </w:r>
          </w:p>
        </w:tc>
        <w:tc>
          <w:tcPr>
            <w:tcW w:w="18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14,382</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36"/>
        </w:trPr>
        <w:tc>
          <w:tcPr>
            <w:tcW w:w="4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gross profit</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171,280</w:t>
            </w:r>
          </w:p>
        </w:tc>
        <w:tc>
          <w:tcPr>
            <w:tcW w:w="280" w:type="dxa"/>
            <w:vAlign w:val="bottom"/>
          </w:tcPr>
          <w:p>
            <w:pPr>
              <w:spacing w:after="0"/>
              <w:rPr>
                <w:sz w:val="20"/>
                <w:szCs w:val="20"/>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168,361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336,145</w:t>
            </w:r>
          </w:p>
        </w:tc>
        <w:tc>
          <w:tcPr>
            <w:tcW w:w="260" w:type="dxa"/>
            <w:vAlign w:val="bottom"/>
            <w:gridSpan w:val="2"/>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309,739</w:t>
            </w:r>
          </w:p>
        </w:tc>
        <w:tc>
          <w:tcPr>
            <w:tcW w:w="100" w:type="dxa"/>
            <w:vAlign w:val="bottom"/>
          </w:tcPr>
          <w:p>
            <w:pPr>
              <w:spacing w:after="0"/>
              <w:rPr>
                <w:sz w:val="20"/>
                <w:szCs w:val="20"/>
                <w:color w:val="auto"/>
              </w:rPr>
            </w:pPr>
          </w:p>
        </w:tc>
      </w:tr>
      <w:tr>
        <w:trPr>
          <w:trHeight w:val="20"/>
        </w:trPr>
        <w:tc>
          <w:tcPr>
            <w:tcW w:w="4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1"/>
        </w:trPr>
        <w:tc>
          <w:tcPr>
            <w:tcW w:w="4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Balances at</w:t>
            </w:r>
          </w:p>
        </w:tc>
        <w:tc>
          <w:tcPr>
            <w:tcW w:w="12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8"/>
        </w:trPr>
        <w:tc>
          <w:tcPr>
            <w:tcW w:w="4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right"/>
              <w:ind w:right="620"/>
              <w:spacing w:after="0" w:line="157"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right"/>
              <w:ind w:right="273"/>
              <w:spacing w:after="0" w:line="15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r>
      <w:tr>
        <w:trPr>
          <w:trHeight w:val="187"/>
        </w:trPr>
        <w:tc>
          <w:tcPr>
            <w:tcW w:w="4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identified assets: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9"/>
        </w:trPr>
        <w:tc>
          <w:tcPr>
            <w:tcW w:w="4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Equipment rentals</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1,910,777</w:t>
            </w:r>
          </w:p>
        </w:tc>
        <w:tc>
          <w:tcPr>
            <w:tcW w:w="100" w:type="dxa"/>
            <w:vAlign w:val="bottom"/>
            <w:shd w:val="clear" w:color="auto" w:fill="CFF0FC"/>
          </w:tcPr>
          <w:p>
            <w:pPr>
              <w:spacing w:after="0"/>
              <w:rPr>
                <w:sz w:val="21"/>
                <w:szCs w:val="21"/>
                <w:color w:val="auto"/>
              </w:rPr>
            </w:pPr>
          </w:p>
        </w:tc>
        <w:tc>
          <w:tcPr>
            <w:tcW w:w="460" w:type="dxa"/>
            <w:vAlign w:val="bottom"/>
            <w:gridSpan w:val="3"/>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1,756,578</w:t>
            </w:r>
          </w:p>
        </w:tc>
        <w:tc>
          <w:tcPr>
            <w:tcW w:w="100" w:type="dxa"/>
            <w:vAlign w:val="bottom"/>
            <w:shd w:val="clear" w:color="auto" w:fill="CFF0FC"/>
          </w:tcPr>
          <w:p>
            <w:pPr>
              <w:spacing w:after="0"/>
              <w:rPr>
                <w:sz w:val="21"/>
                <w:szCs w:val="21"/>
                <w:color w:val="auto"/>
              </w:rPr>
            </w:pPr>
          </w:p>
        </w:tc>
      </w:tr>
      <w:tr>
        <w:trPr>
          <w:trHeight w:val="238"/>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Equipment sales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98,045</w:t>
            </w:r>
          </w:p>
        </w:tc>
        <w:tc>
          <w:tcPr>
            <w:tcW w:w="100" w:type="dxa"/>
            <w:vAlign w:val="bottom"/>
          </w:tcPr>
          <w:p>
            <w:pPr>
              <w:spacing w:after="0"/>
              <w:rPr>
                <w:sz w:val="20"/>
                <w:szCs w:val="20"/>
                <w:color w:val="auto"/>
              </w:rPr>
            </w:pPr>
          </w:p>
        </w:tc>
      </w:tr>
      <w:tr>
        <w:trPr>
          <w:trHeight w:val="247"/>
        </w:trPr>
        <w:tc>
          <w:tcPr>
            <w:tcW w:w="43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Parts, service and other</w:t>
            </w:r>
          </w:p>
        </w:tc>
        <w:tc>
          <w:tcPr>
            <w:tcW w:w="36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right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931,136</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785,263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2,850,817</w:t>
            </w:r>
          </w:p>
        </w:tc>
        <w:tc>
          <w:tcPr>
            <w:tcW w:w="100" w:type="dxa"/>
            <w:vAlign w:val="bottom"/>
          </w:tcPr>
          <w:p>
            <w:pPr>
              <w:spacing w:after="0"/>
              <w:rPr>
                <w:sz w:val="20"/>
                <w:szCs w:val="20"/>
                <w:color w:val="auto"/>
              </w:rPr>
            </w:pPr>
          </w:p>
        </w:tc>
        <w:tc>
          <w:tcPr>
            <w:tcW w:w="46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2,639,886</w:t>
            </w:r>
          </w:p>
        </w:tc>
        <w:tc>
          <w:tcPr>
            <w:tcW w:w="100" w:type="dxa"/>
            <w:vAlign w:val="bottom"/>
          </w:tcPr>
          <w:p>
            <w:pPr>
              <w:spacing w:after="0"/>
              <w:rPr>
                <w:sz w:val="20"/>
                <w:szCs w:val="20"/>
                <w:color w:val="auto"/>
              </w:rPr>
            </w:pPr>
          </w:p>
        </w:tc>
      </w:tr>
      <w:tr>
        <w:trPr>
          <w:trHeight w:val="20"/>
        </w:trPr>
        <w:tc>
          <w:tcPr>
            <w:tcW w:w="4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3703955</wp:posOffset>
            </wp:positionH>
            <wp:positionV relativeFrom="paragraph">
              <wp:posOffset>-2465070</wp:posOffset>
            </wp:positionV>
            <wp:extent cx="768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4842510</wp:posOffset>
            </wp:positionH>
            <wp:positionV relativeFrom="paragraph">
              <wp:posOffset>-2465070</wp:posOffset>
            </wp:positionV>
            <wp:extent cx="768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-2465070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-2465070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3703955</wp:posOffset>
            </wp:positionH>
            <wp:positionV relativeFrom="paragraph">
              <wp:posOffset>-1480820</wp:posOffset>
            </wp:positionV>
            <wp:extent cx="768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4842510</wp:posOffset>
            </wp:positionH>
            <wp:positionV relativeFrom="paragraph">
              <wp:posOffset>-1480820</wp:posOffset>
            </wp:positionV>
            <wp:extent cx="768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-1480820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-1480820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-187960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ind w:right="260" w:firstLine="374"/>
        <w:spacing w:after="0" w:line="265" w:lineRule="auto"/>
        <w:rPr>
          <w:sz w:val="20"/>
          <w:szCs w:val="20"/>
          <w:color w:val="auto"/>
        </w:rPr>
      </w:pPr>
      <w:r>
        <w:rPr>
          <w:rFonts w:ascii="Times New Roman" w:cs="Times New Roman" w:eastAsia="Times New Roman" w:hAnsi="Times New Roman"/>
          <w:sz w:val="18"/>
          <w:szCs w:val="18"/>
          <w:color w:val="auto"/>
        </w:rPr>
        <w:t>The Company operates primarily in the United States. Our sales to international customers for both the three months ended June 30, 2024 and 2023 and for both the six months ended June 30, 2024 and 2023 were 0.1% of total revenues. No one customer accounted for more than 10% of our total revenues for any of the periods presented.</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ITEM 2. — MANAGEMENT’S DISCUSSION AND ANALYSIS OF FINANCIAL CONDITION AND RESULTS OF OPERATIONS</w:t>
      </w:r>
    </w:p>
    <w:p>
      <w:pPr>
        <w:spacing w:after="0" w:line="161" w:lineRule="exact"/>
        <w:rPr>
          <w:sz w:val="20"/>
          <w:szCs w:val="20"/>
          <w:color w:val="auto"/>
        </w:rPr>
      </w:pPr>
    </w:p>
    <w:p>
      <w:pPr>
        <w:ind w:right="60" w:firstLine="374"/>
        <w:spacing w:after="0" w:line="254" w:lineRule="auto"/>
        <w:rPr>
          <w:sz w:val="20"/>
          <w:szCs w:val="20"/>
          <w:color w:val="auto"/>
        </w:rPr>
      </w:pPr>
      <w:r>
        <w:rPr>
          <w:rFonts w:ascii="Times New Roman" w:cs="Times New Roman" w:eastAsia="Times New Roman" w:hAnsi="Times New Roman"/>
          <w:sz w:val="18"/>
          <w:szCs w:val="18"/>
          <w:color w:val="auto"/>
        </w:rPr>
        <w:t>The following discussion summarizes the financial position of H&amp;E Equipment Services, Inc. and its subsidiaries as of June 30, 2024, and its results of operations for the three and six months ended June 30, 2024, and should be read in conjunction with (i) the unaudited condensed consolidated financial statements and notes thereto included elsewhere in this Quarterly Report on Form 10-Q and (ii) the audited consolidated financial statements and accompanying notes to our Annual Report on Form 10-K for the year ended December 31, 2023. The following discussion contains, in addition to historical information, forward-looking statements that include risks and uncertainties (see discussion of “Forward-Looking Statements” included elsewhere in this Quarterly Report on Form 10-Q). Our actual results may differ materially from those anticipated in these forward-looking statements as a result of certain factors, including those factors set forth under Item 1A – “Risk Factors” of our Annual Report on Form 10-K for the year ended December 31,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121" w:lineRule="exact"/>
        <w:rPr>
          <w:sz w:val="20"/>
          <w:szCs w:val="20"/>
          <w:color w:val="auto"/>
        </w:rPr>
      </w:pPr>
    </w:p>
    <w:p>
      <w:pPr>
        <w:ind w:right="100" w:firstLine="374"/>
        <w:spacing w:after="0" w:line="260" w:lineRule="auto"/>
        <w:rPr>
          <w:sz w:val="20"/>
          <w:szCs w:val="20"/>
          <w:color w:val="auto"/>
        </w:rPr>
      </w:pPr>
      <w:r>
        <w:rPr>
          <w:rFonts w:ascii="Times New Roman" w:cs="Times New Roman" w:eastAsia="Times New Roman" w:hAnsi="Times New Roman"/>
          <w:sz w:val="18"/>
          <w:szCs w:val="18"/>
          <w:color w:val="auto"/>
        </w:rPr>
        <w:t>Founded in 1961 through our predecessor companies, we have been in the equipment services business for approximately 63 years and are one of the largest rental equipment companies in the nation. H&amp;E Equipment Services L.L.C. (“ H&amp;E L.L.C.”) was formed in June 2002 through the business combination of Head &amp; Engquist, a wholly-owned subsidiary of Gulf Wide Industries, L.L.C., and ICM Equipment Company L.L.C. In connection with our initial public offering in February 2006, we converted H&amp;E L.L.C. into H&amp;E Equipment Services, Inc., a Delaware corporation.</w:t>
      </w:r>
    </w:p>
    <w:p>
      <w:pPr>
        <w:spacing w:after="0" w:line="74" w:lineRule="exact"/>
        <w:rPr>
          <w:sz w:val="20"/>
          <w:szCs w:val="20"/>
          <w:color w:val="auto"/>
        </w:rPr>
      </w:pPr>
    </w:p>
    <w:p>
      <w:pPr>
        <w:ind w:right="360" w:firstLine="374"/>
        <w:spacing w:after="0" w:line="265" w:lineRule="auto"/>
        <w:rPr>
          <w:sz w:val="20"/>
          <w:szCs w:val="20"/>
          <w:color w:val="auto"/>
        </w:rPr>
      </w:pPr>
      <w:r>
        <w:rPr>
          <w:rFonts w:ascii="Times New Roman" w:cs="Times New Roman" w:eastAsia="Times New Roman" w:hAnsi="Times New Roman"/>
          <w:sz w:val="18"/>
          <w:szCs w:val="18"/>
          <w:color w:val="auto"/>
        </w:rPr>
        <w:t>H&amp;E serves a diverse set of end markets in many high-growth geographies including branches throughout the Pacific Northwest, West Coast, Intermountain, Southwest, Gulf Coast, Southeast, Midwest and Mid-Atlantic regions. As of June 30, 2024, we operated 149 branch locations across 31 states throughout the United States.</w:t>
      </w:r>
    </w:p>
    <w:p>
      <w:pPr>
        <w:spacing w:after="0" w:line="137"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While focusing primarily on equipment rentals, we additionally engage in sales of rental equipment, sales of new equipment, parts sales and repair and maintenance services. The Company’s construction rental fleet is among the industry’s youngest with an equipment mix comprised of aerial work platforms, earthmoving, material handling, and other general and specialty lines. We are confident our operating experience and extensive infrastructure developed throughout our history as an integrated equipment services company qualified us to successfully transition to a pure-play rental company. This experience and infrastructure continues to provide us with a competitive advantage enabling us to broaden our industry expansion. Our workforce includes an outside and inside sales force for our rental operations and equipment sales, highly skilled service technicians, transportation drivers and regional and district managers. Our management, from the corporate level down to the branch store level, has extensive industry experience. We believe this allows us to provide specialized equipment knowledge, improve the effectiveness of our sales force and strengthen our customer relationships. In addition, we operate our day-to-day business on a branch basis, which allows us to more closely service our customers, fosters management accountability at local levels and strengthens our local and regional relationships.</w:t>
      </w:r>
    </w:p>
    <w:p>
      <w:pPr>
        <w:spacing w:after="0" w:line="151" w:lineRule="exact"/>
        <w:rPr>
          <w:sz w:val="20"/>
          <w:szCs w:val="20"/>
          <w:color w:val="auto"/>
        </w:rPr>
      </w:pPr>
    </w:p>
    <w:p>
      <w:pPr>
        <w:ind w:right="320" w:firstLine="374"/>
        <w:spacing w:after="0" w:line="281" w:lineRule="auto"/>
        <w:rPr>
          <w:sz w:val="20"/>
          <w:szCs w:val="20"/>
          <w:color w:val="auto"/>
        </w:rPr>
      </w:pPr>
      <w:r>
        <w:rPr>
          <w:rFonts w:ascii="Times New Roman" w:cs="Times New Roman" w:eastAsia="Times New Roman" w:hAnsi="Times New Roman"/>
          <w:sz w:val="18"/>
          <w:szCs w:val="18"/>
          <w:color w:val="auto"/>
        </w:rPr>
        <w:t>Effective November 1, 2023, the Company completed the acquisition of Giffin Equipment (“Giffin”), a privately-held equipment rentals company with three branch locations in California.</w:t>
      </w:r>
    </w:p>
    <w:p>
      <w:pPr>
        <w:spacing w:after="0" w:line="136" w:lineRule="exact"/>
        <w:rPr>
          <w:sz w:val="20"/>
          <w:szCs w:val="20"/>
          <w:color w:val="auto"/>
        </w:rPr>
      </w:pPr>
    </w:p>
    <w:p>
      <w:pPr>
        <w:ind w:right="320" w:firstLine="374"/>
        <w:spacing w:after="0" w:line="281" w:lineRule="auto"/>
        <w:rPr>
          <w:sz w:val="20"/>
          <w:szCs w:val="20"/>
          <w:color w:val="auto"/>
        </w:rPr>
      </w:pPr>
      <w:r>
        <w:rPr>
          <w:rFonts w:ascii="Times New Roman" w:cs="Times New Roman" w:eastAsia="Times New Roman" w:hAnsi="Times New Roman"/>
          <w:sz w:val="18"/>
          <w:szCs w:val="18"/>
          <w:color w:val="auto"/>
        </w:rPr>
        <w:t>Effective January 1, 2024, the Company completed the acquisition of Precision Rentals (“Precision”), a privately-held equipment rentals company with a branch location in each of Arizona and Colorado.</w:t>
      </w:r>
    </w:p>
    <w:p>
      <w:pPr>
        <w:spacing w:after="0" w:line="122" w:lineRule="exact"/>
        <w:rPr>
          <w:sz w:val="20"/>
          <w:szCs w:val="20"/>
          <w:color w:val="auto"/>
        </w:rPr>
      </w:pPr>
    </w:p>
    <w:p>
      <w:pPr>
        <w:ind w:right="280" w:firstLine="374"/>
        <w:spacing w:after="0" w:line="281" w:lineRule="auto"/>
        <w:rPr>
          <w:sz w:val="20"/>
          <w:szCs w:val="20"/>
          <w:color w:val="auto"/>
        </w:rPr>
      </w:pPr>
      <w:r>
        <w:rPr>
          <w:rFonts w:ascii="Times New Roman" w:cs="Times New Roman" w:eastAsia="Times New Roman" w:hAnsi="Times New Roman"/>
          <w:sz w:val="18"/>
          <w:szCs w:val="18"/>
          <w:color w:val="auto"/>
        </w:rPr>
        <w:t>Effective May 1, 2024, the Company completed the acquisition of Lewistown Rentals (“Lewistown”), a privately-held equipment rentals company with four branch locations in Montana.</w:t>
      </w:r>
    </w:p>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w:t>
      </w:r>
    </w:p>
    <w:p>
      <w:pPr>
        <w:spacing w:after="0" w:line="121"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Item 7, included in Part II of our Annual Report on Form 10-K for the year ended December 31, 2023, presents the accounting estimates that we believe are the most critical to understanding our consolidated financial statements, financial condition, and results of operations and cash flows, and which require complex management judgment and assumptions, or involve uncertainties. There have been no significant changes to these critical accounting estimates during the three and six months ended June 30, 2024. Our critical accounting estimates include, among others, useful lives of rental equipment and property and equipment, acquisition accounting, goodwill, and income taxes.</w:t>
      </w:r>
    </w:p>
    <w:p>
      <w:pPr>
        <w:spacing w:after="0" w:line="141" w:lineRule="exact"/>
        <w:rPr>
          <w:sz w:val="20"/>
          <w:szCs w:val="20"/>
          <w:color w:val="auto"/>
        </w:rPr>
      </w:pPr>
    </w:p>
    <w:p>
      <w:pPr>
        <w:ind w:right="60" w:firstLine="374"/>
        <w:spacing w:after="0" w:line="265" w:lineRule="auto"/>
        <w:rPr>
          <w:sz w:val="20"/>
          <w:szCs w:val="20"/>
          <w:color w:val="auto"/>
        </w:rPr>
      </w:pPr>
      <w:r>
        <w:rPr>
          <w:rFonts w:ascii="Times New Roman" w:cs="Times New Roman" w:eastAsia="Times New Roman" w:hAnsi="Times New Roman"/>
          <w:sz w:val="18"/>
          <w:szCs w:val="18"/>
          <w:color w:val="auto"/>
        </w:rPr>
        <w:t>Information regarding our other significant accounting estimates is included in Note 2 to our Consolidated Financial Statements in Item 8 of Part II of our Annual Report on Form 10-K for the year ended December 31, 2023 and in Note 2 to the Condensed Consolidated Financial Statements in this Quarterly Report on Form 10-Q.</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6" w:right="359" w:bottom="1440" w:gutter="0" w:footer="0" w:header="0"/>
        </w:sectPr>
      </w:pPr>
    </w:p>
    <w:bookmarkStart w:id="22" w:name="page23"/>
    <w:bookmarkEnd w:id="22"/>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Business Segments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have four reportable segments because we derive our revenues from four business activities: (1) equipment rentals; (2) sales of rental equipment;</w:t>
      </w:r>
    </w:p>
    <w:p>
      <w:pPr>
        <w:spacing w:after="0" w:line="27" w:lineRule="exact"/>
        <w:rPr>
          <w:sz w:val="20"/>
          <w:szCs w:val="20"/>
          <w:color w:val="auto"/>
        </w:rPr>
      </w:pPr>
    </w:p>
    <w:p>
      <w:pPr>
        <w:ind w:firstLine="8"/>
        <w:spacing w:after="0" w:line="253" w:lineRule="auto"/>
        <w:tabs>
          <w:tab w:leader="none" w:pos="2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new equipment; (4) parts, service and other revenues. Our primary segment is equipment rentals. These segments are based upon how we allocate resources and assess performance. We revised our reportable segments by aggregating parts sales and service revenues into one segment during the quarter ended June 30, 2024 due to revised internal reporting provided to our Chief Operating Decision Maker. For additional information about our business segments, see Note 11 to the Condensed Consolidated Financial Statements in this Quarterly Report on Form 10-Q.</w:t>
      </w:r>
    </w:p>
    <w:p>
      <w:pPr>
        <w:spacing w:after="0" w:line="77" w:lineRule="exact"/>
        <w:rPr>
          <w:rFonts w:ascii="Times New Roman" w:cs="Times New Roman" w:eastAsia="Times New Roman" w:hAnsi="Times New Roman"/>
          <w:sz w:val="18"/>
          <w:szCs w:val="18"/>
          <w:color w:val="auto"/>
        </w:rPr>
      </w:pPr>
    </w:p>
    <w:p>
      <w:pPr>
        <w:ind w:left="1020" w:right="60" w:hanging="504"/>
        <w:spacing w:after="0" w:line="254"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Equipment Rentals. </w:t>
      </w:r>
      <w:r>
        <w:rPr>
          <w:rFonts w:ascii="Times New Roman" w:cs="Times New Roman" w:eastAsia="Times New Roman" w:hAnsi="Times New Roman"/>
          <w:sz w:val="18"/>
          <w:szCs w:val="18"/>
          <w:color w:val="auto"/>
        </w:rPr>
        <w:t>Our rental operation is our principal focus and we primarily rent our core types of construction and industrial equipment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(aerial work platforms, earthmoving equipment, material handling equipment and other general and specialty lines). We have a well-maintained rental fleet and a dedicated sales team. We actively manage the size, quality, age and composition of our rental fleet based on our analysis of key measures such as time utilization (a reflection of equipment usage based on customer demand and calculated as our fleet’s original equipment cost on-rent divided by our fleet’s original equipment cost, averaged over the time period), rental rate trends and targets, rental equipment dollar utilization, and maintenance and repair costs, which we closely monitor. Given the use of these measures by management, we believe that investors’ understanding of our performance is enhanced by the disclosure of the measures as it allows investors to view performance from management’s perspective. Additionally, we maintain fleet quality through quality control inspections and our parts and services operations.</w:t>
      </w:r>
    </w:p>
    <w:p>
      <w:pPr>
        <w:spacing w:after="0" w:line="78" w:lineRule="exact"/>
        <w:rPr>
          <w:rFonts w:ascii="Times New Roman" w:cs="Times New Roman" w:eastAsia="Times New Roman" w:hAnsi="Times New Roman"/>
          <w:sz w:val="18"/>
          <w:szCs w:val="18"/>
          <w:color w:val="auto"/>
        </w:rPr>
      </w:pPr>
    </w:p>
    <w:p>
      <w:pPr>
        <w:ind w:left="1020" w:right="80" w:hanging="504"/>
        <w:spacing w:after="0" w:line="267"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Sales of Rental Equipment. </w:t>
      </w:r>
      <w:r>
        <w:rPr>
          <w:rFonts w:ascii="Times New Roman" w:cs="Times New Roman" w:eastAsia="Times New Roman" w:hAnsi="Times New Roman"/>
          <w:sz w:val="18"/>
          <w:szCs w:val="18"/>
          <w:color w:val="auto"/>
        </w:rPr>
        <w:t>Our rental equipment sales are generated primarily from sales from our rental fleet. Sales of our rental fleet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allow us to manage the size, quality, composition and age of our rental fleet, and provide us with a profitable distribution channel for the disposal of rental equipment.</w:t>
      </w:r>
    </w:p>
    <w:p>
      <w:pPr>
        <w:spacing w:after="0" w:line="64" w:lineRule="exact"/>
        <w:rPr>
          <w:rFonts w:ascii="Times New Roman" w:cs="Times New Roman" w:eastAsia="Times New Roman" w:hAnsi="Times New Roman"/>
          <w:sz w:val="18"/>
          <w:szCs w:val="18"/>
          <w:color w:val="auto"/>
        </w:rPr>
      </w:pPr>
    </w:p>
    <w:p>
      <w:pPr>
        <w:ind w:left="1020" w:right="120" w:hanging="504"/>
        <w:spacing w:after="0" w:line="283"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Sales of New Equipment. </w:t>
      </w:r>
      <w:r>
        <w:rPr>
          <w:rFonts w:ascii="Times New Roman" w:cs="Times New Roman" w:eastAsia="Times New Roman" w:hAnsi="Times New Roman"/>
          <w:sz w:val="18"/>
          <w:szCs w:val="18"/>
          <w:color w:val="auto"/>
        </w:rPr>
        <w:t>We sell equipment through a professional sales force. Sales of new equipment may be impacted by the availability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equipment from the manufacturer.</w:t>
      </w:r>
    </w:p>
    <w:p>
      <w:pPr>
        <w:spacing w:after="0" w:line="51" w:lineRule="exact"/>
        <w:rPr>
          <w:rFonts w:ascii="Times New Roman" w:cs="Times New Roman" w:eastAsia="Times New Roman" w:hAnsi="Times New Roman"/>
          <w:sz w:val="18"/>
          <w:szCs w:val="18"/>
          <w:color w:val="auto"/>
        </w:rPr>
      </w:pPr>
    </w:p>
    <w:p>
      <w:pPr>
        <w:ind w:left="1020" w:right="40" w:hanging="504"/>
        <w:spacing w:after="0" w:line="258"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Parts, Service and Other Revenues. </w:t>
      </w:r>
      <w:r>
        <w:rPr>
          <w:rFonts w:ascii="Times New Roman" w:cs="Times New Roman" w:eastAsia="Times New Roman" w:hAnsi="Times New Roman"/>
          <w:sz w:val="18"/>
          <w:szCs w:val="18"/>
          <w:color w:val="auto"/>
        </w:rPr>
        <w:t>Our parts business provides parts to our own rental fleet and sells parts for the equipment we sell.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order to provide timely parts and services support to our rental fleet as well as our customers, we maintain a parts inventory. Our services operation provides maintenance and repair services to our own rental fleet and for our customers’ equipment at our facilities as well as at our customers’ locations. Our other revenues relate to costs primarily related to ancillary charges associated with equipment maintenance and repair services.</w:t>
      </w:r>
    </w:p>
    <w:p>
      <w:pPr>
        <w:spacing w:after="0" w:line="3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Revenue Sources</w:t>
      </w:r>
    </w:p>
    <w:p>
      <w:pPr>
        <w:spacing w:after="0" w:line="121" w:lineRule="exact"/>
        <w:rPr>
          <w:sz w:val="20"/>
          <w:szCs w:val="20"/>
          <w:color w:val="auto"/>
        </w:rPr>
      </w:pPr>
    </w:p>
    <w:p>
      <w:pPr>
        <w:ind w:right="80" w:firstLine="374"/>
        <w:spacing w:after="0" w:line="260" w:lineRule="auto"/>
        <w:rPr>
          <w:sz w:val="20"/>
          <w:szCs w:val="20"/>
          <w:color w:val="auto"/>
        </w:rPr>
      </w:pPr>
      <w:r>
        <w:rPr>
          <w:rFonts w:ascii="Times New Roman" w:cs="Times New Roman" w:eastAsia="Times New Roman" w:hAnsi="Times New Roman"/>
          <w:sz w:val="18"/>
          <w:szCs w:val="18"/>
          <w:color w:val="auto"/>
        </w:rPr>
        <w:t>We generate our total revenues from our four business activities and our other equipment support activities. Equipment rentals accounts for the majority of our total revenues. For the six months ended June 30, 2024, of our total revenues, approximately 81.0% were attributable to equipment rentals, 11.0% were attributable to sales of rental equipment, 3.0% were attributable to sales of new equipment, 5.0% were attributable to parts, service and other revenues.</w:t>
      </w:r>
    </w:p>
    <w:p>
      <w:pPr>
        <w:spacing w:after="0" w:line="74" w:lineRule="exact"/>
        <w:rPr>
          <w:sz w:val="20"/>
          <w:szCs w:val="20"/>
          <w:color w:val="auto"/>
        </w:rPr>
      </w:pPr>
    </w:p>
    <w:p>
      <w:pPr>
        <w:ind w:right="80" w:firstLine="374"/>
        <w:spacing w:after="0" w:line="258" w:lineRule="auto"/>
        <w:rPr>
          <w:sz w:val="20"/>
          <w:szCs w:val="20"/>
          <w:color w:val="auto"/>
        </w:rPr>
      </w:pPr>
      <w:r>
        <w:rPr>
          <w:rFonts w:ascii="Times New Roman" w:cs="Times New Roman" w:eastAsia="Times New Roman" w:hAnsi="Times New Roman"/>
          <w:sz w:val="18"/>
          <w:szCs w:val="18"/>
          <w:color w:val="auto"/>
        </w:rPr>
        <w:t>The equipment that we rent, sell and service is principally used in the construction industry, as well as by companies for commercial and industrial uses such as plant maintenance and turnarounds, and in the petrochemical and energy sectors. As a result, our total revenues are affected by several factors including, but not limited to, the demand for and availability of rental equipment, rental rates and other competitive factors, the demand for used and new equipment, the level of construction and industrial activities, spending levels by our customers, adverse weather conditions, supply chain disruptions, the price of oil and other commodities and general economic conditions.</w:t>
      </w:r>
    </w:p>
    <w:p>
      <w:pPr>
        <w:spacing w:after="0" w:line="72" w:lineRule="exact"/>
        <w:rPr>
          <w:sz w:val="20"/>
          <w:szCs w:val="20"/>
          <w:color w:val="auto"/>
        </w:rPr>
      </w:pPr>
    </w:p>
    <w:p>
      <w:pPr>
        <w:jc w:val="both"/>
        <w:ind w:left="380" w:right="4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Equipment Rentals. </w:t>
      </w:r>
      <w:r>
        <w:rPr>
          <w:rFonts w:ascii="Times New Roman" w:cs="Times New Roman" w:eastAsia="Times New Roman" w:hAnsi="Times New Roman"/>
          <w:sz w:val="17"/>
          <w:szCs w:val="17"/>
          <w:color w:val="auto"/>
        </w:rPr>
        <w:t>Our rental operation primarily represents revenues from renting owned equipment of our core types of construction and industrial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equipment (aerial work platforms, earthmoving equipment, material handling equipment and other general and specialty lines). We primarily account for these rental contracts as operating leases. We recognize revenue from equipment rentals in the period earned, regardless of the timing of billing to customers. A rental contract includes rates for daily, weekly or monthly use, and rental revenues are earned on a daily basis as rental contracts remain outstanding. We have a well-maintained rental fleet and we actively manage the size, quality, age and composition of our rental fleet.</w:t>
      </w:r>
    </w:p>
    <w:p>
      <w:pPr>
        <w:spacing w:after="0" w:line="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 xml:space="preserve">Sales of Rental Equipment. </w:t>
      </w:r>
      <w:r>
        <w:rPr>
          <w:rFonts w:ascii="Times New Roman" w:cs="Times New Roman" w:eastAsia="Times New Roman" w:hAnsi="Times New Roman"/>
          <w:sz w:val="18"/>
          <w:szCs w:val="18"/>
          <w:color w:val="auto"/>
        </w:rPr>
        <w:t>We generate the majority of our rental equipment sales revenues by selling equipment from our rental fleet.</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Sales of New Equipment</w:t>
      </w:r>
      <w:r>
        <w:rPr>
          <w:rFonts w:ascii="Times New Roman" w:cs="Times New Roman" w:eastAsia="Times New Roman" w:hAnsi="Times New Roman"/>
          <w:sz w:val="18"/>
          <w:szCs w:val="18"/>
          <w:color w:val="auto"/>
        </w:rPr>
        <w:t>. Our sales of new equipment operation sells equipment across all of our core categories of equipment.</w:t>
      </w:r>
    </w:p>
    <w:p>
      <w:pPr>
        <w:spacing w:after="0" w:line="157" w:lineRule="exact"/>
        <w:rPr>
          <w:sz w:val="20"/>
          <w:szCs w:val="20"/>
          <w:color w:val="auto"/>
        </w:rPr>
      </w:pPr>
    </w:p>
    <w:p>
      <w:pPr>
        <w:jc w:val="both"/>
        <w:ind w:left="380" w:right="2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Parts, Service and Other. </w:t>
      </w:r>
      <w:r>
        <w:rPr>
          <w:rFonts w:ascii="Times New Roman" w:cs="Times New Roman" w:eastAsia="Times New Roman" w:hAnsi="Times New Roman"/>
          <w:sz w:val="18"/>
          <w:szCs w:val="18"/>
          <w:color w:val="auto"/>
        </w:rPr>
        <w:t>We primarily generate revenues from the sale of parts for equipment that we rent or sell. We primarily derive our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from maintenance and repair services for equipment that we rent or sell and from customers' owned equipment. Our other revenues relate primarily to ancillary charges associated with equipment maintenance and repair services.</w:t>
      </w: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6" w:right="379" w:bottom="1440" w:gutter="0" w:footer="0" w:header="0"/>
        </w:sectPr>
      </w:pPr>
    </w:p>
    <w:bookmarkStart w:id="23" w:name="page24"/>
    <w:bookmarkEnd w:id="23"/>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Principal Costs and Expenses</w:t>
      </w:r>
    </w:p>
    <w:p>
      <w:pPr>
        <w:spacing w:after="0" w:line="121" w:lineRule="exact"/>
        <w:rPr>
          <w:sz w:val="20"/>
          <w:szCs w:val="20"/>
          <w:color w:val="auto"/>
        </w:rPr>
      </w:pPr>
    </w:p>
    <w:p>
      <w:pPr>
        <w:ind w:right="40" w:firstLine="374"/>
        <w:spacing w:after="0" w:line="256" w:lineRule="auto"/>
        <w:rPr>
          <w:sz w:val="20"/>
          <w:szCs w:val="20"/>
          <w:color w:val="auto"/>
        </w:rPr>
      </w:pPr>
      <w:r>
        <w:rPr>
          <w:rFonts w:ascii="Times New Roman" w:cs="Times New Roman" w:eastAsia="Times New Roman" w:hAnsi="Times New Roman"/>
          <w:sz w:val="18"/>
          <w:szCs w:val="18"/>
          <w:color w:val="auto"/>
        </w:rPr>
        <w:t>Our largest expenses are rental expenses, rental depreciation, rental other expenses, the costs associated with the rental equipment we sell, the costs to purchase new equipment and costs associated with parts sales and services, all of which are included in cost of revenues. For the six months ended June 30, 2024, our total cost of revenues was $411.5 million. Our operating expenses consist principally of selling, general and administrative expenses (“SG&amp;A”). For the six months ended June 30, 2024, our SG&amp;A expenses were $226.1 million. In addition, we have interest expense primarily related to our debt instruments. Operating expenses and all other income and expense items below the gross profit line of our Condensed Consolidated Statements of Income are not generally allocated to our reportable segments.</w:t>
      </w:r>
    </w:p>
    <w:p>
      <w:pPr>
        <w:spacing w:after="0" w:line="145" w:lineRule="exact"/>
        <w:rPr>
          <w:sz w:val="20"/>
          <w:szCs w:val="20"/>
          <w:color w:val="auto"/>
        </w:rPr>
      </w:pPr>
    </w:p>
    <w:p>
      <w:pPr>
        <w:ind w:right="160" w:firstLine="374"/>
        <w:spacing w:after="0" w:line="281" w:lineRule="auto"/>
        <w:rPr>
          <w:sz w:val="20"/>
          <w:szCs w:val="20"/>
          <w:color w:val="auto"/>
        </w:rPr>
      </w:pPr>
      <w:r>
        <w:rPr>
          <w:rFonts w:ascii="Times New Roman" w:cs="Times New Roman" w:eastAsia="Times New Roman" w:hAnsi="Times New Roman"/>
          <w:sz w:val="18"/>
          <w:szCs w:val="18"/>
          <w:color w:val="auto"/>
        </w:rPr>
        <w:t>We are also subject to federal and state income taxes. Future income tax examinations by state and federal agencies could result in additional income tax expense based on potential outcomes of such matters.</w:t>
      </w:r>
    </w:p>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19" w:lineRule="exact"/>
        <w:rPr>
          <w:sz w:val="20"/>
          <w:szCs w:val="20"/>
          <w:color w:val="auto"/>
        </w:rPr>
      </w:pPr>
    </w:p>
    <w:p>
      <w:pPr>
        <w:ind w:left="3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Rental Depreciation. </w:t>
      </w:r>
      <w:r>
        <w:rPr>
          <w:rFonts w:ascii="Times New Roman" w:cs="Times New Roman" w:eastAsia="Times New Roman" w:hAnsi="Times New Roman"/>
          <w:sz w:val="18"/>
          <w:szCs w:val="18"/>
          <w:color w:val="auto"/>
        </w:rPr>
        <w:t>Depreciation of rental equipment represents the depreciation costs attributable to rental equipment. Estimated useful lives vary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upon type of equipment. Generally, we depreciate aerial work platforms over a ten year estimated useful life, earthmoving equipment over a five year estimated useful life with a 25% salvage value, and material handling equipment over a seven year estimated useful life. Attachments and other smaller type equipment are depreciated over a three year estimated useful life. We periodically evaluate the appropriateness of remaining depreciable lives assigned to rental equipment.</w:t>
      </w:r>
    </w:p>
    <w:p>
      <w:pPr>
        <w:spacing w:after="0" w:line="115" w:lineRule="exact"/>
        <w:rPr>
          <w:sz w:val="20"/>
          <w:szCs w:val="20"/>
          <w:color w:val="auto"/>
        </w:rPr>
      </w:pPr>
    </w:p>
    <w:p>
      <w:pPr>
        <w:ind w:left="380" w:right="640"/>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Rental Expense. </w:t>
      </w:r>
      <w:r>
        <w:rPr>
          <w:rFonts w:ascii="Times New Roman" w:cs="Times New Roman" w:eastAsia="Times New Roman" w:hAnsi="Times New Roman"/>
          <w:sz w:val="18"/>
          <w:szCs w:val="18"/>
          <w:color w:val="auto"/>
        </w:rPr>
        <w:t>Rental expense represents the costs associated with rental equipment, including, among other things, the cost of repairing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maintaining our rental equipment, property taxes on our fleet and other miscellaneous costs of owning rental equipment.</w:t>
      </w:r>
    </w:p>
    <w:p>
      <w:pPr>
        <w:spacing w:after="0" w:line="92" w:lineRule="exact"/>
        <w:rPr>
          <w:sz w:val="20"/>
          <w:szCs w:val="20"/>
          <w:color w:val="auto"/>
        </w:rPr>
      </w:pPr>
    </w:p>
    <w:p>
      <w:pPr>
        <w:ind w:left="380" w:right="580"/>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Rental Other. </w:t>
      </w:r>
      <w:r>
        <w:rPr>
          <w:rFonts w:ascii="Times New Roman" w:cs="Times New Roman" w:eastAsia="Times New Roman" w:hAnsi="Times New Roman"/>
          <w:sz w:val="18"/>
          <w:szCs w:val="18"/>
          <w:color w:val="auto"/>
        </w:rPr>
        <w:t>Rental other expenses consist primarily of equipment support activities that we provide our customers in connection with renting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such as hauling services, damage waiver policies, environmental fees and other recovery fees.</w:t>
      </w:r>
    </w:p>
    <w:p>
      <w:pPr>
        <w:spacing w:after="0" w:line="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 xml:space="preserve">Sales of Rental Equipment. </w:t>
      </w:r>
      <w:r>
        <w:rPr>
          <w:rFonts w:ascii="Times New Roman" w:cs="Times New Roman" w:eastAsia="Times New Roman" w:hAnsi="Times New Roman"/>
          <w:sz w:val="18"/>
          <w:szCs w:val="18"/>
          <w:color w:val="auto"/>
        </w:rPr>
        <w:t>Cost of rental equipment sold primarily consists of the net book value of rental equipment sold from our rental fleet.</w:t>
      </w:r>
    </w:p>
    <w:p>
      <w:pPr>
        <w:spacing w:after="0" w:line="15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 xml:space="preserve">Sales of New Equipment. </w:t>
      </w:r>
      <w:r>
        <w:rPr>
          <w:rFonts w:ascii="Times New Roman" w:cs="Times New Roman" w:eastAsia="Times New Roman" w:hAnsi="Times New Roman"/>
          <w:sz w:val="18"/>
          <w:szCs w:val="18"/>
          <w:color w:val="auto"/>
        </w:rPr>
        <w:t>Cost of new equipment sold primarily consists of the equipment cost of the new equipment that is sold.</w:t>
      </w:r>
    </w:p>
    <w:p>
      <w:pPr>
        <w:spacing w:after="0" w:line="157" w:lineRule="exact"/>
        <w:rPr>
          <w:sz w:val="20"/>
          <w:szCs w:val="20"/>
          <w:color w:val="auto"/>
        </w:rPr>
      </w:pPr>
    </w:p>
    <w:p>
      <w:pPr>
        <w:ind w:left="380" w:right="1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Parts, Service and Other. </w:t>
      </w:r>
      <w:r>
        <w:rPr>
          <w:rFonts w:ascii="Times New Roman" w:cs="Times New Roman" w:eastAsia="Times New Roman" w:hAnsi="Times New Roman"/>
          <w:sz w:val="18"/>
          <w:szCs w:val="18"/>
          <w:color w:val="auto"/>
        </w:rPr>
        <w:t>Cost of parts sales represents costs attributable to the sale of parts used in the maintenance and repair of equipment on-rent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customers and directly to customers for their owned equipment. Cost of services revenues represents costs attributable to service provided for the maintenance and repair of equipment on-rent by customers and of customer-owned equipment. Our other expenses include costs associated with ancillary charges associated with equipment maintenance and repair services</w:t>
      </w:r>
      <w:r>
        <w:rPr>
          <w:rFonts w:ascii="Times New Roman" w:cs="Times New Roman" w:eastAsia="Times New Roman" w:hAnsi="Times New Roman"/>
          <w:sz w:val="18"/>
          <w:szCs w:val="18"/>
          <w:i w:val="1"/>
          <w:iCs w:val="1"/>
          <w:color w:val="auto"/>
        </w:rPr>
        <w:t>.</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ind w:right="280" w:firstLine="374"/>
        <w:spacing w:after="0" w:line="260" w:lineRule="auto"/>
        <w:rPr>
          <w:sz w:val="20"/>
          <w:szCs w:val="20"/>
          <w:color w:val="auto"/>
        </w:rPr>
      </w:pPr>
      <w:r>
        <w:rPr>
          <w:rFonts w:ascii="Times New Roman" w:cs="Times New Roman" w:eastAsia="Times New Roman" w:hAnsi="Times New Roman"/>
          <w:sz w:val="18"/>
          <w:szCs w:val="18"/>
          <w:color w:val="auto"/>
        </w:rPr>
        <w:t>Our SG&amp;A expenses include sales and marketing expenses, payroll and related benefit costs, including stock compensation expense, insurance expenses, professional fees, rent and other occupancy costs, property and other taxes, administrative overhead, acquisition costs, depreciation associated with property and equipment (other than rental equipment) and amortization expense associated with intangible assets. These expenses are not generally allocated to our reportable segments.</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right="120" w:firstLine="374"/>
        <w:spacing w:after="0" w:line="260" w:lineRule="auto"/>
        <w:rPr>
          <w:sz w:val="20"/>
          <w:szCs w:val="20"/>
          <w:color w:val="auto"/>
        </w:rPr>
      </w:pPr>
      <w:r>
        <w:rPr>
          <w:rFonts w:ascii="Times New Roman" w:cs="Times New Roman" w:eastAsia="Times New Roman" w:hAnsi="Times New Roman"/>
          <w:sz w:val="18"/>
          <w:szCs w:val="18"/>
          <w:color w:val="auto"/>
        </w:rPr>
        <w:t>Interest expense for the periods presented represents the interest on our outstanding debt instruments, including aggregate amounts outstanding under our revolving $750.0 million senior secured credit facility (the “Credit Facility”), our $1.25 billion, 3.875% senior unsecured notes due 2028 (the “Senior Unsecured Notes”) and finance lease obligations. Non-cash interest expense related to the amortization cost of deferred financing costs and the accretion/amortization of note discount/premium are also included in interest expense.</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Principal Cash Flows</w:t>
      </w:r>
    </w:p>
    <w:p>
      <w:pPr>
        <w:spacing w:after="0" w:line="121" w:lineRule="exact"/>
        <w:rPr>
          <w:sz w:val="20"/>
          <w:szCs w:val="20"/>
          <w:color w:val="auto"/>
        </w:rPr>
      </w:pPr>
    </w:p>
    <w:p>
      <w:pPr>
        <w:ind w:right="60" w:firstLine="374"/>
        <w:spacing w:after="0" w:line="258" w:lineRule="auto"/>
        <w:rPr>
          <w:sz w:val="20"/>
          <w:szCs w:val="20"/>
          <w:color w:val="auto"/>
        </w:rPr>
      </w:pPr>
      <w:r>
        <w:rPr>
          <w:rFonts w:ascii="Times New Roman" w:cs="Times New Roman" w:eastAsia="Times New Roman" w:hAnsi="Times New Roman"/>
          <w:sz w:val="18"/>
          <w:szCs w:val="18"/>
          <w:color w:val="auto"/>
        </w:rPr>
        <w:t>We generate cash primarily from our operating activities and, historically, we have used cash flows from operating activities and available borrowings under the Credit Facility as the primary sources of funds to purchase new equipment and to fund working capital and capital expenditures, growth and expansion opportunities (see also “Liquidity and Capital Resources” below). The management of our working capital is closely tied to operating cash flows, as working capital can be impacted by, among other things, our accounts receivable activities, the level of equipment inventory, which may increase or decrease in response to current and expected demand, and the size and timing of our trade accounts payable payment cycles.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24" w:name="page25"/>
    <w:bookmarkEnd w:id="24"/>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Rental Fleet</w:t>
      </w:r>
    </w:p>
    <w:p>
      <w:pPr>
        <w:spacing w:after="0" w:line="121" w:lineRule="exact"/>
        <w:rPr>
          <w:sz w:val="20"/>
          <w:szCs w:val="20"/>
          <w:color w:val="auto"/>
        </w:rPr>
      </w:pPr>
    </w:p>
    <w:p>
      <w:pPr>
        <w:ind w:right="20" w:firstLine="374"/>
        <w:spacing w:after="0" w:line="288" w:lineRule="auto"/>
        <w:rPr>
          <w:sz w:val="20"/>
          <w:szCs w:val="20"/>
          <w:color w:val="auto"/>
        </w:rPr>
      </w:pPr>
      <w:r>
        <w:rPr>
          <w:rFonts w:ascii="Times New Roman" w:cs="Times New Roman" w:eastAsia="Times New Roman" w:hAnsi="Times New Roman"/>
          <w:sz w:val="17"/>
          <w:szCs w:val="17"/>
          <w:color w:val="auto"/>
        </w:rPr>
        <w:t>A substantial portion of our overall value is in our rental fleet equipment. The net book value of our rental equipment at June 30, 2024 was $1.9 billion, or approximately 67.0% of our total assets. Our rental fleet as of June 30, 2024 consisted of 61,543 units having an original acquisition cost (which we define as the cost originally paid to manufacturers) of $2.9 billion. As of June 30, 2024, our rental fleet composition was as follows (dollars in millions):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 of</w:t>
            </w: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vMerge w:val="restart"/>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Original</w:t>
            </w:r>
          </w:p>
        </w:tc>
        <w:tc>
          <w:tcPr>
            <w:tcW w:w="220" w:type="dxa"/>
            <w:vAlign w:val="bottom"/>
          </w:tcPr>
          <w:p>
            <w:pPr>
              <w:spacing w:after="0"/>
              <w:rPr>
                <w:sz w:val="13"/>
                <w:szCs w:val="13"/>
                <w:color w:val="auto"/>
              </w:rPr>
            </w:pPr>
          </w:p>
        </w:tc>
        <w:tc>
          <w:tcPr>
            <w:tcW w:w="1480" w:type="dxa"/>
            <w:vAlign w:val="bottom"/>
            <w:gridSpan w:val="2"/>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 of</w:t>
            </w:r>
          </w:p>
        </w:tc>
        <w:tc>
          <w:tcPr>
            <w:tcW w:w="13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2"/>
          </w:tcPr>
          <w:p>
            <w:pPr>
              <w:jc w:val="center"/>
              <w:ind w:right="150"/>
              <w:spacing w:after="0" w:line="149" w:lineRule="exact"/>
              <w:rPr>
                <w:sz w:val="20"/>
                <w:szCs w:val="20"/>
                <w:color w:val="auto"/>
              </w:rPr>
            </w:pPr>
            <w:r>
              <w:rPr>
                <w:rFonts w:ascii="Times New Roman" w:cs="Times New Roman" w:eastAsia="Times New Roman" w:hAnsi="Times New Roman"/>
                <w:sz w:val="14"/>
                <w:szCs w:val="14"/>
                <w:b w:val="1"/>
                <w:bCs w:val="1"/>
                <w:color w:val="auto"/>
              </w:rPr>
              <w:t>Original</w:t>
            </w: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126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60" w:type="dxa"/>
            <w:vAlign w:val="bottom"/>
          </w:tcPr>
          <w:p>
            <w:pPr>
              <w:spacing w:after="0"/>
              <w:rPr>
                <w:sz w:val="12"/>
                <w:szCs w:val="12"/>
                <w:color w:val="auto"/>
              </w:rPr>
            </w:pPr>
          </w:p>
        </w:tc>
        <w:tc>
          <w:tcPr>
            <w:tcW w:w="82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220" w:type="dxa"/>
            <w:vAlign w:val="bottom"/>
          </w:tcPr>
          <w:p>
            <w:pPr>
              <w:spacing w:after="0"/>
              <w:rPr>
                <w:sz w:val="12"/>
                <w:szCs w:val="12"/>
                <w:color w:val="auto"/>
              </w:rPr>
            </w:pPr>
          </w:p>
        </w:tc>
        <w:tc>
          <w:tcPr>
            <w:tcW w:w="1480" w:type="dxa"/>
            <w:vAlign w:val="bottom"/>
            <w:gridSpan w:val="2"/>
          </w:tcPr>
          <w:p>
            <w:pPr>
              <w:jc w:val="center"/>
              <w:ind w:right="13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13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Age in</w:t>
            </w:r>
          </w:p>
        </w:tc>
        <w:tc>
          <w:tcPr>
            <w:tcW w:w="0" w:type="dxa"/>
            <w:vAlign w:val="bottom"/>
          </w:tcPr>
          <w:p>
            <w:pPr>
              <w:spacing w:after="0"/>
              <w:rPr>
                <w:sz w:val="1"/>
                <w:szCs w:val="1"/>
                <w:color w:val="auto"/>
              </w:rPr>
            </w:pPr>
          </w:p>
        </w:tc>
      </w:tr>
      <w:tr>
        <w:trPr>
          <w:trHeight w:val="187"/>
        </w:trPr>
        <w:tc>
          <w:tcPr>
            <w:tcW w:w="38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6"/>
                <w:szCs w:val="16"/>
                <w:color w:val="auto"/>
              </w:rPr>
            </w:pPr>
          </w:p>
        </w:tc>
        <w:tc>
          <w:tcPr>
            <w:tcW w:w="1480" w:type="dxa"/>
            <w:vAlign w:val="bottom"/>
            <w:gridSpan w:val="2"/>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0" w:type="dxa"/>
            <w:vAlign w:val="bottom"/>
          </w:tcPr>
          <w:p>
            <w:pPr>
              <w:spacing w:after="0"/>
              <w:rPr>
                <w:sz w:val="1"/>
                <w:szCs w:val="1"/>
                <w:color w:val="auto"/>
              </w:rPr>
            </w:pPr>
          </w:p>
        </w:tc>
      </w:tr>
      <w:tr>
        <w:trPr>
          <w:trHeight w:val="232"/>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Aerial Work Platforms</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28,130</w:t>
            </w:r>
          </w:p>
        </w:tc>
        <w:tc>
          <w:tcPr>
            <w:tcW w:w="26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957.7</w:t>
            </w:r>
          </w:p>
        </w:tc>
        <w:tc>
          <w:tcPr>
            <w:tcW w:w="220" w:type="dxa"/>
            <w:vAlign w:val="bottom"/>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Earthmoving</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8,494</w:t>
            </w: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13.8 %</w:t>
            </w: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738.7</w:t>
            </w:r>
          </w:p>
        </w:tc>
        <w:tc>
          <w:tcPr>
            <w:tcW w:w="17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25.6 %</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Material Handling Equipment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10,466</w:t>
            </w: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17.0 %</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856.3</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29.6 %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14,453</w:t>
            </w: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23.5 %</w:t>
            </w: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335.5</w:t>
            </w:r>
          </w:p>
        </w:tc>
        <w:tc>
          <w:tcPr>
            <w:tcW w:w="17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8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61,543</w:t>
            </w: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99"/>
              </w:rPr>
              <w:t>100.0 %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2,888.2</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3267075</wp:posOffset>
            </wp:positionH>
            <wp:positionV relativeFrom="paragraph">
              <wp:posOffset>-187960</wp:posOffset>
            </wp:positionV>
            <wp:extent cx="768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4234815</wp:posOffset>
            </wp:positionH>
            <wp:positionV relativeFrom="paragraph">
              <wp:posOffset>-187960</wp:posOffset>
            </wp:positionV>
            <wp:extent cx="768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-187960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-187960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Determining the optimal age and mix for our rental fleet equipment is subjective and requires considerable estimates and judgments by management. We constantly evaluate the mix, age and quality of the equipment in our rental fleet in response to current economic and market conditions, competition and customer demand as part of our fleet management strategy. The mix and age of our rental fleet, as well as our cash flows, are impacted by sales of rental equipment, which are influenced by used equipment pricing at the retail and secondary auction market levels, the demand for our rental fleet, the availability of new equipment and the capital expenditures to acquire fleet. In making equipment acquisition decisions, we evaluate current economic and market conditions, competition, manufacturers’ availability, pricing and return on investment over the estimated useful life of the specific equipment, among other things. As a result of our in-house service capabilities and extensive maintenance program, our rental fleet is well-maintained.</w:t>
      </w:r>
    </w:p>
    <w:p>
      <w:pPr>
        <w:spacing w:after="0" w:line="146" w:lineRule="exact"/>
        <w:rPr>
          <w:sz w:val="20"/>
          <w:szCs w:val="20"/>
          <w:color w:val="auto"/>
        </w:rPr>
      </w:pPr>
    </w:p>
    <w:p>
      <w:pPr>
        <w:ind w:right="100" w:firstLine="374"/>
        <w:spacing w:after="0" w:line="288" w:lineRule="auto"/>
        <w:rPr>
          <w:sz w:val="20"/>
          <w:szCs w:val="20"/>
          <w:color w:val="auto"/>
        </w:rPr>
      </w:pPr>
      <w:r>
        <w:rPr>
          <w:rFonts w:ascii="Times New Roman" w:cs="Times New Roman" w:eastAsia="Times New Roman" w:hAnsi="Times New Roman"/>
          <w:sz w:val="17"/>
          <w:szCs w:val="17"/>
          <w:color w:val="auto"/>
        </w:rPr>
        <w:t>The original acquisition cost of our gross rental fleet increased by approximately $97.3 million, or 3.5%, for the six months ended June 30, 2024. The average age of our rental fleet equipment increased by approximately 0.3 months for the six months ended June 30, 2024. Our average rental rates for the six months ended June 30, 2024 were approximately 2.4% higher than last year (see further discussion on rental rates in “Results of Operations” below).</w:t>
      </w:r>
    </w:p>
    <w:p>
      <w:pPr>
        <w:spacing w:after="0" w:line="132" w:lineRule="exact"/>
        <w:rPr>
          <w:sz w:val="20"/>
          <w:szCs w:val="20"/>
          <w:color w:val="auto"/>
        </w:rPr>
      </w:pPr>
    </w:p>
    <w:p>
      <w:pPr>
        <w:ind w:right="460" w:firstLine="374"/>
        <w:spacing w:after="0" w:line="281" w:lineRule="auto"/>
        <w:rPr>
          <w:sz w:val="20"/>
          <w:szCs w:val="20"/>
          <w:color w:val="auto"/>
        </w:rPr>
      </w:pPr>
      <w:r>
        <w:rPr>
          <w:rFonts w:ascii="Times New Roman" w:cs="Times New Roman" w:eastAsia="Times New Roman" w:hAnsi="Times New Roman"/>
          <w:sz w:val="18"/>
          <w:szCs w:val="18"/>
          <w:color w:val="auto"/>
        </w:rPr>
        <w:t>The rental equipment mix among our core product lines for the six months ended June 30, 2024 was largely consistent with that of the prior year comparable period as a percentage of total units available for rent and as a percentage of original acquisition cost.</w:t>
      </w:r>
    </w:p>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Principal External Factors that Affect our Businesses</w:t>
      </w:r>
    </w:p>
    <w:p>
      <w:pPr>
        <w:spacing w:after="0" w:line="121" w:lineRule="exact"/>
        <w:rPr>
          <w:sz w:val="20"/>
          <w:szCs w:val="20"/>
          <w:color w:val="auto"/>
        </w:rPr>
      </w:pPr>
    </w:p>
    <w:p>
      <w:pPr>
        <w:ind w:right="320" w:firstLine="374"/>
        <w:spacing w:after="0" w:line="265" w:lineRule="auto"/>
        <w:rPr>
          <w:sz w:val="20"/>
          <w:szCs w:val="20"/>
          <w:color w:val="auto"/>
        </w:rPr>
      </w:pPr>
      <w:r>
        <w:rPr>
          <w:rFonts w:ascii="Times New Roman" w:cs="Times New Roman" w:eastAsia="Times New Roman" w:hAnsi="Times New Roman"/>
          <w:sz w:val="18"/>
          <w:szCs w:val="18"/>
          <w:color w:val="auto"/>
        </w:rPr>
        <w:t>We are subject to a number of external factors that may adversely affect our businesses. These factors, and other factors, are discussed below and under the heading “Forward-Looking Statements,” and in Item 1A—Risk Factors in our Annual Report on Form 10-K for the year ended December 31, 2023.</w:t>
      </w:r>
    </w:p>
    <w:p>
      <w:pPr>
        <w:spacing w:after="0" w:line="67" w:lineRule="exact"/>
        <w:rPr>
          <w:sz w:val="20"/>
          <w:szCs w:val="20"/>
          <w:color w:val="auto"/>
        </w:rPr>
      </w:pPr>
    </w:p>
    <w:p>
      <w:pPr>
        <w:ind w:left="1020" w:right="20" w:hanging="504"/>
        <w:spacing w:after="0" w:line="255"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Economic downturns. </w:t>
      </w:r>
      <w:r>
        <w:rPr>
          <w:rFonts w:ascii="Times New Roman" w:cs="Times New Roman" w:eastAsia="Times New Roman" w:hAnsi="Times New Roman"/>
          <w:sz w:val="18"/>
          <w:szCs w:val="18"/>
          <w:color w:val="auto"/>
        </w:rPr>
        <w:t>The demand for our products is dependent on the general economy, which is in turn affected by geopolitical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stability of the global credit markets, inflationary pressures, increasing interest rates, the conditions of the industries in which our customers operate or serve, and other factors. Downturns in the general economy or in the construction and industrial markets, as well as adverse credit market conditions, can cause demand for our products to materially decrease. Our operations are also impacted by global economic conditions, including inflation, increased interest rates and supply chain constraints. We have experienced and may continue to experience inflationary pressures, including but not limited to cost increases related to equipment, fuel and hauling expenses that we attempt to mitigate through pricing and productivity initiatives.</w:t>
      </w:r>
    </w:p>
    <w:p>
      <w:pPr>
        <w:spacing w:after="0" w:line="78" w:lineRule="exact"/>
        <w:rPr>
          <w:rFonts w:ascii="Times New Roman" w:cs="Times New Roman" w:eastAsia="Times New Roman" w:hAnsi="Times New Roman"/>
          <w:sz w:val="18"/>
          <w:szCs w:val="18"/>
          <w:color w:val="auto"/>
        </w:rPr>
      </w:pPr>
    </w:p>
    <w:p>
      <w:pPr>
        <w:ind w:left="1020" w:right="60" w:hanging="503"/>
        <w:spacing w:after="0" w:line="261"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Spending levels by customers. </w:t>
      </w:r>
      <w:r>
        <w:rPr>
          <w:rFonts w:ascii="Times New Roman" w:cs="Times New Roman" w:eastAsia="Times New Roman" w:hAnsi="Times New Roman"/>
          <w:sz w:val="18"/>
          <w:szCs w:val="18"/>
          <w:color w:val="auto"/>
        </w:rPr>
        <w:t>Rentals and sales of equipment to the construction industry and to industrial companies constitute a significant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portion of our total revenues. As a result, we depend upon customers in these businesses and their ability and willingness to rent or buy equipment. Accordingly, our business is impacted by fluctuations in customers’ spending levels and seasonality, as discussed in Item 1— Business in our Annual Report on Form 10-K for the year ended December 31, 2023.</w:t>
      </w:r>
    </w:p>
    <w:p>
      <w:pPr>
        <w:spacing w:after="0" w:line="70" w:lineRule="exact"/>
        <w:rPr>
          <w:rFonts w:ascii="Times New Roman" w:cs="Times New Roman" w:eastAsia="Times New Roman" w:hAnsi="Times New Roman"/>
          <w:sz w:val="18"/>
          <w:szCs w:val="18"/>
          <w:color w:val="auto"/>
        </w:rPr>
      </w:pPr>
    </w:p>
    <w:p>
      <w:pPr>
        <w:ind w:left="1020" w:right="360" w:hanging="503"/>
        <w:spacing w:after="0" w:line="289" w:lineRule="auto"/>
        <w:tabs>
          <w:tab w:leader="none" w:pos="10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Adverse weather. </w:t>
      </w:r>
      <w:r>
        <w:rPr>
          <w:rFonts w:ascii="Times New Roman" w:cs="Times New Roman" w:eastAsia="Times New Roman" w:hAnsi="Times New Roman"/>
          <w:sz w:val="17"/>
          <w:szCs w:val="17"/>
          <w:color w:val="auto"/>
        </w:rPr>
        <w:t>Adverse weather in a geographic region in which we operate may depress demand for equipment in that region.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equipment is primarily used outdoors and, as a result, prolonged adverse weather conditions may prohibit our customers from continuing their work projects. Adverse weather also has a seasonal impact in parts of our Intermountain region, particularly in the winter months.</w:t>
      </w:r>
    </w:p>
    <w:p>
      <w:pPr>
        <w:spacing w:after="0" w:line="48" w:lineRule="exact"/>
        <w:rPr>
          <w:rFonts w:ascii="Times New Roman" w:cs="Times New Roman" w:eastAsia="Times New Roman" w:hAnsi="Times New Roman"/>
          <w:sz w:val="17"/>
          <w:szCs w:val="17"/>
          <w:color w:val="auto"/>
        </w:rPr>
      </w:pPr>
    </w:p>
    <w:p>
      <w:pPr>
        <w:ind w:left="1020" w:right="400" w:hanging="503"/>
        <w:spacing w:after="0" w:line="283"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Regional and Industry-Specific Activity and Trends. </w:t>
      </w:r>
      <w:r>
        <w:rPr>
          <w:rFonts w:ascii="Times New Roman" w:cs="Times New Roman" w:eastAsia="Times New Roman" w:hAnsi="Times New Roman"/>
          <w:sz w:val="18"/>
          <w:szCs w:val="18"/>
          <w:color w:val="auto"/>
        </w:rPr>
        <w:t>Expenditures by our customers may be impacted by the overall level of construction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activity in the markets and regions in which they operate, the price of oil and other commodities, the price</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25" w:name="page26"/>
    <w:bookmarkEnd w:id="25"/>
    <w:p>
      <w:pPr>
        <w:ind w:left="1020" w:right="180"/>
        <w:spacing w:after="0" w:line="265" w:lineRule="auto"/>
        <w:rPr>
          <w:sz w:val="20"/>
          <w:szCs w:val="20"/>
          <w:color w:val="auto"/>
        </w:rPr>
      </w:pPr>
      <w:r>
        <w:rPr>
          <w:rFonts w:ascii="Times New Roman" w:cs="Times New Roman" w:eastAsia="Times New Roman" w:hAnsi="Times New Roman"/>
          <w:sz w:val="18"/>
          <w:szCs w:val="18"/>
          <w:color w:val="auto"/>
        </w:rPr>
        <w:t>of materials, supply chain disruptions, labor shortages, interest rates and other general economic trends impacting the industries in which our customers and end users operate. As our customers adjust their activity and spending levels in response to these external factors, our rentals and sales of equipment to those customers will be impacted.</w:t>
      </w:r>
    </w:p>
    <w:p>
      <w:pPr>
        <w:spacing w:after="0" w:line="67" w:lineRule="exact"/>
        <w:rPr>
          <w:sz w:val="20"/>
          <w:szCs w:val="20"/>
          <w:color w:val="auto"/>
        </w:rPr>
      </w:pPr>
    </w:p>
    <w:p>
      <w:pPr>
        <w:ind w:left="1020" w:right="220" w:hanging="503"/>
        <w:spacing w:after="0" w:line="254"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Climate Change and ESG Regulations. </w:t>
      </w:r>
      <w:r>
        <w:rPr>
          <w:rFonts w:ascii="Times New Roman" w:cs="Times New Roman" w:eastAsia="Times New Roman" w:hAnsi="Times New Roman"/>
          <w:sz w:val="18"/>
          <w:szCs w:val="18"/>
          <w:color w:val="auto"/>
        </w:rPr>
        <w:t>Our facilities and operations are subject to comprehensive and frequently changing federal, state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local environmental and occupational health and safety laws. We have made, and will continue to make, capital and other expenditures to comply with environmental requirements. While we do not currently anticipate any material adverse effect on our business, financial condition or competitive position as a result of our efforts to comply with such requirements, new or more stringent laws or regulations regarding in environmental and worker health and safety laws could affect our operations and increase our operational and compliance expenditures. It is also possible that liabilities from newly-discovered non-compliance or contamination could have a material adverse effect on our business, financial condition and results of operations. For a more detailed discussion of such factors, see Item 1—Business and Item 1A—Risk Factors in our Annual Report on Form 10-K for the year ended December 31,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560" w:firstLine="374"/>
        <w:spacing w:after="0" w:line="281" w:lineRule="auto"/>
        <w:rPr>
          <w:sz w:val="20"/>
          <w:szCs w:val="20"/>
          <w:color w:val="auto"/>
        </w:rPr>
      </w:pPr>
      <w:r>
        <w:rPr>
          <w:rFonts w:ascii="Times New Roman" w:cs="Times New Roman" w:eastAsia="Times New Roman" w:hAnsi="Times New Roman"/>
          <w:sz w:val="18"/>
          <w:szCs w:val="18"/>
          <w:color w:val="auto"/>
        </w:rPr>
        <w:t>The tables included in the period-to-period comparisons below provide summaries of our revenues and gross profits for the three and six months ended June 30, 2024 and 2023. The period-to-period comparisons of our financial results are not necessarily indicative of future results.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2024 Compared to the Three Months Ended June 30, 2023</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60" w:lineRule="exact"/>
        <w:rPr>
          <w:sz w:val="20"/>
          <w:szCs w:val="20"/>
          <w:color w:val="auto"/>
        </w:rPr>
      </w:pPr>
    </w:p>
    <w:tbl>
      <w:tblPr>
        <w:tblLayout w:type="fixed"/>
        <w:tblInd w:w="5820" w:type="dxa"/>
        <w:tblCellMar>
          <w:top w:w="0" w:type="dxa"/>
          <w:left w:w="0" w:type="dxa"/>
          <w:bottom w:w="0" w:type="dxa"/>
          <w:right w:w="0" w:type="dxa"/>
        </w:tblCellMar>
      </w:tblPr>
      <w:tr>
        <w:trPr>
          <w:trHeight w:val="175"/>
        </w:trPr>
        <w:tc>
          <w:tcPr>
            <w:tcW w:w="2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8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2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8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80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8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Dollar</w:t>
            </w:r>
          </w:p>
        </w:tc>
        <w:tc>
          <w:tcPr>
            <w:tcW w:w="102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31"/>
        </w:trPr>
        <w:tc>
          <w:tcPr>
            <w:tcW w:w="8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8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80" w:type="dxa"/>
            <w:vAlign w:val="bottom"/>
          </w:tcPr>
          <w:p>
            <w:pPr>
              <w:jc w:val="center"/>
              <w:ind w:left="48"/>
              <w:spacing w:after="0" w:line="131"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020" w:type="dxa"/>
            <w:vAlign w:val="bottom"/>
          </w:tcPr>
          <w:p>
            <w:pPr>
              <w:jc w:val="center"/>
              <w:ind w:left="268"/>
              <w:spacing w:after="0" w:line="131"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88"/>
        </w:trPr>
        <w:tc>
          <w:tcPr>
            <w:tcW w:w="880" w:type="dxa"/>
            <w:vAlign w:val="bottom"/>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148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2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3695700</wp:posOffset>
            </wp:positionH>
            <wp:positionV relativeFrom="paragraph">
              <wp:posOffset>-635</wp:posOffset>
            </wp:positionV>
            <wp:extent cx="337375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73755" cy="8255"/>
                    </a:xfrm>
                    <a:prstGeom prst="rect">
                      <a:avLst/>
                    </a:prstGeom>
                    <a:noFill/>
                  </pic:spPr>
                </pic:pic>
              </a:graphicData>
            </a:graphic>
          </wp:anchor>
        </w:drawing>
      </w:r>
    </w:p>
    <w:p>
      <w:pPr>
        <w:ind w:left="74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543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Revenues: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Equipment rentals</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Rentals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275,473</w:t>
            </w:r>
          </w:p>
        </w:tc>
        <w:tc>
          <w:tcPr>
            <w:tcW w:w="5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258,723</w:t>
            </w:r>
          </w:p>
        </w:tc>
        <w:tc>
          <w:tcPr>
            <w:tcW w:w="6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16,750</w:t>
            </w:r>
          </w:p>
        </w:tc>
        <w:tc>
          <w:tcPr>
            <w:tcW w:w="220" w:type="dxa"/>
            <w:vAlign w:val="bottom"/>
          </w:tcPr>
          <w:p>
            <w:pPr>
              <w:spacing w:after="0"/>
              <w:rPr>
                <w:sz w:val="21"/>
                <w:szCs w:val="21"/>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56"/>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Rentals other</w:t>
            </w:r>
          </w:p>
        </w:tc>
        <w:tc>
          <w:tcPr>
            <w:tcW w:w="3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36,883</w:t>
            </w: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32,736</w:t>
            </w: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4,147</w:t>
            </w:r>
          </w:p>
        </w:tc>
        <w:tc>
          <w:tcPr>
            <w:tcW w:w="220" w:type="dxa"/>
            <w:vAlign w:val="bottom"/>
          </w:tcPr>
          <w:p>
            <w:pPr>
              <w:spacing w:after="0"/>
              <w:rPr>
                <w:sz w:val="22"/>
                <w:szCs w:val="22"/>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12.7 %</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480"/>
              <w:spacing w:after="0"/>
              <w:rPr>
                <w:sz w:val="20"/>
                <w:szCs w:val="20"/>
                <w:color w:val="auto"/>
              </w:rPr>
            </w:pPr>
            <w:r>
              <w:rPr>
                <w:rFonts w:ascii="Times New Roman" w:cs="Times New Roman" w:eastAsia="Times New Roman" w:hAnsi="Times New Roman"/>
                <w:sz w:val="18"/>
                <w:szCs w:val="18"/>
                <w:color w:val="auto"/>
              </w:rPr>
              <w:t>Total equipment rentals</w:t>
            </w: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82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312,356</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291,459</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20,897</w:t>
            </w:r>
          </w:p>
        </w:tc>
        <w:tc>
          <w:tcPr>
            <w:tcW w:w="22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7.2 %</w:t>
            </w:r>
          </w:p>
        </w:tc>
        <w:tc>
          <w:tcPr>
            <w:tcW w:w="0" w:type="dxa"/>
            <w:vAlign w:val="bottom"/>
          </w:tcPr>
          <w:p>
            <w:pPr>
              <w:spacing w:after="0"/>
              <w:rPr>
                <w:sz w:val="1"/>
                <w:szCs w:val="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of rental equipment</w:t>
            </w: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34,937</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39,653</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(4,716 )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0" w:type="dxa"/>
            <w:vAlign w:val="bottom"/>
          </w:tcPr>
          <w:p>
            <w:pPr>
              <w:spacing w:after="0"/>
              <w:rPr>
                <w:sz w:val="1"/>
                <w:szCs w:val="1"/>
                <w:color w:val="auto"/>
              </w:rPr>
            </w:pPr>
          </w:p>
        </w:tc>
      </w:tr>
      <w:tr>
        <w:trPr>
          <w:trHeight w:val="243"/>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of new equipment</w:t>
            </w: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10,670</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8,857</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220" w:type="dxa"/>
            <w:vAlign w:val="bottom"/>
          </w:tcPr>
          <w:p>
            <w:pPr>
              <w:spacing w:after="0"/>
              <w:rPr>
                <w:sz w:val="21"/>
                <w:szCs w:val="21"/>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20.5 %</w:t>
            </w:r>
          </w:p>
        </w:tc>
        <w:tc>
          <w:tcPr>
            <w:tcW w:w="0" w:type="dxa"/>
            <w:vAlign w:val="bottom"/>
          </w:tcPr>
          <w:p>
            <w:pPr>
              <w:spacing w:after="0"/>
              <w:rPr>
                <w:sz w:val="1"/>
                <w:szCs w:val="1"/>
                <w:color w:val="auto"/>
              </w:rPr>
            </w:pPr>
          </w:p>
        </w:tc>
      </w:tr>
      <w:tr>
        <w:trPr>
          <w:trHeight w:val="25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Parts, service and other</w:t>
            </w:r>
          </w:p>
        </w:tc>
        <w:tc>
          <w:tcPr>
            <w:tcW w:w="3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18,319</w:t>
            </w: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20,263</w:t>
            </w: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(1,944 )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376,282</w:t>
            </w:r>
          </w:p>
        </w:tc>
        <w:tc>
          <w:tcPr>
            <w:tcW w:w="26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360,232</w:t>
            </w:r>
          </w:p>
        </w:tc>
        <w:tc>
          <w:tcPr>
            <w:tcW w:w="24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16,050</w:t>
            </w:r>
          </w:p>
        </w:tc>
        <w:tc>
          <w:tcPr>
            <w:tcW w:w="22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-1120775</wp:posOffset>
            </wp:positionV>
            <wp:extent cx="7132320" cy="1543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-804545</wp:posOffset>
            </wp:positionV>
            <wp:extent cx="7132320" cy="1543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-495935</wp:posOffset>
            </wp:positionV>
            <wp:extent cx="7132320" cy="1543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43" w:lineRule="exact"/>
        <w:rPr>
          <w:sz w:val="20"/>
          <w:szCs w:val="20"/>
          <w:color w:val="auto"/>
        </w:rPr>
      </w:pPr>
    </w:p>
    <w:p>
      <w:pPr>
        <w:ind w:right="400" w:firstLine="374"/>
        <w:spacing w:after="0" w:line="283" w:lineRule="auto"/>
        <w:rPr>
          <w:sz w:val="20"/>
          <w:szCs w:val="20"/>
          <w:color w:val="auto"/>
        </w:rPr>
      </w:pPr>
      <w:r>
        <w:rPr>
          <w:rFonts w:ascii="Times New Roman" w:cs="Times New Roman" w:eastAsia="Times New Roman" w:hAnsi="Times New Roman"/>
          <w:sz w:val="18"/>
          <w:szCs w:val="18"/>
          <w:i w:val="1"/>
          <w:iCs w:val="1"/>
          <w:color w:val="auto"/>
        </w:rPr>
        <w:t>Total Revenues</w:t>
      </w:r>
      <w:r>
        <w:rPr>
          <w:rFonts w:ascii="Times New Roman" w:cs="Times New Roman" w:eastAsia="Times New Roman" w:hAnsi="Times New Roman"/>
          <w:sz w:val="18"/>
          <w:szCs w:val="18"/>
          <w:color w:val="auto"/>
        </w:rPr>
        <w:t>. Our total revenues were $376.3 million for the three months ended June 30, 2024 compared to $360.2 million for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2023, an increase of $16.1 million, or 4.5%. Revenues of our business activities are further discussed below.</w:t>
      </w:r>
    </w:p>
    <w:p>
      <w:pPr>
        <w:spacing w:after="0" w:line="119" w:lineRule="exact"/>
        <w:rPr>
          <w:sz w:val="20"/>
          <w:szCs w:val="20"/>
          <w:color w:val="auto"/>
        </w:rPr>
      </w:pPr>
    </w:p>
    <w:p>
      <w:pPr>
        <w:jc w:val="both"/>
        <w:ind w:right="160"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Equipment Rental Revenues</w:t>
      </w:r>
      <w:r>
        <w:rPr>
          <w:rFonts w:ascii="Times New Roman" w:cs="Times New Roman" w:eastAsia="Times New Roman" w:hAnsi="Times New Roman"/>
          <w:sz w:val="18"/>
          <w:szCs w:val="18"/>
          <w:color w:val="auto"/>
        </w:rPr>
        <w:t>. Our total revenues from equipment rentals for the three months ended June 30, 2024 increased $20.9 million, or 7.2%,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$312.4 million from $291.5 million in the three months ended June 30, 2023. The increased equipment rental revenues was primarily due to our larger fleet as compared to the prior year. See Rentals and Rentals Other below for additional information.</w:t>
      </w:r>
    </w:p>
    <w:p>
      <w:pPr>
        <w:spacing w:after="0" w:line="145" w:lineRule="exact"/>
        <w:rPr>
          <w:sz w:val="20"/>
          <w:szCs w:val="20"/>
          <w:color w:val="auto"/>
        </w:rPr>
      </w:pPr>
    </w:p>
    <w:p>
      <w:pPr>
        <w:ind w:right="120" w:firstLine="374"/>
        <w:spacing w:after="0" w:line="253" w:lineRule="auto"/>
        <w:rPr>
          <w:sz w:val="20"/>
          <w:szCs w:val="20"/>
          <w:color w:val="auto"/>
        </w:rPr>
      </w:pPr>
      <w:r>
        <w:rPr>
          <w:rFonts w:ascii="Times New Roman" w:cs="Times New Roman" w:eastAsia="Times New Roman" w:hAnsi="Times New Roman"/>
          <w:sz w:val="18"/>
          <w:szCs w:val="18"/>
          <w:i w:val="1"/>
          <w:iCs w:val="1"/>
          <w:color w:val="auto"/>
        </w:rPr>
        <w:t>Rentals</w:t>
      </w:r>
      <w:r>
        <w:rPr>
          <w:rFonts w:ascii="Times New Roman" w:cs="Times New Roman" w:eastAsia="Times New Roman" w:hAnsi="Times New Roman"/>
          <w:sz w:val="18"/>
          <w:szCs w:val="18"/>
          <w:color w:val="auto"/>
        </w:rPr>
        <w:t>: Rental revenues increased $16.8 million, or 6.5%, to $275.5 million for the three months ended June 30, 2024 compared to $258.7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June 30, 2023. Rental revenues from aerial work platform equipment increased $7.4 million, other rentals increased $6.4 million and material handling equipment increased $3.7 million. Partially offsetting these increases, rental revenues from our earthmoving equipment decreased $3.0 million. Our average rental rates for the three months ended June 30, 2024 increased 1.9% compared to the same three months last year and decreased 0.1% from the three months ended March 31, 2024. Our average rental rates do not include the impact of acquisitions completed within the last twelve months. Rental equipment dollar utilization (annual rental revenues divided by the average original rental fleet equipment costs) for the three months ended June 30, 2024 was 38.6% compared to 40.6% in the three months ended June 30, 2023, a decrease of 2.0%. The decrease in comparative rental equipment dollar utilization was the net result of a decrease in rental equipment time utilization and an increase in equipment rental rates. Rental equipment time utilization as a percentage of original equipment cost was 66.4% for the three months ended June 30, 2024 compared to 69.3% in the three months ended June 30, 2023, a decrease of 2.9%. The decrease in rental equipment time utilization as a percentage of original equipment cost was largely reflective of the increase in fleet size.</w:t>
      </w:r>
    </w:p>
    <w:p>
      <w:pPr>
        <w:spacing w:after="0" w:line="19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092" w:right="239" w:bottom="1440" w:gutter="0" w:footer="0" w:header="0"/>
        </w:sectPr>
      </w:pPr>
    </w:p>
    <w:bookmarkStart w:id="26" w:name="page27"/>
    <w:bookmarkEnd w:id="26"/>
    <w:p>
      <w:pPr>
        <w:ind w:right="140"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Rentals Other: </w:t>
      </w:r>
      <w:r>
        <w:rPr>
          <w:rFonts w:ascii="Times New Roman" w:cs="Times New Roman" w:eastAsia="Times New Roman" w:hAnsi="Times New Roman"/>
          <w:sz w:val="18"/>
          <w:szCs w:val="18"/>
          <w:color w:val="auto"/>
        </w:rPr>
        <w:t>Our rentals other revenues consist primarily of equipment support activities that we provide to customers in connection with renting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such as hauling charges, damage waiver policies, environmental and other recovery fees. Rental other revenues for the three months ended June 30, 2024 were $36.9 million compared to $32.7 million for the three months ended June 30, 2023, an increase of approximately $4.1 million, or 12.7%. This increase was primarily related to increased rental revenues discussed above.</w:t>
      </w:r>
    </w:p>
    <w:p>
      <w:pPr>
        <w:spacing w:after="0" w:line="151" w:lineRule="exact"/>
        <w:rPr>
          <w:sz w:val="20"/>
          <w:szCs w:val="20"/>
          <w:color w:val="auto"/>
        </w:rPr>
      </w:pPr>
    </w:p>
    <w:p>
      <w:pPr>
        <w:ind w:right="100"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Sales of Rental Equipment Revenues</w:t>
      </w:r>
      <w:r>
        <w:rPr>
          <w:rFonts w:ascii="Times New Roman" w:cs="Times New Roman" w:eastAsia="Times New Roman" w:hAnsi="Times New Roman"/>
          <w:sz w:val="18"/>
          <w:szCs w:val="18"/>
          <w:color w:val="auto"/>
        </w:rPr>
        <w:t>. Our sales of rental equipment decreased $4.7 million, or 11.9%, to $34.9 million for the three months ended June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2024, from $39.7 million for the same three months in 2023. This decrease is reflective of our ongoing fleet management strategy. Sales of earthmoving rental equipment decreased $9.4 million. Offsetting this decrease, sales of material handling rental equipment and aerial work platform rental equipment increased $2.3 million and $1.7 million, respectively.</w:t>
      </w:r>
    </w:p>
    <w:p>
      <w:pPr>
        <w:spacing w:after="0" w:line="138" w:lineRule="exact"/>
        <w:rPr>
          <w:sz w:val="20"/>
          <w:szCs w:val="20"/>
          <w:color w:val="auto"/>
        </w:rPr>
      </w:pPr>
    </w:p>
    <w:p>
      <w:pPr>
        <w:ind w:right="280"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Sales of New Equipment Revenues</w:t>
      </w:r>
      <w:r>
        <w:rPr>
          <w:rFonts w:ascii="Times New Roman" w:cs="Times New Roman" w:eastAsia="Times New Roman" w:hAnsi="Times New Roman"/>
          <w:sz w:val="18"/>
          <w:szCs w:val="18"/>
          <w:color w:val="auto"/>
        </w:rPr>
        <w:t>. Our sales of new equipment for the three months ended June 30, 2024 increased $1.8 million, or 20.5%, to $10.7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from $8.9 million for the three months ended June 30, 2023. Sales of new aerial work platform equipment and material handling equipment increased $1.5 million and $1.3 million, respectively.</w:t>
      </w:r>
    </w:p>
    <w:p>
      <w:pPr>
        <w:spacing w:after="0" w:line="132" w:lineRule="exact"/>
        <w:rPr>
          <w:sz w:val="20"/>
          <w:szCs w:val="20"/>
          <w:color w:val="auto"/>
        </w:rPr>
      </w:pPr>
    </w:p>
    <w:p>
      <w:pPr>
        <w:ind w:right="280" w:firstLine="374"/>
        <w:spacing w:after="0" w:line="283" w:lineRule="auto"/>
        <w:rPr>
          <w:sz w:val="20"/>
          <w:szCs w:val="20"/>
          <w:color w:val="auto"/>
        </w:rPr>
      </w:pPr>
      <w:r>
        <w:rPr>
          <w:rFonts w:ascii="Times New Roman" w:cs="Times New Roman" w:eastAsia="Times New Roman" w:hAnsi="Times New Roman"/>
          <w:sz w:val="18"/>
          <w:szCs w:val="18"/>
          <w:i w:val="1"/>
          <w:iCs w:val="1"/>
          <w:color w:val="auto"/>
        </w:rPr>
        <w:t>Parts, Service and Other Revenues</w:t>
      </w:r>
      <w:r>
        <w:rPr>
          <w:rFonts w:ascii="Times New Roman" w:cs="Times New Roman" w:eastAsia="Times New Roman" w:hAnsi="Times New Roman"/>
          <w:sz w:val="18"/>
          <w:szCs w:val="18"/>
          <w:color w:val="auto"/>
        </w:rPr>
        <w:t>. Our parts, service and other revenues for the three months ended June 30, 2024 decreased $1.9 million, or 9.6%,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$18.3 million from $20.3 million for the same three months last year.</w:t>
      </w:r>
    </w:p>
    <w:p>
      <w:pPr>
        <w:spacing w:after="0" w:line="26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60" w:lineRule="exact"/>
        <w:rPr>
          <w:sz w:val="20"/>
          <w:szCs w:val="20"/>
          <w:color w:val="auto"/>
        </w:rPr>
      </w:pPr>
    </w:p>
    <w:tbl>
      <w:tblPr>
        <w:tblLayout w:type="fixed"/>
        <w:tblInd w:w="5820" w:type="dxa"/>
        <w:tblCellMar>
          <w:top w:w="0" w:type="dxa"/>
          <w:left w:w="0" w:type="dxa"/>
          <w:bottom w:w="0" w:type="dxa"/>
          <w:right w:w="0" w:type="dxa"/>
        </w:tblCellMar>
      </w:tblPr>
      <w:tr>
        <w:trPr>
          <w:trHeight w:val="175"/>
        </w:trPr>
        <w:tc>
          <w:tcPr>
            <w:tcW w:w="2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8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2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8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80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8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Dollar</w:t>
            </w:r>
          </w:p>
        </w:tc>
        <w:tc>
          <w:tcPr>
            <w:tcW w:w="102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31"/>
        </w:trPr>
        <w:tc>
          <w:tcPr>
            <w:tcW w:w="8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8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80" w:type="dxa"/>
            <w:vAlign w:val="bottom"/>
          </w:tcPr>
          <w:p>
            <w:pPr>
              <w:jc w:val="center"/>
              <w:ind w:left="48"/>
              <w:spacing w:after="0" w:line="131"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020" w:type="dxa"/>
            <w:vAlign w:val="bottom"/>
          </w:tcPr>
          <w:p>
            <w:pPr>
              <w:jc w:val="center"/>
              <w:ind w:left="268"/>
              <w:spacing w:after="0" w:line="131"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88"/>
        </w:trPr>
        <w:tc>
          <w:tcPr>
            <w:tcW w:w="880" w:type="dxa"/>
            <w:vAlign w:val="bottom"/>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148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2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3695700</wp:posOffset>
            </wp:positionH>
            <wp:positionV relativeFrom="paragraph">
              <wp:posOffset>-635</wp:posOffset>
            </wp:positionV>
            <wp:extent cx="337375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373755" cy="8255"/>
                    </a:xfrm>
                    <a:prstGeom prst="rect">
                      <a:avLst/>
                    </a:prstGeom>
                    <a:noFill/>
                  </pic:spPr>
                </pic:pic>
              </a:graphicData>
            </a:graphic>
          </wp:anchor>
        </w:drawing>
      </w:r>
    </w:p>
    <w:p>
      <w:pPr>
        <w:ind w:left="74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543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Gross Profit:</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Equipment rentals</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Rentals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140,553</w:t>
            </w:r>
          </w:p>
        </w:tc>
        <w:tc>
          <w:tcPr>
            <w:tcW w:w="5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134,053</w:t>
            </w:r>
          </w:p>
        </w:tc>
        <w:tc>
          <w:tcPr>
            <w:tcW w:w="6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220" w:type="dxa"/>
            <w:vAlign w:val="bottom"/>
          </w:tcPr>
          <w:p>
            <w:pPr>
              <w:spacing w:after="0"/>
              <w:rPr>
                <w:sz w:val="21"/>
                <w:szCs w:val="21"/>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256"/>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Rentals other</w:t>
            </w:r>
          </w:p>
        </w:tc>
        <w:tc>
          <w:tcPr>
            <w:tcW w:w="3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w:t>
            </w: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(692 )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(29.0 )%</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480"/>
              <w:spacing w:after="0"/>
              <w:rPr>
                <w:sz w:val="20"/>
                <w:szCs w:val="20"/>
                <w:color w:val="auto"/>
              </w:rPr>
            </w:pPr>
            <w:r>
              <w:rPr>
                <w:rFonts w:ascii="Times New Roman" w:cs="Times New Roman" w:eastAsia="Times New Roman" w:hAnsi="Times New Roman"/>
                <w:sz w:val="18"/>
                <w:szCs w:val="18"/>
                <w:color w:val="auto"/>
              </w:rPr>
              <w:t>Total equipment rentals</w:t>
            </w: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82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142,247</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136,439</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5,808</w:t>
            </w:r>
          </w:p>
        </w:tc>
        <w:tc>
          <w:tcPr>
            <w:tcW w:w="22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of rental equipment</w:t>
            </w: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21,817</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23,438</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(1,621 )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243"/>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of new equipment</w:t>
            </w: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220" w:type="dxa"/>
            <w:vAlign w:val="bottom"/>
          </w:tcPr>
          <w:p>
            <w:pPr>
              <w:spacing w:after="0"/>
              <w:rPr>
                <w:sz w:val="21"/>
                <w:szCs w:val="21"/>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36.0 %</w:t>
            </w:r>
          </w:p>
        </w:tc>
        <w:tc>
          <w:tcPr>
            <w:tcW w:w="0" w:type="dxa"/>
            <w:vAlign w:val="bottom"/>
          </w:tcPr>
          <w:p>
            <w:pPr>
              <w:spacing w:after="0"/>
              <w:rPr>
                <w:sz w:val="1"/>
                <w:szCs w:val="1"/>
                <w:color w:val="auto"/>
              </w:rPr>
            </w:pPr>
          </w:p>
        </w:tc>
      </w:tr>
      <w:tr>
        <w:trPr>
          <w:trHeight w:val="25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Parts, service and other</w:t>
            </w:r>
          </w:p>
        </w:tc>
        <w:tc>
          <w:tcPr>
            <w:tcW w:w="3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5,418</w:t>
            </w: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7,162</w:t>
            </w: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(1,744 )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(24.4 )%</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gross profit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171,280</w:t>
            </w:r>
          </w:p>
        </w:tc>
        <w:tc>
          <w:tcPr>
            <w:tcW w:w="26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168,361</w:t>
            </w:r>
          </w:p>
        </w:tc>
        <w:tc>
          <w:tcPr>
            <w:tcW w:w="24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22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-1120775</wp:posOffset>
            </wp:positionV>
            <wp:extent cx="7132320" cy="1543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-804545</wp:posOffset>
            </wp:positionV>
            <wp:extent cx="7132320" cy="1543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-495935</wp:posOffset>
            </wp:positionV>
            <wp:extent cx="7132320" cy="1543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43" w:lineRule="exact"/>
        <w:rPr>
          <w:sz w:val="20"/>
          <w:szCs w:val="20"/>
          <w:color w:val="auto"/>
        </w:rPr>
      </w:pPr>
    </w:p>
    <w:p>
      <w:pPr>
        <w:ind w:right="240"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Total Gross Profit</w:t>
      </w:r>
      <w:r>
        <w:rPr>
          <w:rFonts w:ascii="Times New Roman" w:cs="Times New Roman" w:eastAsia="Times New Roman" w:hAnsi="Times New Roman"/>
          <w:sz w:val="18"/>
          <w:szCs w:val="18"/>
          <w:color w:val="auto"/>
        </w:rPr>
        <w:t>. Our total gross profit was $171.3 million for the three months ended June 30, 2024 compared to $168.4 million for the same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in 2023, an increase of $2.9 million, or 1.7%. Total gross profit margin for the three months ended June 30, 2024 was approximately 45.5%, a decrease of 1.2% from the 46.7% gross profit margin for the same three months in 2023. Gross profits and gross margins of our business activities are further described below.</w:t>
      </w:r>
    </w:p>
    <w:p>
      <w:pPr>
        <w:spacing w:after="0" w:line="1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Equipment Rentals Gross Profit</w:t>
      </w:r>
      <w:r>
        <w:rPr>
          <w:rFonts w:ascii="Times New Roman" w:cs="Times New Roman" w:eastAsia="Times New Roman" w:hAnsi="Times New Roman"/>
          <w:sz w:val="18"/>
          <w:szCs w:val="18"/>
          <w:color w:val="auto"/>
        </w:rPr>
        <w:t>. Our total gross profit from equipment rentals for the three months ended June 30, 2024 increased $5.8 million, or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 to $142.2 million from $136.4 million in the same three months in 2023. Total gross profit margin from equipment rentals for the three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2024 was 45.5% compared to 46.8% for the same period in 2023, a decrease of approximately 1.3%. See Rentals and Rentals Other below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w:t>
      </w:r>
    </w:p>
    <w:p>
      <w:pPr>
        <w:spacing w:after="0" w:line="164" w:lineRule="exact"/>
        <w:rPr>
          <w:sz w:val="20"/>
          <w:szCs w:val="20"/>
          <w:color w:val="auto"/>
        </w:rPr>
      </w:pPr>
    </w:p>
    <w:p>
      <w:pPr>
        <w:ind w:right="120" w:firstLine="37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Rentals: </w:t>
      </w:r>
      <w:r>
        <w:rPr>
          <w:rFonts w:ascii="Times New Roman" w:cs="Times New Roman" w:eastAsia="Times New Roman" w:hAnsi="Times New Roman"/>
          <w:sz w:val="18"/>
          <w:szCs w:val="18"/>
          <w:color w:val="auto"/>
        </w:rPr>
        <w:t>Rental revenues gross profit increased $6.5 million, or 4.8%, to $140.6 million for the three months ended June 30, 2024 compared to $134.1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same three months in 2023. The increased gross profit was due to increased rental revenues of $16.8 million for the three months ended June 30, 2024 compared to the same period last year, partially offset by a $6.5 million increase in rental equipment depreciation expense and a $3.8 million increase in rental expenses. The increase in depreciation expense is primarily due to a larger fleet size in the current year as compared to the prior period. Our fleet size, based on original equipment cost, at June 30, 2024 was $279.0 million, or 10.7%, larger than our fleet at June 30, 2023. Gross profit margin on equipment rentals for the three months ended June 30, 2024 was 51.0% compared to 51.8% for the same period in 2023, a decrease of 0.8%. Depreciation expense was 33.5% of equipment rental revenues for the three months ended June 30, 2024 compared to 33.2% for the same period in 2023, an increase of approximately 0.3%. As a percentage of revenues, rental expenses were 15.4% for the three months ended June 30, 2024 compared to 15.0% for the same period last year, an increase of 0.4%.</w:t>
      </w:r>
    </w:p>
    <w:p>
      <w:pPr>
        <w:spacing w:after="0" w:line="18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157" w:right="239" w:bottom="1440" w:gutter="0" w:footer="0" w:header="0"/>
        </w:sectPr>
      </w:pPr>
    </w:p>
    <w:bookmarkStart w:id="27" w:name="page28"/>
    <w:bookmarkEnd w:id="27"/>
    <w:p>
      <w:pPr>
        <w:ind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Rentals Other: </w:t>
      </w:r>
      <w:r>
        <w:rPr>
          <w:rFonts w:ascii="Times New Roman" w:cs="Times New Roman" w:eastAsia="Times New Roman" w:hAnsi="Times New Roman"/>
          <w:sz w:val="18"/>
          <w:szCs w:val="18"/>
          <w:color w:val="auto"/>
        </w:rPr>
        <w:t>Our rentals other revenues consists primarily of equipment support activities that we provide to customers in connection with renting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such as hauling charges, damage waiver policies, environmental and other recovery fees. Rental other revenues gross profit for the three months ended June 30, 2024 was $1.7 million, a decrease of $0.7 million as compared to the same period in 2023. The gross margin was 4.6% for the three months ended June 30, 2024 compared to a gross margin of 7.3% for the same period last year.</w:t>
      </w:r>
    </w:p>
    <w:p>
      <w:pPr>
        <w:spacing w:after="0" w:line="151"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Sales of Rental Equipment Gross Profit. </w:t>
      </w:r>
      <w:r>
        <w:rPr>
          <w:rFonts w:ascii="Times New Roman" w:cs="Times New Roman" w:eastAsia="Times New Roman" w:hAnsi="Times New Roman"/>
          <w:sz w:val="18"/>
          <w:szCs w:val="18"/>
          <w:color w:val="auto"/>
        </w:rPr>
        <w:t>Our sales of rental equipment gross profit for the three months ended June 30, 2024 decreased $1.6 million,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6.9%, to $21.8 million from $23.4 million in the same period in 2023, as sales of rental equipment decreased $4.7 million. Gross profit margin on sales of rental equipment for the three months ended June 30, 2024 was approximately 62.4%, up 3.3% from 59.1% for the same three months in 2023, primarily as a result of higher gross margins in aerial work platform sales. Our sales from rental fleet were approximately 266.7% and 245.8% of net book value for the three months ended June 30, 2024 and 2023, respectively.</w:t>
      </w:r>
    </w:p>
    <w:p>
      <w:pPr>
        <w:spacing w:after="0" w:line="141" w:lineRule="exact"/>
        <w:rPr>
          <w:sz w:val="20"/>
          <w:szCs w:val="20"/>
          <w:color w:val="auto"/>
        </w:rPr>
      </w:pPr>
    </w:p>
    <w:p>
      <w:pPr>
        <w:jc w:val="both"/>
        <w:ind w:right="180"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Sales of New Equipment Gross Profit. </w:t>
      </w:r>
      <w:r>
        <w:rPr>
          <w:rFonts w:ascii="Times New Roman" w:cs="Times New Roman" w:eastAsia="Times New Roman" w:hAnsi="Times New Roman"/>
          <w:sz w:val="18"/>
          <w:szCs w:val="18"/>
          <w:color w:val="auto"/>
        </w:rPr>
        <w:t>Our sales of new equipment gross profit for the three months ended June 30, 2024 increased $0.5 million,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36.0%, to $1.8 million compared to $1.3 million for the same three months in 2023 on sales of new equipment which increased $1.8 million. Gross profit margin on sales of new equipment was 16.9% for the three months ended June 30, 2024, compared to 14.9% for the same period last year, an increase of 2.0%.</w:t>
      </w:r>
    </w:p>
    <w:p>
      <w:pPr>
        <w:spacing w:after="0" w:line="138" w:lineRule="exact"/>
        <w:rPr>
          <w:sz w:val="20"/>
          <w:szCs w:val="20"/>
          <w:color w:val="auto"/>
        </w:rPr>
      </w:pPr>
    </w:p>
    <w:p>
      <w:pPr>
        <w:ind w:right="60"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Parts, Service and Other Gross Profit. </w:t>
      </w:r>
      <w:r>
        <w:rPr>
          <w:rFonts w:ascii="Times New Roman" w:cs="Times New Roman" w:eastAsia="Times New Roman" w:hAnsi="Times New Roman"/>
          <w:sz w:val="18"/>
          <w:szCs w:val="18"/>
          <w:color w:val="auto"/>
        </w:rPr>
        <w:t>Our parts, service and other revenues gross profit for the three months ended June 30, 2024 was $5.4 million,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of 24.4%, from gross profit of $7.2 million for the same period last year on parts, service and other revenues that decreased $1.9 million. Gross profit margin for the three months ended June 30, 2024 and 2023 was 29.6% and 35.3%, respectively.</w:t>
      </w:r>
    </w:p>
    <w:p>
      <w:pPr>
        <w:spacing w:after="0" w:line="143"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SG&amp;A expenses increased $12.6 million, or 12.7%, to $111.8 million for the three months ended June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30, 2024 compared to $99.3 million for the three months ended June 30, 2023. Employee salaries, wages, payroll taxes and other employee related expenses increased $6.0 million due to increased wages, commissions, headcount and health insurance. Depreciation and amortization expenses increased $2.5 million, facility expenses increased $1.9 million, liability insurance costs increased $0.8 million and professional fees increased $0.5 million. Approximately $10.8 million of comparative incremental SG&amp;A expenses in the three months ended June 30, 2024 was attributable to expansion efforts since January 1, 2023 with less than three months of comparable operations in either or both of the three months ended June 30, 2024 and 2023. SG&amp;A expenses as a percentage of total revenues for the three months ended June 30, 2024 and 2023 were 29.7% and 27.6%, respectively, an increase of 2.1%.</w:t>
      </w:r>
    </w:p>
    <w:p>
      <w:pPr>
        <w:spacing w:after="0" w:line="140" w:lineRule="exact"/>
        <w:rPr>
          <w:sz w:val="20"/>
          <w:szCs w:val="20"/>
          <w:color w:val="auto"/>
        </w:rPr>
      </w:pPr>
    </w:p>
    <w:p>
      <w:pPr>
        <w:ind w:right="100" w:firstLine="37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Gain on Sales of Property &amp; Equipment (Net). </w:t>
      </w:r>
      <w:r>
        <w:rPr>
          <w:rFonts w:ascii="Times New Roman" w:cs="Times New Roman" w:eastAsia="Times New Roman" w:hAnsi="Times New Roman"/>
          <w:sz w:val="18"/>
          <w:szCs w:val="18"/>
          <w:color w:val="auto"/>
        </w:rPr>
        <w:t>We had net gains on sales of property and equipment of $3.4 million for the three months ended June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30, 2024 compared to $0.4 million for the same period last year, an increase of $2.9 million. This increase is due to fluctuations in the normal course of business.</w:t>
      </w:r>
    </w:p>
    <w:p>
      <w:pPr>
        <w:spacing w:after="0" w:line="129" w:lineRule="exact"/>
        <w:rPr>
          <w:sz w:val="20"/>
          <w:szCs w:val="20"/>
          <w:color w:val="auto"/>
        </w:rPr>
      </w:pPr>
    </w:p>
    <w:p>
      <w:pPr>
        <w:ind w:right="280" w:firstLine="37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(Expense). </w:t>
      </w:r>
      <w:r>
        <w:rPr>
          <w:rFonts w:ascii="Times New Roman" w:cs="Times New Roman" w:eastAsia="Times New Roman" w:hAnsi="Times New Roman"/>
          <w:sz w:val="18"/>
          <w:szCs w:val="18"/>
          <w:color w:val="auto"/>
        </w:rPr>
        <w:t>For the three months ended June 30, 2024, our net other expenses increased approximately $3.1 million to $16.7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$13.6 million for the same three months in 2023. Interest expense was $18.2 million for the three months ended June 30, 2024 and $14.7 million for the three months ended June 30, 2023. The increase in interest expense is largely due to higher borrowings on our Credit Facility.</w:t>
      </w:r>
    </w:p>
    <w:p>
      <w:pPr>
        <w:spacing w:after="0" w:line="143" w:lineRule="exact"/>
        <w:rPr>
          <w:sz w:val="20"/>
          <w:szCs w:val="20"/>
          <w:color w:val="auto"/>
        </w:rPr>
      </w:pPr>
    </w:p>
    <w:p>
      <w:pPr>
        <w:jc w:val="both"/>
        <w:ind w:right="120" w:firstLine="37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We recorded income tax expense of $12.8 million for the three months ended June 30, 2024 compared to an income tax expense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$14.7 million for the three months ended June 30, 2023. Our effective income tax rate for the three months ended June 30, 2024 was 27.8% compared to 26.3% for the same period in 2023. Based on available evidence, both positive and negative, we believe it is more likely than not that our federal deferred tax assets at June 30, 2024 are fully realizable through future reversals of existing taxable temporary differences and future taxable income. As of June 30, 2024, we have a valuation allowance of $3.0 million for certain state tax credits that may not be realized.</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2024 Compared to the Six Months Ended June 30, 2023</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60" w:lineRule="exact"/>
        <w:rPr>
          <w:sz w:val="20"/>
          <w:szCs w:val="20"/>
          <w:color w:val="auto"/>
        </w:rPr>
      </w:pPr>
    </w:p>
    <w:tbl>
      <w:tblPr>
        <w:tblLayout w:type="fixed"/>
        <w:tblInd w:w="5820" w:type="dxa"/>
        <w:tblCellMar>
          <w:top w:w="0" w:type="dxa"/>
          <w:left w:w="0" w:type="dxa"/>
          <w:bottom w:w="0" w:type="dxa"/>
          <w:right w:w="0" w:type="dxa"/>
        </w:tblCellMar>
      </w:tblPr>
      <w:tr>
        <w:trPr>
          <w:trHeight w:val="175"/>
        </w:trPr>
        <w:tc>
          <w:tcPr>
            <w:tcW w:w="1840" w:type="dxa"/>
            <w:vAlign w:val="bottom"/>
          </w:tcPr>
          <w:p>
            <w:pPr>
              <w:jc w:val="center"/>
              <w:ind w:left="64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20" w:type="dxa"/>
            <w:vAlign w:val="bottom"/>
          </w:tcPr>
          <w:p>
            <w:pPr>
              <w:spacing w:after="0"/>
              <w:rPr>
                <w:sz w:val="15"/>
                <w:szCs w:val="15"/>
                <w:color w:val="auto"/>
              </w:rPr>
            </w:pPr>
          </w:p>
        </w:tc>
        <w:tc>
          <w:tcPr>
            <w:tcW w:w="148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2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1840" w:type="dxa"/>
            <w:vAlign w:val="bottom"/>
            <w:tcBorders>
              <w:bottom w:val="single" w:sz="8" w:color="auto"/>
            </w:tcBorders>
          </w:tcPr>
          <w:p>
            <w:pPr>
              <w:jc w:val="center"/>
              <w:ind w:left="64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148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Dollar</w:t>
            </w:r>
          </w:p>
        </w:tc>
        <w:tc>
          <w:tcPr>
            <w:tcW w:w="102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31"/>
        </w:trPr>
        <w:tc>
          <w:tcPr>
            <w:tcW w:w="1840" w:type="dxa"/>
            <w:vAlign w:val="bottom"/>
            <w:vMerge w:val="restart"/>
          </w:tcPr>
          <w:p>
            <w:pPr>
              <w:jc w:val="right"/>
              <w:ind w:right="10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480" w:type="dxa"/>
            <w:vAlign w:val="bottom"/>
          </w:tcPr>
          <w:p>
            <w:pPr>
              <w:jc w:val="center"/>
              <w:ind w:left="48"/>
              <w:spacing w:after="0" w:line="131"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020" w:type="dxa"/>
            <w:vAlign w:val="bottom"/>
          </w:tcPr>
          <w:p>
            <w:pPr>
              <w:jc w:val="center"/>
              <w:ind w:left="268"/>
              <w:spacing w:after="0" w:line="131"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88"/>
        </w:trPr>
        <w:tc>
          <w:tcPr>
            <w:tcW w:w="184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48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2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3695700</wp:posOffset>
            </wp:positionH>
            <wp:positionV relativeFrom="paragraph">
              <wp:posOffset>-635</wp:posOffset>
            </wp:positionV>
            <wp:extent cx="337375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373755" cy="8255"/>
                    </a:xfrm>
                    <a:prstGeom prst="rect">
                      <a:avLst/>
                    </a:prstGeom>
                    <a:noFill/>
                  </pic:spPr>
                </pic:pic>
              </a:graphicData>
            </a:graphic>
          </wp:anchor>
        </w:drawing>
      </w:r>
    </w:p>
    <w:p>
      <w:pPr>
        <w:ind w:left="74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543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Revenues: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Equipment rentals</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Rentals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537,214</w:t>
            </w:r>
          </w:p>
        </w:tc>
        <w:tc>
          <w:tcPr>
            <w:tcW w:w="5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490,799</w:t>
            </w:r>
          </w:p>
        </w:tc>
        <w:tc>
          <w:tcPr>
            <w:tcW w:w="6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46,415</w:t>
            </w:r>
          </w:p>
        </w:tc>
        <w:tc>
          <w:tcPr>
            <w:tcW w:w="220" w:type="dxa"/>
            <w:vAlign w:val="bottom"/>
          </w:tcPr>
          <w:p>
            <w:pPr>
              <w:spacing w:after="0"/>
              <w:rPr>
                <w:sz w:val="21"/>
                <w:szCs w:val="21"/>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9.5 %</w:t>
            </w:r>
          </w:p>
        </w:tc>
        <w:tc>
          <w:tcPr>
            <w:tcW w:w="0" w:type="dxa"/>
            <w:vAlign w:val="bottom"/>
          </w:tcPr>
          <w:p>
            <w:pPr>
              <w:spacing w:after="0"/>
              <w:rPr>
                <w:sz w:val="1"/>
                <w:szCs w:val="1"/>
                <w:color w:val="auto"/>
              </w:rPr>
            </w:pPr>
          </w:p>
        </w:tc>
      </w:tr>
      <w:tr>
        <w:trPr>
          <w:trHeight w:val="256"/>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Rentals other</w:t>
            </w:r>
          </w:p>
        </w:tc>
        <w:tc>
          <w:tcPr>
            <w:tcW w:w="3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70,467</w:t>
            </w: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62,668</w:t>
            </w: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7,799</w:t>
            </w:r>
          </w:p>
        </w:tc>
        <w:tc>
          <w:tcPr>
            <w:tcW w:w="220" w:type="dxa"/>
            <w:vAlign w:val="bottom"/>
          </w:tcPr>
          <w:p>
            <w:pPr>
              <w:spacing w:after="0"/>
              <w:rPr>
                <w:sz w:val="22"/>
                <w:szCs w:val="22"/>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12.4 %</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480"/>
              <w:spacing w:after="0"/>
              <w:rPr>
                <w:sz w:val="20"/>
                <w:szCs w:val="20"/>
                <w:color w:val="auto"/>
              </w:rPr>
            </w:pPr>
            <w:r>
              <w:rPr>
                <w:rFonts w:ascii="Times New Roman" w:cs="Times New Roman" w:eastAsia="Times New Roman" w:hAnsi="Times New Roman"/>
                <w:sz w:val="18"/>
                <w:szCs w:val="18"/>
                <w:color w:val="auto"/>
              </w:rPr>
              <w:t>Total equipment rentals</w:t>
            </w: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82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607,681</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553,467</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54,214</w:t>
            </w:r>
          </w:p>
        </w:tc>
        <w:tc>
          <w:tcPr>
            <w:tcW w:w="22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9.8 %</w:t>
            </w:r>
          </w:p>
        </w:tc>
        <w:tc>
          <w:tcPr>
            <w:tcW w:w="0" w:type="dxa"/>
            <w:vAlign w:val="bottom"/>
          </w:tcPr>
          <w:p>
            <w:pPr>
              <w:spacing w:after="0"/>
              <w:rPr>
                <w:sz w:val="1"/>
                <w:szCs w:val="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of rental equipment</w:t>
            </w: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83,052</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71,768</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11,284</w:t>
            </w:r>
          </w:p>
        </w:tc>
        <w:tc>
          <w:tcPr>
            <w:tcW w:w="22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15.7 %</w:t>
            </w:r>
          </w:p>
        </w:tc>
        <w:tc>
          <w:tcPr>
            <w:tcW w:w="0" w:type="dxa"/>
            <w:vAlign w:val="bottom"/>
          </w:tcPr>
          <w:p>
            <w:pPr>
              <w:spacing w:after="0"/>
              <w:rPr>
                <w:sz w:val="1"/>
                <w:szCs w:val="1"/>
                <w:color w:val="auto"/>
              </w:rPr>
            </w:pPr>
          </w:p>
        </w:tc>
      </w:tr>
      <w:tr>
        <w:trPr>
          <w:trHeight w:val="243"/>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of new equipment</w:t>
            </w: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21,082</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16,675</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4,407</w:t>
            </w:r>
          </w:p>
        </w:tc>
        <w:tc>
          <w:tcPr>
            <w:tcW w:w="220" w:type="dxa"/>
            <w:vAlign w:val="bottom"/>
          </w:tcPr>
          <w:p>
            <w:pPr>
              <w:spacing w:after="0"/>
              <w:rPr>
                <w:sz w:val="21"/>
                <w:szCs w:val="21"/>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26.4 %</w:t>
            </w:r>
          </w:p>
        </w:tc>
        <w:tc>
          <w:tcPr>
            <w:tcW w:w="0" w:type="dxa"/>
            <w:vAlign w:val="bottom"/>
          </w:tcPr>
          <w:p>
            <w:pPr>
              <w:spacing w:after="0"/>
              <w:rPr>
                <w:sz w:val="1"/>
                <w:szCs w:val="1"/>
                <w:color w:val="auto"/>
              </w:rPr>
            </w:pPr>
          </w:p>
        </w:tc>
      </w:tr>
      <w:tr>
        <w:trPr>
          <w:trHeight w:val="25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Parts, service and other</w:t>
            </w:r>
          </w:p>
        </w:tc>
        <w:tc>
          <w:tcPr>
            <w:tcW w:w="3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35,824</w:t>
            </w: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40,804</w:t>
            </w: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(4,980 )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747,639</w:t>
            </w:r>
          </w:p>
        </w:tc>
        <w:tc>
          <w:tcPr>
            <w:tcW w:w="26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682,714</w:t>
            </w:r>
          </w:p>
        </w:tc>
        <w:tc>
          <w:tcPr>
            <w:tcW w:w="24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64,925</w:t>
            </w:r>
          </w:p>
        </w:tc>
        <w:tc>
          <w:tcPr>
            <w:tcW w:w="22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9.5 %</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-1120775</wp:posOffset>
            </wp:positionV>
            <wp:extent cx="7132320" cy="1543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-804545</wp:posOffset>
            </wp:positionV>
            <wp:extent cx="7132320" cy="1543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-495935</wp:posOffset>
            </wp:positionV>
            <wp:extent cx="7132320" cy="1543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43" w:lineRule="exact"/>
        <w:rPr>
          <w:sz w:val="20"/>
          <w:szCs w:val="20"/>
          <w:color w:val="auto"/>
        </w:rPr>
      </w:pPr>
    </w:p>
    <w:p>
      <w:pPr>
        <w:ind w:right="220" w:firstLine="374"/>
        <w:spacing w:after="0" w:line="283" w:lineRule="auto"/>
        <w:rPr>
          <w:sz w:val="20"/>
          <w:szCs w:val="20"/>
          <w:color w:val="auto"/>
        </w:rPr>
      </w:pPr>
      <w:r>
        <w:rPr>
          <w:rFonts w:ascii="Times New Roman" w:cs="Times New Roman" w:eastAsia="Times New Roman" w:hAnsi="Times New Roman"/>
          <w:sz w:val="18"/>
          <w:szCs w:val="18"/>
          <w:i w:val="1"/>
          <w:iCs w:val="1"/>
          <w:color w:val="auto"/>
        </w:rPr>
        <w:t>Total Revenues</w:t>
      </w:r>
      <w:r>
        <w:rPr>
          <w:rFonts w:ascii="Times New Roman" w:cs="Times New Roman" w:eastAsia="Times New Roman" w:hAnsi="Times New Roman"/>
          <w:sz w:val="18"/>
          <w:szCs w:val="18"/>
          <w:color w:val="auto"/>
        </w:rPr>
        <w:t>. Our total revenues were $747.6 million for the six months ended June 30, 2024 compared to $682.7 million for the six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2023, an increase of $64.9 million, or 9.5%. Revenues of our business activities are further discussed below.</w:t>
      </w:r>
    </w:p>
    <w:p>
      <w:pPr>
        <w:spacing w:after="0" w:line="119" w:lineRule="exact"/>
        <w:rPr>
          <w:sz w:val="20"/>
          <w:szCs w:val="20"/>
          <w:color w:val="auto"/>
        </w:rPr>
      </w:pPr>
    </w:p>
    <w:p>
      <w:pPr>
        <w:ind w:right="220"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Equipment Rental Revenues</w:t>
      </w:r>
      <w:r>
        <w:rPr>
          <w:rFonts w:ascii="Times New Roman" w:cs="Times New Roman" w:eastAsia="Times New Roman" w:hAnsi="Times New Roman"/>
          <w:sz w:val="18"/>
          <w:szCs w:val="18"/>
          <w:color w:val="auto"/>
        </w:rPr>
        <w:t>. Our total revenues from equipment rentals for the six months ended June 30, 2024 increased $54.2 million, or 9.8%,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$607.7 million from $553.5 million in the six months ended June 30, 2023. The increase in equipment rental revenues was primarily due to our larger fleet as compared to the prior year.</w:t>
      </w:r>
    </w:p>
    <w:p>
      <w:pPr>
        <w:spacing w:after="0" w:line="145" w:lineRule="exact"/>
        <w:rPr>
          <w:sz w:val="20"/>
          <w:szCs w:val="20"/>
          <w:color w:val="auto"/>
        </w:rPr>
      </w:pPr>
    </w:p>
    <w:p>
      <w:pPr>
        <w:ind w:right="180" w:firstLine="37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Rentals. </w:t>
      </w:r>
      <w:r>
        <w:rPr>
          <w:rFonts w:ascii="Times New Roman" w:cs="Times New Roman" w:eastAsia="Times New Roman" w:hAnsi="Times New Roman"/>
          <w:sz w:val="18"/>
          <w:szCs w:val="18"/>
          <w:color w:val="auto"/>
        </w:rPr>
        <w:t>Rental revenues increased $46.4 million, or 9.5%, to $537.2 million for the six months ended June 30, 2024 compared to $490.8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six months ended June 30, 2023. Rental revenues from other equipment increased $14.7 million, aerial work platform equipment increased $14.6 million and material handling equipment increased $10.1 million. Our average rental rates for the six months ended June 30, 2024 increased 2.4% compared to the same period last year. Our average rental rates do not include the impact of acquisitions completed within the last twelve months. Rental equipment dollar utilization (annual rental revenues divided by the average original rental fleet equipment costs) for the six months ended June 30, 2024 was 37.8% compared to 39.6% in the six months ended June 30, 2023, a decrease of 1.8%. The decrease in comparative rental equipment dollar utilization was the net result of a decrease in rental equipment time utilization and an increase in equipment rental rates. Rental equipment time utilization as a percentage of original equipment cost was 65.0% for the six months ended June 30, 2024 compared to 68.3% in the six months ended June 30, 2023, a decrease of 3.3%. The decrease in rental equipment time utilization as a percentage of original equipment cost was largely reflective of the increase in fleet size.</w:t>
      </w:r>
    </w:p>
    <w:p>
      <w:pPr>
        <w:spacing w:after="0" w:line="151" w:lineRule="exact"/>
        <w:rPr>
          <w:sz w:val="20"/>
          <w:szCs w:val="20"/>
          <w:color w:val="auto"/>
        </w:rPr>
      </w:pPr>
    </w:p>
    <w:p>
      <w:pPr>
        <w:ind w:right="300"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Rentals Other. </w:t>
      </w:r>
      <w:r>
        <w:rPr>
          <w:rFonts w:ascii="Times New Roman" w:cs="Times New Roman" w:eastAsia="Times New Roman" w:hAnsi="Times New Roman"/>
          <w:sz w:val="18"/>
          <w:szCs w:val="18"/>
          <w:color w:val="auto"/>
        </w:rPr>
        <w:t>Our rentals other revenue consist primarily of equipment support activities that we provide to customers in connection with renting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such as hauling charges, damage waiver policies, environmental and other recovery fees. Rental other revenues for the six months ended June 30, 2024 were $70.5 million compared to $62.7 million for the six months ended June 30, 2023, an increase of $7.8 million, or 12.4%. The increase was primarily related to increased rental revenues discussed above.</w:t>
      </w:r>
    </w:p>
    <w:p>
      <w:pPr>
        <w:spacing w:after="0" w:line="138" w:lineRule="exact"/>
        <w:rPr>
          <w:sz w:val="20"/>
          <w:szCs w:val="20"/>
          <w:color w:val="auto"/>
        </w:rPr>
      </w:pPr>
    </w:p>
    <w:p>
      <w:pPr>
        <w:ind w:right="200" w:firstLine="374"/>
        <w:spacing w:after="0" w:line="258" w:lineRule="auto"/>
        <w:rPr>
          <w:sz w:val="20"/>
          <w:szCs w:val="20"/>
          <w:color w:val="auto"/>
        </w:rPr>
      </w:pPr>
      <w:r>
        <w:rPr>
          <w:rFonts w:ascii="Times New Roman" w:cs="Times New Roman" w:eastAsia="Times New Roman" w:hAnsi="Times New Roman"/>
          <w:sz w:val="18"/>
          <w:szCs w:val="18"/>
          <w:i w:val="1"/>
          <w:iCs w:val="1"/>
          <w:color w:val="auto"/>
        </w:rPr>
        <w:t>Sales of Rental Equipment Revenues</w:t>
      </w:r>
      <w:r>
        <w:rPr>
          <w:rFonts w:ascii="Times New Roman" w:cs="Times New Roman" w:eastAsia="Times New Roman" w:hAnsi="Times New Roman"/>
          <w:sz w:val="18"/>
          <w:szCs w:val="18"/>
          <w:color w:val="auto"/>
        </w:rPr>
        <w:t>. Our sales of rental equipment increased $11.3 million, or 15.7%, to $83.1 million for the six months ended June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2024 from $71.8 million for the six months ended June 30, 2023. This increase is reflective of our fleet management strategy and our decision to capitalize on the high demand for used equipment during the first quarter. Sales of aerial work platform rental equipment increased $9.4 million, sales of material handling rental equipment increased $5.7 million and sales of other equipment increased $4.9 million. Offsetting these increases, sales of earthmoving equipment rental decreased $8.7 million.</w:t>
      </w:r>
    </w:p>
    <w:p>
      <w:pPr>
        <w:spacing w:after="0" w:line="155" w:lineRule="exact"/>
        <w:rPr>
          <w:sz w:val="20"/>
          <w:szCs w:val="20"/>
          <w:color w:val="auto"/>
        </w:rPr>
      </w:pPr>
    </w:p>
    <w:p>
      <w:pPr>
        <w:jc w:val="both"/>
        <w:ind w:right="440"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Sales of New Equipment Revenues</w:t>
      </w:r>
      <w:r>
        <w:rPr>
          <w:rFonts w:ascii="Times New Roman" w:cs="Times New Roman" w:eastAsia="Times New Roman" w:hAnsi="Times New Roman"/>
          <w:sz w:val="18"/>
          <w:szCs w:val="18"/>
          <w:color w:val="auto"/>
        </w:rPr>
        <w:t>. Our sales of new equipment for the six months ended June 30, 2024 increased $4.4 million, or 26.4%, to $21.1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from $16.7 million for the six months ended June 30, 2023. Sales of new material handling equipment and new aerial work platform equipment increased $3.9 million and $3.3 million, respectively. Partially offsetting these increases, sales of other equipment decreased $2.3 million.</w:t>
      </w:r>
    </w:p>
    <w:p>
      <w:pPr>
        <w:spacing w:after="0" w:line="132" w:lineRule="exact"/>
        <w:rPr>
          <w:sz w:val="20"/>
          <w:szCs w:val="20"/>
          <w:color w:val="auto"/>
        </w:rPr>
      </w:pPr>
    </w:p>
    <w:p>
      <w:pPr>
        <w:ind w:right="160" w:firstLine="374"/>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Parts, Service and Other Revenues. </w:t>
      </w:r>
      <w:r>
        <w:rPr>
          <w:rFonts w:ascii="Times New Roman" w:cs="Times New Roman" w:eastAsia="Times New Roman" w:hAnsi="Times New Roman"/>
          <w:sz w:val="18"/>
          <w:szCs w:val="18"/>
          <w:color w:val="auto"/>
        </w:rPr>
        <w:t>Our parts, service and other revenues for the six months ended June 30, 2024 decreased $5.0 million, or 12.2%,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$35.8 million from $40.8 million for the six months ended June 30, 2023.</w:t>
      </w:r>
    </w:p>
    <w:p>
      <w:pPr>
        <w:spacing w:after="0" w:line="16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196" w:right="239" w:bottom="1440" w:gutter="0" w:footer="0" w:header="0"/>
        </w:sectPr>
      </w:pPr>
    </w:p>
    <w:bookmarkStart w:id="29" w:name="page30"/>
    <w:bookmarkEnd w:id="29"/>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47" w:lineRule="exact"/>
        <w:rPr>
          <w:sz w:val="20"/>
          <w:szCs w:val="20"/>
          <w:color w:val="auto"/>
        </w:rPr>
      </w:pPr>
    </w:p>
    <w:tbl>
      <w:tblPr>
        <w:tblLayout w:type="fixed"/>
        <w:tblInd w:w="5820" w:type="dxa"/>
        <w:tblCellMar>
          <w:top w:w="0" w:type="dxa"/>
          <w:left w:w="0" w:type="dxa"/>
          <w:bottom w:w="0" w:type="dxa"/>
          <w:right w:w="0" w:type="dxa"/>
        </w:tblCellMar>
      </w:tblPr>
      <w:tr>
        <w:trPr>
          <w:trHeight w:val="175"/>
        </w:trPr>
        <w:tc>
          <w:tcPr>
            <w:tcW w:w="1840" w:type="dxa"/>
            <w:vAlign w:val="bottom"/>
          </w:tcPr>
          <w:p>
            <w:pPr>
              <w:jc w:val="center"/>
              <w:ind w:left="64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20" w:type="dxa"/>
            <w:vAlign w:val="bottom"/>
          </w:tcPr>
          <w:p>
            <w:pPr>
              <w:spacing w:after="0"/>
              <w:rPr>
                <w:sz w:val="15"/>
                <w:szCs w:val="15"/>
                <w:color w:val="auto"/>
              </w:rPr>
            </w:pPr>
          </w:p>
        </w:tc>
        <w:tc>
          <w:tcPr>
            <w:tcW w:w="148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2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1840" w:type="dxa"/>
            <w:vAlign w:val="bottom"/>
            <w:tcBorders>
              <w:bottom w:val="single" w:sz="8" w:color="auto"/>
            </w:tcBorders>
          </w:tcPr>
          <w:p>
            <w:pPr>
              <w:jc w:val="center"/>
              <w:ind w:left="64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148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Dollar</w:t>
            </w:r>
          </w:p>
        </w:tc>
        <w:tc>
          <w:tcPr>
            <w:tcW w:w="102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31"/>
        </w:trPr>
        <w:tc>
          <w:tcPr>
            <w:tcW w:w="1840" w:type="dxa"/>
            <w:vAlign w:val="bottom"/>
            <w:vMerge w:val="restart"/>
          </w:tcPr>
          <w:p>
            <w:pPr>
              <w:jc w:val="right"/>
              <w:ind w:right="10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480" w:type="dxa"/>
            <w:vAlign w:val="bottom"/>
          </w:tcPr>
          <w:p>
            <w:pPr>
              <w:jc w:val="center"/>
              <w:ind w:left="48"/>
              <w:spacing w:after="0" w:line="131"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020" w:type="dxa"/>
            <w:vAlign w:val="bottom"/>
          </w:tcPr>
          <w:p>
            <w:pPr>
              <w:jc w:val="center"/>
              <w:ind w:left="268"/>
              <w:spacing w:after="0" w:line="131"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88"/>
        </w:trPr>
        <w:tc>
          <w:tcPr>
            <w:tcW w:w="184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48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2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3695700</wp:posOffset>
            </wp:positionH>
            <wp:positionV relativeFrom="paragraph">
              <wp:posOffset>-635</wp:posOffset>
            </wp:positionV>
            <wp:extent cx="337375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373755" cy="8255"/>
                    </a:xfrm>
                    <a:prstGeom prst="rect">
                      <a:avLst/>
                    </a:prstGeom>
                    <a:noFill/>
                  </pic:spPr>
                </pic:pic>
              </a:graphicData>
            </a:graphic>
          </wp:anchor>
        </w:drawing>
      </w:r>
    </w:p>
    <w:p>
      <w:pPr>
        <w:ind w:left="74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Gross Profit: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Equipment rentals</w:t>
            </w:r>
          </w:p>
        </w:tc>
        <w:tc>
          <w:tcPr>
            <w:tcW w:w="3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Rentals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267,489</w:t>
            </w:r>
          </w:p>
        </w:tc>
        <w:tc>
          <w:tcPr>
            <w:tcW w:w="5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246,390</w:t>
            </w:r>
          </w:p>
        </w:tc>
        <w:tc>
          <w:tcPr>
            <w:tcW w:w="6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21,099</w:t>
            </w:r>
          </w:p>
        </w:tc>
        <w:tc>
          <w:tcPr>
            <w:tcW w:w="220" w:type="dxa"/>
            <w:vAlign w:val="bottom"/>
          </w:tcPr>
          <w:p>
            <w:pPr>
              <w:spacing w:after="0"/>
              <w:rPr>
                <w:sz w:val="20"/>
                <w:szCs w:val="20"/>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8.6 %</w:t>
            </w:r>
          </w:p>
        </w:tc>
        <w:tc>
          <w:tcPr>
            <w:tcW w:w="0" w:type="dxa"/>
            <w:vAlign w:val="bottom"/>
          </w:tcPr>
          <w:p>
            <w:pPr>
              <w:spacing w:after="0"/>
              <w:rPr>
                <w:sz w:val="1"/>
                <w:szCs w:val="1"/>
                <w:color w:val="auto"/>
              </w:rPr>
            </w:pPr>
          </w:p>
        </w:tc>
      </w:tr>
      <w:tr>
        <w:trPr>
          <w:trHeight w:val="251"/>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Rentals other</w:t>
            </w: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4,343</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(1,688 )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(38.9 )%</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480"/>
              <w:spacing w:after="0"/>
              <w:rPr>
                <w:sz w:val="20"/>
                <w:szCs w:val="20"/>
                <w:color w:val="auto"/>
              </w:rPr>
            </w:pPr>
            <w:r>
              <w:rPr>
                <w:rFonts w:ascii="Times New Roman" w:cs="Times New Roman" w:eastAsia="Times New Roman" w:hAnsi="Times New Roman"/>
                <w:sz w:val="18"/>
                <w:szCs w:val="18"/>
                <w:color w:val="auto"/>
              </w:rPr>
              <w:t>Total equipment rentals</w:t>
            </w: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82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270,144</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250,733</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19,411</w:t>
            </w:r>
          </w:p>
        </w:tc>
        <w:tc>
          <w:tcPr>
            <w:tcW w:w="220" w:type="dxa"/>
            <w:vAlign w:val="bottom"/>
          </w:tcPr>
          <w:p>
            <w:pPr>
              <w:spacing w:after="0"/>
              <w:rPr>
                <w:sz w:val="19"/>
                <w:szCs w:val="19"/>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of rental equipment</w:t>
            </w: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52,103</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42,265</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9,838</w:t>
            </w:r>
          </w:p>
        </w:tc>
        <w:tc>
          <w:tcPr>
            <w:tcW w:w="220" w:type="dxa"/>
            <w:vAlign w:val="bottom"/>
          </w:tcPr>
          <w:p>
            <w:pPr>
              <w:spacing w:after="0"/>
              <w:rPr>
                <w:sz w:val="20"/>
                <w:szCs w:val="20"/>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23.3 %</w:t>
            </w:r>
          </w:p>
        </w:tc>
        <w:tc>
          <w:tcPr>
            <w:tcW w:w="0" w:type="dxa"/>
            <w:vAlign w:val="bottom"/>
          </w:tcPr>
          <w:p>
            <w:pPr>
              <w:spacing w:after="0"/>
              <w:rPr>
                <w:sz w:val="1"/>
                <w:szCs w:val="1"/>
                <w:color w:val="auto"/>
              </w:rPr>
            </w:pPr>
          </w:p>
        </w:tc>
      </w:tr>
      <w:tr>
        <w:trPr>
          <w:trHeight w:val="243"/>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of new equipment</w:t>
            </w: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220" w:type="dxa"/>
            <w:vAlign w:val="bottom"/>
          </w:tcPr>
          <w:p>
            <w:pPr>
              <w:spacing w:after="0"/>
              <w:rPr>
                <w:sz w:val="21"/>
                <w:szCs w:val="21"/>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51.4 %</w:t>
            </w:r>
          </w:p>
        </w:tc>
        <w:tc>
          <w:tcPr>
            <w:tcW w:w="0" w:type="dxa"/>
            <w:vAlign w:val="bottom"/>
          </w:tcPr>
          <w:p>
            <w:pPr>
              <w:spacing w:after="0"/>
              <w:rPr>
                <w:sz w:val="1"/>
                <w:szCs w:val="1"/>
                <w:color w:val="auto"/>
              </w:rPr>
            </w:pPr>
          </w:p>
        </w:tc>
      </w:tr>
      <w:tr>
        <w:trPr>
          <w:trHeight w:val="25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Parts, service and other</w:t>
            </w:r>
          </w:p>
        </w:tc>
        <w:tc>
          <w:tcPr>
            <w:tcW w:w="3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10,327</w:t>
            </w: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14,382</w:t>
            </w: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(4,055 )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(28.2 )%</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gross profit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336,145</w:t>
            </w:r>
          </w:p>
        </w:tc>
        <w:tc>
          <w:tcPr>
            <w:tcW w:w="26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309,739</w:t>
            </w:r>
          </w:p>
        </w:tc>
        <w:tc>
          <w:tcPr>
            <w:tcW w:w="24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26,406</w:t>
            </w:r>
          </w:p>
        </w:tc>
        <w:tc>
          <w:tcPr>
            <w:tcW w:w="220" w:type="dxa"/>
            <w:vAlign w:val="bottom"/>
          </w:tcPr>
          <w:p>
            <w:pPr>
              <w:spacing w:after="0"/>
              <w:rPr>
                <w:sz w:val="20"/>
                <w:szCs w:val="20"/>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8.5 %</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-650240</wp:posOffset>
            </wp:positionV>
            <wp:extent cx="7132320" cy="1543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-967105</wp:posOffset>
            </wp:positionV>
            <wp:extent cx="7132320" cy="1625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-341630</wp:posOffset>
            </wp:positionV>
            <wp:extent cx="7132320" cy="1625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56" w:lineRule="exact"/>
        <w:rPr>
          <w:sz w:val="20"/>
          <w:szCs w:val="20"/>
          <w:color w:val="auto"/>
        </w:rPr>
      </w:pPr>
    </w:p>
    <w:p>
      <w:pPr>
        <w:ind w:right="380"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Total Gross Profit</w:t>
      </w:r>
      <w:r>
        <w:rPr>
          <w:rFonts w:ascii="Times New Roman" w:cs="Times New Roman" w:eastAsia="Times New Roman" w:hAnsi="Times New Roman"/>
          <w:sz w:val="18"/>
          <w:szCs w:val="18"/>
          <w:color w:val="auto"/>
        </w:rPr>
        <w:t>. Our total gross profit was $336.1 million for the six months ended June 30, 2024 compared to $309.7 million for the six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2023, an increase of $26.4 million, or 8.5%. Total gross profit margin for the six months ended June 30, 2024 was 45.0%, a decrease of 0.4% from the 45.4% gross profit margin for the six months ended June 30, 2023. Gross profits and gross margins of our business activities are further described below.</w:t>
      </w:r>
    </w:p>
    <w:p>
      <w:pPr>
        <w:spacing w:after="0" w:line="138" w:lineRule="exact"/>
        <w:rPr>
          <w:sz w:val="20"/>
          <w:szCs w:val="20"/>
          <w:color w:val="auto"/>
        </w:rPr>
      </w:pPr>
    </w:p>
    <w:p>
      <w:pPr>
        <w:ind w:right="380"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Equipment Rentals Gross Profit</w:t>
      </w:r>
      <w:r>
        <w:rPr>
          <w:rFonts w:ascii="Times New Roman" w:cs="Times New Roman" w:eastAsia="Times New Roman" w:hAnsi="Times New Roman"/>
          <w:sz w:val="18"/>
          <w:szCs w:val="18"/>
          <w:color w:val="auto"/>
        </w:rPr>
        <w:t>. Our total gross profit from equipment rentals for the six months ended June 30, 2024 increased $19.4 million,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7.7%, to $270.1 million from $250.7 million in the six months ended June 30, 2023. Total gross profit margin from equipment rentals for the six months ended June 30, 2024 was 44.5% compared to 45.3% for the same period in 2023, a decrease of 0.8%.</w:t>
      </w:r>
    </w:p>
    <w:p>
      <w:pPr>
        <w:spacing w:after="0" w:line="132" w:lineRule="exact"/>
        <w:rPr>
          <w:sz w:val="20"/>
          <w:szCs w:val="20"/>
          <w:color w:val="auto"/>
        </w:rPr>
      </w:pPr>
    </w:p>
    <w:p>
      <w:pPr>
        <w:ind w:right="120" w:firstLine="37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Rentals: </w:t>
      </w:r>
      <w:r>
        <w:rPr>
          <w:rFonts w:ascii="Times New Roman" w:cs="Times New Roman" w:eastAsia="Times New Roman" w:hAnsi="Times New Roman"/>
          <w:sz w:val="18"/>
          <w:szCs w:val="18"/>
          <w:color w:val="auto"/>
        </w:rPr>
        <w:t>Rental revenues gross profit increased $21.1 million, or 8.6%, to $267.5 million for the six months ended June 30, 2024 compared to $246.4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six months ended June 30, 2023. The increased gross profit was the result of increased rental revenues of $46.4 million for the six months ended June 30, 2024 compared to the same period last year, which was partially offset by a $16.0 million increase in rental depreciation and a $9.3 million increase in rental expenses. The increase in depreciation expense is primarily due to a larger fleet size in the current period as compared to the prior period. Gross profit margin on rentals for the six months ended June 30, 2024 was 49.8% compared to 50.2% for the six months ended June 30, 2023, a decrease of 0.4%. Depreciation expense was 34.2% of rental revenues for both the six months ended June 30, 2024 and 2023. As a percentage of revenues, rental expenses were 16.0% for the six months ended June 30, 2024 compared to 15.6% for the same period last year, an increase of 0.4%.</w:t>
      </w:r>
    </w:p>
    <w:p>
      <w:pPr>
        <w:spacing w:after="0" w:line="160" w:lineRule="exact"/>
        <w:rPr>
          <w:sz w:val="20"/>
          <w:szCs w:val="20"/>
          <w:color w:val="auto"/>
        </w:rPr>
      </w:pPr>
    </w:p>
    <w:p>
      <w:pPr>
        <w:jc w:val="both"/>
        <w:ind w:right="260"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Rentals Other: </w:t>
      </w:r>
      <w:r>
        <w:rPr>
          <w:rFonts w:ascii="Times New Roman" w:cs="Times New Roman" w:eastAsia="Times New Roman" w:hAnsi="Times New Roman"/>
          <w:sz w:val="18"/>
          <w:szCs w:val="18"/>
          <w:color w:val="auto"/>
        </w:rPr>
        <w:t>Our rentals other revenue consists primarily of equipment support activities that we provide to customers in connection with renting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such as hauling charges, damage waiver policies, environmental and other recovery fees. Rental other revenues gross profit for the six months ended June 30, 2024 was $2.7 million compared to $4.3 million for the same period in 2023, a decrease of $1.7 million. Gross profit margin was 3.8% for the six months ended June 30, 2024 compared to 6.9% for the same period last year, a decrease of 3.1%.</w:t>
      </w:r>
    </w:p>
    <w:p>
      <w:pPr>
        <w:spacing w:after="0" w:line="138" w:lineRule="exact"/>
        <w:rPr>
          <w:sz w:val="20"/>
          <w:szCs w:val="20"/>
          <w:color w:val="auto"/>
        </w:rPr>
      </w:pPr>
    </w:p>
    <w:p>
      <w:pPr>
        <w:ind w:right="140" w:firstLine="37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Sales of Rental Equipment Gross Profit. </w:t>
      </w:r>
      <w:r>
        <w:rPr>
          <w:rFonts w:ascii="Times New Roman" w:cs="Times New Roman" w:eastAsia="Times New Roman" w:hAnsi="Times New Roman"/>
          <w:sz w:val="18"/>
          <w:szCs w:val="18"/>
          <w:color w:val="auto"/>
        </w:rPr>
        <w:t>Our sales of rental equipment gross profit for the six months ended June 30, 2024 increased $9.8 million,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23.3%, to $52.1 million from $42.3 million in the same period in 2023 on increased sales of rental equipment of $11.3 million. Gross profit margin on sales of rental equipment for the six months ended June 30, 2024 was approximately 62.7%, up 3.8% from 58.9% for the six months ended June 30, 2023, primarily as a result of higher used equipment gross margins on aerial work platform equipment. Our sales from rental fleet were approximately 270.0% and 245.1% of net book value for the six months ended June 30, 2024 and 2023, respectively.</w:t>
      </w:r>
    </w:p>
    <w:p>
      <w:pPr>
        <w:spacing w:after="0" w:line="1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 xml:space="preserve">Sales of New Equipment Gross Profit. </w:t>
      </w:r>
      <w:r>
        <w:rPr>
          <w:rFonts w:ascii="Times New Roman" w:cs="Times New Roman" w:eastAsia="Times New Roman" w:hAnsi="Times New Roman"/>
          <w:sz w:val="18"/>
          <w:szCs w:val="18"/>
          <w:color w:val="auto"/>
        </w:rPr>
        <w:t>Our sales of new equipment gross profit for the six months ended June 30, 2024 increased $1.2 million, or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51.4%, to $3.6 million compared to $2.4 million for the six months ended June 30, 2023 on increased sales of new equipment of $4.4 million. Gross profit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margin on sales of new equipment was 16.9% for the six months ended June 30, 2024, compared to 14.1% for the same period last year, an increase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w:t>
      </w:r>
    </w:p>
    <w:p>
      <w:pPr>
        <w:spacing w:after="0" w:line="177" w:lineRule="exact"/>
        <w:rPr>
          <w:sz w:val="20"/>
          <w:szCs w:val="20"/>
          <w:color w:val="auto"/>
        </w:rPr>
      </w:pPr>
    </w:p>
    <w:p>
      <w:pPr>
        <w:jc w:val="both"/>
        <w:ind w:right="200"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Parts, Service and Other Gross Profit. </w:t>
      </w:r>
      <w:r>
        <w:rPr>
          <w:rFonts w:ascii="Times New Roman" w:cs="Times New Roman" w:eastAsia="Times New Roman" w:hAnsi="Times New Roman"/>
          <w:sz w:val="18"/>
          <w:szCs w:val="18"/>
          <w:color w:val="auto"/>
        </w:rPr>
        <w:t>Our parts, service and other revenues gross profit for the six months ended June 30, 2024 was $10.3 million,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of $4.1 million, or 28.2%, from a gross profit of $14.4 million for the same period last year on decreased parts, service and other revenues of $5.0 million. Gross profit margin for the six months ended June 30, 2024 and 2023 was 28.8% and 35.2%, respectively.</w:t>
      </w:r>
    </w:p>
    <w:p>
      <w:pPr>
        <w:spacing w:after="0" w:line="130" w:lineRule="exact"/>
        <w:rPr>
          <w:sz w:val="20"/>
          <w:szCs w:val="20"/>
          <w:color w:val="auto"/>
        </w:rPr>
      </w:pPr>
    </w:p>
    <w:p>
      <w:pPr>
        <w:ind w:right="260" w:firstLine="37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SG&amp;A expenses increased $31.5 million, or 16.2%, to $226.1 million for the six months ended June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30, 2024 compared to $194.6 million for the six months ended June 30, 2023. Employee salaries, wages, payroll</w:t>
      </w:r>
    </w:p>
    <w:p>
      <w:pPr>
        <w:spacing w:after="0" w:line="15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236" w:right="239" w:bottom="1440" w:gutter="0" w:footer="0" w:header="0"/>
        </w:sectPr>
      </w:pPr>
    </w:p>
    <w:bookmarkStart w:id="30" w:name="page31"/>
    <w:bookmarkEnd w:id="30"/>
    <w:p>
      <w:pPr>
        <w:ind w:right="20"/>
        <w:spacing w:after="0" w:line="258" w:lineRule="auto"/>
        <w:rPr>
          <w:sz w:val="20"/>
          <w:szCs w:val="20"/>
          <w:color w:val="auto"/>
        </w:rPr>
      </w:pPr>
      <w:r>
        <w:rPr>
          <w:rFonts w:ascii="Times New Roman" w:cs="Times New Roman" w:eastAsia="Times New Roman" w:hAnsi="Times New Roman"/>
          <w:sz w:val="18"/>
          <w:szCs w:val="18"/>
          <w:color w:val="auto"/>
        </w:rPr>
        <w:t>taxes and other employee related expenses increased $15.0 million due to increased wages, commissions, headcount and health insurance. Depreciation and amortization expenses increased $4.7 million, facility expenses increased $4.2 million, professional fees increased $2.1 million and liability insurance costs increased $1.9 million. Approximately $20.8 million of the total increase in SG&amp;A expenses was attributable to branches opened or acquired since January 1, 2023 with less than six months of comparable operations in either or both of the six months ended June 30, 2024 and 2023. SG&amp;A expenses as a percentage of total revenues for the six months ended June 30, 2024 and 2023 were 30.2% and 28.5%, respectively.</w:t>
      </w:r>
    </w:p>
    <w:p>
      <w:pPr>
        <w:spacing w:after="0" w:line="151" w:lineRule="exact"/>
        <w:rPr>
          <w:sz w:val="20"/>
          <w:szCs w:val="20"/>
          <w:color w:val="auto"/>
        </w:rPr>
      </w:pPr>
    </w:p>
    <w:p>
      <w:pPr>
        <w:jc w:val="both"/>
        <w:ind w:right="260" w:firstLine="37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Gain on Sales of Property &amp; Equipment (Net). </w:t>
      </w:r>
      <w:r>
        <w:rPr>
          <w:rFonts w:ascii="Times New Roman" w:cs="Times New Roman" w:eastAsia="Times New Roman" w:hAnsi="Times New Roman"/>
          <w:sz w:val="18"/>
          <w:szCs w:val="18"/>
          <w:color w:val="auto"/>
        </w:rPr>
        <w:t>We had net gains on sales of property and equipment of $4.8 million for the six months ended June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30, 2024 compared to $1.1 million for the same period last year, an increase of $3.7 million. This increase is due to fluctuations in the normal course of business.</w:t>
      </w:r>
    </w:p>
    <w:p>
      <w:pPr>
        <w:spacing w:after="0" w:line="129" w:lineRule="exact"/>
        <w:rPr>
          <w:sz w:val="20"/>
          <w:szCs w:val="20"/>
          <w:color w:val="auto"/>
        </w:rPr>
      </w:pPr>
    </w:p>
    <w:p>
      <w:pPr>
        <w:ind w:right="240" w:firstLine="37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(Expense). </w:t>
      </w:r>
      <w:r>
        <w:rPr>
          <w:rFonts w:ascii="Times New Roman" w:cs="Times New Roman" w:eastAsia="Times New Roman" w:hAnsi="Times New Roman"/>
          <w:sz w:val="18"/>
          <w:szCs w:val="18"/>
          <w:color w:val="auto"/>
        </w:rPr>
        <w:t>For the six months ended June 30, 2024, our net other expenses were $33.6 million compared to $25.6 million for the six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June 30, 2023. Interest expense was $36.6 million for the six months ended June 30, 2024 compared to $28.4 million for the six months ended June 30, 2023. The increase in interest expense is largely due to higher borrowings on our Credit Facility.</w:t>
      </w:r>
    </w:p>
    <w:p>
      <w:pPr>
        <w:spacing w:after="0" w:line="1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We recorded an income tax expense of $22.1 million for the six months ended June 30, 2024 compared to an income tax expense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$23.7 million for the six months ended June 30, 2023. Our effective income tax rate for the six months ended June 30, 2024 was 27.2% compared to 26.2%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same period in 2023. Based on available evidence, both positive and negative, we believe it is more likely than not that our federal deferred tax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at June 30, 2024 are fully realizable through future reversals of existing taxable temporary differences and future taxable income. As of June 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we have a valuation allowance of $3.0 million for certain state tax credits that may not be realized.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Cash Flow From Operating Activities. </w:t>
      </w:r>
      <w:r>
        <w:rPr>
          <w:rFonts w:ascii="Times New Roman" w:cs="Times New Roman" w:eastAsia="Times New Roman" w:hAnsi="Times New Roman"/>
          <w:sz w:val="18"/>
          <w:szCs w:val="18"/>
          <w:color w:val="auto"/>
        </w:rPr>
        <w:t>For the six months ended June 30, 2024, the net cash provided by our operating activities was $216.4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reported net income of $59.2 million, when adjusted for non-cash income and expense items, such as depreciation and amortization, deferred income taxes, net amortization (accretion) of note discount (premium), provision for losses on accounts receivable, provision for inventory obsolescence, stock-based compensation expense and net gains on the sale of long-lived assets, provided positive cash flows of $250.0 million. These cash flows from operating activities were also positively impacted by a $3.0 million decrease in inventories driven by the classification of rental equipment at the time of purchase and a $1.8 million decrease in receivables. Partially offsetting these positive cash flows were a $22.1 million decrease in accounts payable, a $9.3 million increase in prepaid expenses and other assets, a $7.0 million decrease in accrued expenses payable and other liabilities and an $0.1 million decrease in manufacturing flooring plans payable.</w:t>
      </w:r>
    </w:p>
    <w:p>
      <w:pPr>
        <w:spacing w:after="0" w:line="164" w:lineRule="exact"/>
        <w:rPr>
          <w:sz w:val="20"/>
          <w:szCs w:val="20"/>
          <w:color w:val="auto"/>
        </w:rPr>
      </w:pPr>
    </w:p>
    <w:p>
      <w:pPr>
        <w:ind w:right="60" w:firstLine="374"/>
        <w:spacing w:after="0" w:line="255" w:lineRule="auto"/>
        <w:rPr>
          <w:sz w:val="20"/>
          <w:szCs w:val="20"/>
          <w:color w:val="auto"/>
        </w:rPr>
      </w:pPr>
      <w:r>
        <w:rPr>
          <w:rFonts w:ascii="Times New Roman" w:cs="Times New Roman" w:eastAsia="Times New Roman" w:hAnsi="Times New Roman"/>
          <w:sz w:val="18"/>
          <w:szCs w:val="18"/>
          <w:color w:val="auto"/>
        </w:rPr>
        <w:t>For the six months ended June 30, 2023, the net cash provided by our operating activities was $134.9 million. Our reported net income of $66.9 million, when adjusted for non-cash income and expense items, such as depreciation and amortization, deferred income taxes, net amortization (accretion) of note discount (premium), provision for losses on accounts receivable, impairment of goodwill, provision for inventory obsolescence, stock-based compensation expense and net gains on the sale of long-lived assets, provided positive cash flows of $248.5 million. These cash flows from operating activities were also positively impacted by a $61.7 million increase in accounts payable and a $2.1 million increase in manufacturing flooring plans payable. Partially offsetting these positive cash flows were a $154.7 million increase in inventories, a $3.2 million increase in accounts receivables, a $13.3 million increase in prepaid expenses and other assets and a $6.2 million decrease in accrued expenses payable and other liabilities.</w:t>
      </w:r>
    </w:p>
    <w:p>
      <w:pPr>
        <w:spacing w:after="0" w:line="144" w:lineRule="exact"/>
        <w:rPr>
          <w:sz w:val="20"/>
          <w:szCs w:val="20"/>
          <w:color w:val="auto"/>
        </w:rPr>
      </w:pPr>
    </w:p>
    <w:p>
      <w:pPr>
        <w:ind w:right="220"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Cash Flow From Investing Activities. </w:t>
      </w:r>
      <w:r>
        <w:rPr>
          <w:rFonts w:ascii="Times New Roman" w:cs="Times New Roman" w:eastAsia="Times New Roman" w:hAnsi="Times New Roman"/>
          <w:sz w:val="18"/>
          <w:szCs w:val="18"/>
          <w:color w:val="auto"/>
        </w:rPr>
        <w:t>For the six months ended June 30, 2024, our net cash used in our investing activities was $298.3 million.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aggregate cumulative cash consideration paid for the acquisitions of Lewistown and Precision was approximately $157.7 million; see additional information on the acquisition in Note 3 to our Condensed Consolidated Financial Statements. Purchases of rental and non-rental equipment were $228.9 million and proceeds from the sale of rental and non-rental equipment were $88.2 million.</w:t>
      </w:r>
    </w:p>
    <w:p>
      <w:pPr>
        <w:spacing w:after="0" w:line="140" w:lineRule="exact"/>
        <w:rPr>
          <w:sz w:val="20"/>
          <w:szCs w:val="20"/>
          <w:color w:val="auto"/>
        </w:rPr>
      </w:pPr>
    </w:p>
    <w:p>
      <w:pPr>
        <w:ind w:right="20" w:firstLine="374"/>
        <w:spacing w:after="0" w:line="281" w:lineRule="auto"/>
        <w:rPr>
          <w:sz w:val="20"/>
          <w:szCs w:val="20"/>
          <w:color w:val="auto"/>
        </w:rPr>
      </w:pPr>
      <w:r>
        <w:rPr>
          <w:rFonts w:ascii="Times New Roman" w:cs="Times New Roman" w:eastAsia="Times New Roman" w:hAnsi="Times New Roman"/>
          <w:sz w:val="18"/>
          <w:szCs w:val="18"/>
          <w:color w:val="auto"/>
        </w:rPr>
        <w:t>For the six months ended June 30, 2023, our net cash used in our investing activities was $268.9 million. Purchases of rental and non-rental equipment were $341.5 million and proceeds from the sale of rental and non-rental equipment were $72.6 million.</w:t>
      </w:r>
    </w:p>
    <w:p>
      <w:pPr>
        <w:spacing w:after="0" w:line="134" w:lineRule="exact"/>
        <w:rPr>
          <w:sz w:val="20"/>
          <w:szCs w:val="20"/>
          <w:color w:val="auto"/>
        </w:rPr>
      </w:pPr>
    </w:p>
    <w:p>
      <w:pPr>
        <w:ind w:right="240"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Flow From Financing Activities. </w:t>
      </w:r>
      <w:r>
        <w:rPr>
          <w:rFonts w:ascii="Times New Roman" w:cs="Times New Roman" w:eastAsia="Times New Roman" w:hAnsi="Times New Roman"/>
          <w:sz w:val="18"/>
          <w:szCs w:val="18"/>
          <w:color w:val="auto"/>
        </w:rPr>
        <w:t>For the six months ended June 30, 2024, our net cash provided by our financing activities was $82.1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Borrowings on our senior secured credit facility amounted to $1.0 billion while payments on the facility amounted to $918.2 million for the six months ended June 30, 2024. Dividends paid totaled $20.1 million, or $0.55 per common share, and treasury stock purchases totaled $3.4 million.</w:t>
      </w:r>
    </w:p>
    <w:p>
      <w:pPr>
        <w:spacing w:after="0" w:line="134" w:lineRule="exact"/>
        <w:rPr>
          <w:sz w:val="20"/>
          <w:szCs w:val="20"/>
          <w:color w:val="auto"/>
        </w:rPr>
      </w:pPr>
    </w:p>
    <w:p>
      <w:pPr>
        <w:ind w:right="100" w:firstLine="374"/>
        <w:spacing w:after="0" w:line="281" w:lineRule="auto"/>
        <w:rPr>
          <w:sz w:val="20"/>
          <w:szCs w:val="20"/>
          <w:color w:val="auto"/>
        </w:rPr>
      </w:pPr>
      <w:r>
        <w:rPr>
          <w:rFonts w:ascii="Times New Roman" w:cs="Times New Roman" w:eastAsia="Times New Roman" w:hAnsi="Times New Roman"/>
          <w:sz w:val="18"/>
          <w:szCs w:val="18"/>
          <w:color w:val="auto"/>
        </w:rPr>
        <w:t>For the six months ended June 30, 2023, our net cash provided by our financing activities was $99.6 million. Borrowings on our senior secured credit facility amounted to $876.4 million while payments on the facility amounted to $748.7 million for the six months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31" w:name="page32"/>
    <w:bookmarkEnd w:id="31"/>
    <w:p>
      <w:pPr>
        <w:ind w:right="280"/>
        <w:spacing w:after="0" w:line="281" w:lineRule="auto"/>
        <w:rPr>
          <w:sz w:val="20"/>
          <w:szCs w:val="20"/>
          <w:color w:val="auto"/>
        </w:rPr>
      </w:pPr>
      <w:r>
        <w:rPr>
          <w:rFonts w:ascii="Times New Roman" w:cs="Times New Roman" w:eastAsia="Times New Roman" w:hAnsi="Times New Roman"/>
          <w:sz w:val="18"/>
          <w:szCs w:val="18"/>
          <w:color w:val="auto"/>
        </w:rPr>
        <w:t>ended June 30, 2023. Dividends paid totaled $20.0 million, or $0.55 per common share, and treasury stock purchases totaled $3.2 million. Payments on deferred financing costs related to the amended and restated credit facility totaled $4.9 million.</w:t>
      </w:r>
    </w:p>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Senior Unsecured Notes</w:t>
      </w:r>
    </w:p>
    <w:p>
      <w:pPr>
        <w:spacing w:after="0" w:line="121" w:lineRule="exact"/>
        <w:rPr>
          <w:sz w:val="20"/>
          <w:szCs w:val="20"/>
          <w:color w:val="auto"/>
        </w:rPr>
      </w:pPr>
    </w:p>
    <w:p>
      <w:pPr>
        <w:ind w:right="220" w:firstLine="374"/>
        <w:spacing w:after="0" w:line="281" w:lineRule="auto"/>
        <w:rPr>
          <w:sz w:val="20"/>
          <w:szCs w:val="20"/>
          <w:color w:val="auto"/>
        </w:rPr>
      </w:pPr>
      <w:r>
        <w:rPr>
          <w:rFonts w:ascii="Times New Roman" w:cs="Times New Roman" w:eastAsia="Times New Roman" w:hAnsi="Times New Roman"/>
          <w:sz w:val="18"/>
          <w:szCs w:val="18"/>
          <w:color w:val="auto"/>
        </w:rPr>
        <w:t>On December 14, 2020, we completed the offering of our Senior Unsecured Notes of $1.25 billion. No principal payments on the Senior Unsecured Notes are due until their scheduled maturity date of December 15, 2028.</w:t>
      </w:r>
    </w:p>
    <w:p>
      <w:pPr>
        <w:spacing w:after="0" w:line="136" w:lineRule="exact"/>
        <w:rPr>
          <w:sz w:val="20"/>
          <w:szCs w:val="20"/>
          <w:color w:val="auto"/>
        </w:rPr>
      </w:pPr>
    </w:p>
    <w:p>
      <w:pPr>
        <w:ind w:right="100" w:firstLine="374"/>
        <w:spacing w:after="0" w:line="255" w:lineRule="auto"/>
        <w:rPr>
          <w:sz w:val="20"/>
          <w:szCs w:val="20"/>
          <w:color w:val="auto"/>
        </w:rPr>
      </w:pPr>
      <w:r>
        <w:rPr>
          <w:rFonts w:ascii="Times New Roman" w:cs="Times New Roman" w:eastAsia="Times New Roman" w:hAnsi="Times New Roman"/>
          <w:sz w:val="18"/>
          <w:szCs w:val="18"/>
          <w:color w:val="auto"/>
        </w:rPr>
        <w:t>The Senior Unsecured Notes were issued by H&amp;E Equipment Services, Inc. (the parent company) and are guaranteed by GNE Investments, Inc. and its wholly-owned subsidiaries Great Northern Equipment, Inc., H&amp;E Equipment Services (California), LLC, H&amp;E California Holding, Inc., H&amp;E Equipment Services (Midwest), Inc., H&amp;E Equipment Services (Mid-Atlantic), Inc. and H&amp;E Finance Corp (collectively, the guarantor subsidiaries). The guarantees, made on a joint and several basis, are full and unconditional (subject to subordination provisions and subject to a standard limitation which provides that the maximum amount guaranteed by each guarantor will not exceed the maximum amount that can be guaranteed without making the guarantee void under fraudulent conveyance laws). There are no restrictions on H&amp;E Equipment Services, Inc.’s ability to obtain funds from the guarantor subsidiaries by dividend or loan. There are no registration rights associated with the notes or the subsidiary guarantees.</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Senior Secured Credit Facility</w:t>
      </w:r>
    </w:p>
    <w:p>
      <w:pPr>
        <w:spacing w:after="0" w:line="121" w:lineRule="exact"/>
        <w:rPr>
          <w:sz w:val="20"/>
          <w:szCs w:val="20"/>
          <w:color w:val="auto"/>
        </w:rPr>
      </w:pPr>
    </w:p>
    <w:p>
      <w:pPr>
        <w:ind w:right="220" w:firstLine="374"/>
        <w:spacing w:after="0" w:line="258" w:lineRule="auto"/>
        <w:rPr>
          <w:sz w:val="20"/>
          <w:szCs w:val="20"/>
          <w:color w:val="auto"/>
        </w:rPr>
      </w:pPr>
      <w:r>
        <w:rPr>
          <w:rFonts w:ascii="Times New Roman" w:cs="Times New Roman" w:eastAsia="Times New Roman" w:hAnsi="Times New Roman"/>
          <w:sz w:val="18"/>
          <w:szCs w:val="18"/>
          <w:color w:val="auto"/>
        </w:rPr>
        <w:t>We and our subsidiaries are parties to a $750.0 million senior secured credit facility (our “Credit Facility”) with Wells Fargo Bank, National Association as administrative agent, and the lenders named therein. At June 30, 2024, we had $287.3 million borrowed under the Credit Facility and we could borrow up to $450.4 million, which with cash on hand amounted to a liquidity position of $459.0 million. We did not have any covenant violations related to the Credit Facility. At July 23, 2024, we had we had borrowings of $300.4 million outstanding under our Credit Facility leaving us with borrowing availability of $437.3 million, as a result of $12.3 million letters of credit outstanding under the facility.</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Cash Requirements Related to Operations</w:t>
      </w:r>
    </w:p>
    <w:p>
      <w:pPr>
        <w:spacing w:after="0" w:line="121"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Our principal sources of liquidity have been from cash provided by operating activities and the revenue from our rental operations and sales of rental fleet and new equipment, proceeds from the issuance of debt, and borrowings available under the Credit Facility. As of June 30, 2024, the Company held balances of cash totaling $8.6 million. As of December 31, 2023, the Company held balances of cash totaling $8.5 million. Our principal uses of cash historically have been to fund operating activities and working capital, purchases of rental fleet equipment, inventory and property and equipment, opening new branch locations, fund payments due under facility operating leases and manufacturer flooring plans payable, and to meet debt service requirements. In the future, we may pursue additional strategic acquisitions and seek to open new branch locations.</w:t>
      </w:r>
    </w:p>
    <w:p>
      <w:pPr>
        <w:spacing w:after="0" w:line="145"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The amount of our future capital expenditures will depend on a number of factors including general economic conditions and growth prospects. In response to changing economic conditions, we believe we have the flexibility to modify our capital expenditures by adjusting them (either up or down) to match our actual performance. The condensed consolidated statements of cash flows include the payments for purchases of rental fleet, but does not reflect gross rental fleet capital expenditures which include items such as non-cash components. Our gross rental fleet capital expenditures for the six months ended June 30, 2024 and 2023 were approximately $196.5 million and $375.1 million, respectively. This decrease in rental fleet capital expenditures reflects the normalization of fleet purchasing in the current quarter as compared to the prior year. Our gross property and equipment capital expenditures for the six months ended June 30, 2024 and 2023 were $77.1 million and $33.4 million, respectively.</w:t>
      </w:r>
    </w:p>
    <w:p>
      <w:pPr>
        <w:spacing w:after="0" w:line="146" w:lineRule="exact"/>
        <w:rPr>
          <w:sz w:val="20"/>
          <w:szCs w:val="20"/>
          <w:color w:val="auto"/>
        </w:rPr>
      </w:pPr>
    </w:p>
    <w:p>
      <w:pPr>
        <w:ind w:right="120" w:firstLine="374"/>
        <w:spacing w:after="0" w:line="254" w:lineRule="auto"/>
        <w:rPr>
          <w:sz w:val="20"/>
          <w:szCs w:val="20"/>
          <w:color w:val="auto"/>
        </w:rPr>
      </w:pPr>
      <w:r>
        <w:rPr>
          <w:rFonts w:ascii="Times New Roman" w:cs="Times New Roman" w:eastAsia="Times New Roman" w:hAnsi="Times New Roman"/>
          <w:sz w:val="18"/>
          <w:szCs w:val="18"/>
          <w:color w:val="auto"/>
        </w:rPr>
        <w:t>To service our debt, we will require a significant amount of cash. Our ability to pay interest and principal on our indebtedness (including the Credit Facility, the Senior Unsecured Notes and our other indebtedness), will depend upon our future operating performance and the availability of borrowings under the Credit Facility and/or other debt and equity financing alternatives available to us, which will be affected by prevailing economic conditions and conditions in the global credit and capital markets, as well as financial, business and other factors, some of which are beyond our control. Based on our current level of operations and given the current state of the capital markets, we believe our cash flow from operations, available cash and available borrowings under the Credit Facility will be adequate to meet our future liquidity needs for the foreseeable future, both in the short-term (over the next 12 months) and beyond. As noted earlier, at June 30, 2024, we had cash on hand of $8.6 million. At June 30, 2024, we had available borrowings of $450.4 million, net of $12.3 million of outstanding letters of credit. At July 23, 2024, we had $437.3 million of available borrowings under the Credit Facility, net of $12.3 million of outstanding letters of credit.</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9"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Quarterly Dividend</w:t>
      </w:r>
    </w:p>
    <w:p>
      <w:pPr>
        <w:spacing w:after="0" w:line="121" w:lineRule="exact"/>
        <w:rPr>
          <w:sz w:val="20"/>
          <w:szCs w:val="20"/>
          <w:color w:val="auto"/>
        </w:rPr>
      </w:pPr>
    </w:p>
    <w:p>
      <w:pPr>
        <w:ind w:right="20" w:firstLine="374"/>
        <w:spacing w:after="0" w:line="260" w:lineRule="auto"/>
        <w:rPr>
          <w:sz w:val="20"/>
          <w:szCs w:val="20"/>
          <w:color w:val="auto"/>
        </w:rPr>
      </w:pPr>
      <w:r>
        <w:rPr>
          <w:rFonts w:ascii="Times New Roman" w:cs="Times New Roman" w:eastAsia="Times New Roman" w:hAnsi="Times New Roman"/>
          <w:sz w:val="18"/>
          <w:szCs w:val="18"/>
          <w:color w:val="auto"/>
        </w:rPr>
        <w:t>On May 16, 2024, the Company announced a quarterly dividend of $0.275 per share to stockholders of record, which was paid on June 14, 2024, totaling approximately $10.0 million. The Company intends to continue to pay regular quarterly cash dividends; however, the declaration of any subsequent dividends is discretionary and will be subject to a final determination by the Board of Directors each quarter after its review of, among other things, business and market conditions.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and Commercial Commitments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There have been no material changes from the information included in our Annual Report on Form 10-K for the year ended December 31,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160" w:firstLine="374"/>
        <w:spacing w:after="0" w:line="260" w:lineRule="auto"/>
        <w:rPr>
          <w:sz w:val="20"/>
          <w:szCs w:val="20"/>
          <w:color w:val="auto"/>
        </w:rPr>
      </w:pPr>
      <w:r>
        <w:rPr>
          <w:rFonts w:ascii="Times New Roman" w:cs="Times New Roman" w:eastAsia="Times New Roman" w:hAnsi="Times New Roman"/>
          <w:sz w:val="18"/>
          <w:szCs w:val="18"/>
          <w:color w:val="auto"/>
        </w:rPr>
        <w:t>Our earnings may be affected by changes in interest rates since interest expense on the Credit Facility is currently calculated based upon (a) the Base Rate plus an applicable margin of 0.25% to 0.75%, depending on the Average Availability (as defined in the Credit Facility), in the case of index rate revolving loans and (b) SOFR plus a credit spread adjustment and an applicable margin of 1.25% to 1.75%, depending on the Average Availability (as defined in the Credit Facility), in the case of SOFR revolving loans.</w:t>
      </w:r>
    </w:p>
    <w:p>
      <w:pPr>
        <w:spacing w:after="0" w:line="74" w:lineRule="exact"/>
        <w:rPr>
          <w:sz w:val="20"/>
          <w:szCs w:val="20"/>
          <w:color w:val="auto"/>
        </w:rPr>
      </w:pPr>
    </w:p>
    <w:p>
      <w:pPr>
        <w:ind w:right="60" w:firstLine="374"/>
        <w:spacing w:after="0" w:line="265" w:lineRule="auto"/>
        <w:rPr>
          <w:sz w:val="20"/>
          <w:szCs w:val="20"/>
          <w:color w:val="auto"/>
        </w:rPr>
      </w:pPr>
      <w:r>
        <w:rPr>
          <w:rFonts w:ascii="Times New Roman" w:cs="Times New Roman" w:eastAsia="Times New Roman" w:hAnsi="Times New Roman"/>
          <w:sz w:val="18"/>
          <w:szCs w:val="18"/>
          <w:color w:val="auto"/>
        </w:rPr>
        <w:t>With the exception of the above, there have been no significant changes in our exposure to market risk during the three and six months ended June 30, 2024. For an additional discussion of our exposure to market risk, refer to Item 7A, “Quantitative and Qualitative Disclosures about Market Risk,” contained in our Annual Report on Form 10-K for the fiscal year ended December 31, 2023.</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Management’s Quarterly Evaluation of Disclosure Controls and Procedures</w:t>
      </w:r>
    </w:p>
    <w:p>
      <w:pPr>
        <w:spacing w:after="0" w:line="119" w:lineRule="exact"/>
        <w:rPr>
          <w:sz w:val="20"/>
          <w:szCs w:val="20"/>
          <w:color w:val="auto"/>
        </w:rPr>
      </w:pPr>
    </w:p>
    <w:p>
      <w:pPr>
        <w:ind w:right="180" w:firstLine="374"/>
        <w:spacing w:after="0" w:line="280" w:lineRule="auto"/>
        <w:rPr>
          <w:sz w:val="20"/>
          <w:szCs w:val="20"/>
          <w:color w:val="auto"/>
        </w:rPr>
      </w:pPr>
      <w:r>
        <w:rPr>
          <w:rFonts w:ascii="Times New Roman" w:cs="Times New Roman" w:eastAsia="Times New Roman" w:hAnsi="Times New Roman"/>
          <w:sz w:val="17"/>
          <w:szCs w:val="17"/>
          <w:color w:val="auto"/>
        </w:rPr>
        <w:t>We maintain disclosure controls and procedures that are designed to ensure that information required to be disclosed in the reports that the Company files or furnishes under the Securities Exchange Act of 1934, as amended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financial disclosure.</w:t>
      </w:r>
    </w:p>
    <w:p>
      <w:pPr>
        <w:spacing w:after="0" w:line="126" w:lineRule="exact"/>
        <w:rPr>
          <w:sz w:val="20"/>
          <w:szCs w:val="20"/>
          <w:color w:val="auto"/>
        </w:rPr>
      </w:pPr>
    </w:p>
    <w:p>
      <w:pPr>
        <w:ind w:right="60" w:firstLine="374"/>
        <w:spacing w:after="0" w:line="220" w:lineRule="exact"/>
        <w:rPr>
          <w:sz w:val="20"/>
          <w:szCs w:val="20"/>
          <w:color w:val="auto"/>
        </w:rPr>
      </w:pPr>
      <w:r>
        <w:rPr>
          <w:rFonts w:ascii="Times New Roman" w:cs="Times New Roman" w:eastAsia="Times New Roman" w:hAnsi="Times New Roman"/>
          <w:sz w:val="18"/>
          <w:szCs w:val="18"/>
          <w:color w:val="auto"/>
        </w:rPr>
        <w:t>Our Chief Executive Officer and Chief Financial Officer (our principal executive officer and principal financial officer, respectively) have evaluated the effectiveness of our disclosure controls and procedures (as defined in Rule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15d-15(e) promulgated under the Exchange Act) as of the end of the period covered by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Based on this evaluation, our principal executive officer and principal financial officer have concluded that, as of June 30, 2024, our current disclosure controls and procedures were effective.</w:t>
      </w:r>
    </w:p>
    <w:p>
      <w:pPr>
        <w:spacing w:after="0" w:line="172" w:lineRule="exact"/>
        <w:rPr>
          <w:sz w:val="20"/>
          <w:szCs w:val="20"/>
          <w:color w:val="auto"/>
        </w:rPr>
      </w:pPr>
    </w:p>
    <w:p>
      <w:pPr>
        <w:jc w:val="both"/>
        <w:ind w:right="280" w:firstLine="374"/>
        <w:spacing w:after="0" w:line="280" w:lineRule="auto"/>
        <w:rPr>
          <w:sz w:val="20"/>
          <w:szCs w:val="20"/>
          <w:color w:val="auto"/>
        </w:rPr>
      </w:pPr>
      <w:r>
        <w:rPr>
          <w:rFonts w:ascii="Times New Roman" w:cs="Times New Roman" w:eastAsia="Times New Roman" w:hAnsi="Times New Roman"/>
          <w:sz w:val="17"/>
          <w:szCs w:val="17"/>
          <w:color w:val="auto"/>
        </w:rPr>
        <w:t>The design of any system of control is based upon certain assumptions about the likelihood of future events, and there can be no assurance that any design will succeed in achieving its stated objectives under all future events, no matter how remote, or that the degree of compliance with the policies or procedures may not deteriorate. Because of its inherent limitations, disclosure controls and procedures may not prevent or detect all misstatements. Accordingly, even effective disclosure controls and procedures can only provide reasonable assurance of achieving their control objectives.</w:t>
      </w:r>
    </w:p>
    <w:p>
      <w:pPr>
        <w:spacing w:after="0" w:line="1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ind w:right="240" w:firstLine="374"/>
        <w:spacing w:after="0" w:line="265"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defined in Exchange Act Rule 13a-15(f)) that occurred during the three months ended June 30, 2024 that have materially affected, or are reasonably likely to materially affect, the Company’s internal control over financial reporting.</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firstLine="374"/>
        <w:spacing w:after="0" w:line="260" w:lineRule="auto"/>
        <w:rPr>
          <w:sz w:val="20"/>
          <w:szCs w:val="20"/>
          <w:color w:val="auto"/>
        </w:rPr>
      </w:pPr>
      <w:r>
        <w:rPr>
          <w:rFonts w:ascii="Times New Roman" w:cs="Times New Roman" w:eastAsia="Times New Roman" w:hAnsi="Times New Roman"/>
          <w:sz w:val="18"/>
          <w:szCs w:val="18"/>
          <w:color w:val="auto"/>
        </w:rPr>
        <w:t>From time to time, we are involved in various claims and legal actions arising in the ordinary course of our business. In the opinion of management, after consultation with legal counsel, the ultimate disposition of these various matters will not have a material adverse effect on the Company’s consolidated financial position, results of operations or liquidity. We are exposed to various claims relating to our business, including those for which we retain portions of the losses through the application of deductibles and</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33" w:name="page34"/>
    <w:bookmarkEnd w:id="33"/>
    <w:p>
      <w:pPr>
        <w:ind w:right="260"/>
        <w:spacing w:after="0" w:line="281" w:lineRule="auto"/>
        <w:rPr>
          <w:sz w:val="20"/>
          <w:szCs w:val="20"/>
          <w:color w:val="auto"/>
        </w:rPr>
      </w:pPr>
      <w:r>
        <w:rPr>
          <w:rFonts w:ascii="Times New Roman" w:cs="Times New Roman" w:eastAsia="Times New Roman" w:hAnsi="Times New Roman"/>
          <w:sz w:val="18"/>
          <w:szCs w:val="18"/>
          <w:color w:val="auto"/>
        </w:rPr>
        <w:t>self-insured retentions, or self-insurance. Losses that exceed our deductibles and self-insured retentions are insured through various commercial lines of insurance policies.</w:t>
      </w:r>
    </w:p>
    <w:p>
      <w:pPr>
        <w:spacing w:after="0" w:line="122" w:lineRule="exact"/>
        <w:rPr>
          <w:sz w:val="20"/>
          <w:szCs w:val="20"/>
          <w:color w:val="auto"/>
        </w:rPr>
      </w:pPr>
    </w:p>
    <w:p>
      <w:pPr>
        <w:ind w:right="320" w:firstLine="374"/>
        <w:spacing w:after="0" w:line="265" w:lineRule="auto"/>
        <w:rPr>
          <w:sz w:val="20"/>
          <w:szCs w:val="20"/>
          <w:color w:val="auto"/>
        </w:rPr>
      </w:pPr>
      <w:r>
        <w:rPr>
          <w:rFonts w:ascii="Times New Roman" w:cs="Times New Roman" w:eastAsia="Times New Roman" w:hAnsi="Times New Roman"/>
          <w:sz w:val="18"/>
          <w:szCs w:val="18"/>
          <w:color w:val="auto"/>
        </w:rPr>
        <w:t>We are also involved in various other claims and legal actions arising in the ordinary course of business. In the opinion of management, after consultation with legal counsel, the ultimate disposition of these various matters will not have a material adverse effect on the Company’s consolidated financial position, results of operations or liquidity.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firstLine="374"/>
        <w:spacing w:after="0" w:line="265"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on Form 10-Q, you should carefully consider the factors discussed in Part I, Item 1A - “Risk Factors,” in our Annual Report on Form 10-K for the year ended December 31, 2023, which could materially affect our business, financial condition or future results.</w:t>
      </w:r>
    </w:p>
    <w:p>
      <w:pPr>
        <w:spacing w:after="0" w:line="150" w:lineRule="exact"/>
        <w:rPr>
          <w:sz w:val="20"/>
          <w:szCs w:val="20"/>
          <w:color w:val="auto"/>
        </w:rPr>
      </w:pPr>
    </w:p>
    <w:p>
      <w:pPr>
        <w:ind w:right="380" w:firstLine="374"/>
        <w:spacing w:after="0" w:line="281" w:lineRule="auto"/>
        <w:rPr>
          <w:sz w:val="20"/>
          <w:szCs w:val="20"/>
          <w:color w:val="auto"/>
        </w:rPr>
      </w:pPr>
      <w:r>
        <w:rPr>
          <w:rFonts w:ascii="Times New Roman" w:cs="Times New Roman" w:eastAsia="Times New Roman" w:hAnsi="Times New Roman"/>
          <w:sz w:val="18"/>
          <w:szCs w:val="18"/>
          <w:color w:val="auto"/>
        </w:rPr>
        <w:t>As of the date of this Quarterly Report on Form 10-Q, there have been no material changes with respect to the Company’s risk factors previously disclosed in our Annual Report on Form 10-K for the year ended December 31, 2023.</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5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Certification pursuant to Section 302 of the Sarbanes-Oxley Act of 2002 (filed herewith).</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5700" w:type="dxa"/>
            <w:vAlign w:val="bottom"/>
            <w:tcBorders>
              <w:right w:val="single" w:sz="8" w:color="0000EE"/>
            </w:tcBorders>
            <w:shd w:val="clear" w:color="auto" w:fill="0000FF"/>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37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5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Certification pursuant to Section 302 of the Sarbanes-Oxley Act of 2002 (filed herewith).</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5700" w:type="dxa"/>
            <w:vAlign w:val="bottom"/>
            <w:tcBorders>
              <w:right w:val="single" w:sz="8" w:color="0000EE"/>
            </w:tcBorders>
            <w:shd w:val="clear" w:color="auto" w:fill="0000FF"/>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37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5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Certification pursuant to 18 U.S.C. Section 1350, as Adopted Pursuant to Section 906 of the Sarbanes-Oxley Act of 2002 (furnished</w:t>
            </w:r>
          </w:p>
        </w:tc>
      </w:tr>
      <w:tr>
        <w:trPr>
          <w:trHeight w:val="20"/>
        </w:trPr>
        <w:tc>
          <w:tcPr>
            <w:tcW w:w="1160" w:type="dxa"/>
            <w:vAlign w:val="bottom"/>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8800" w:type="dxa"/>
            <w:vAlign w:val="bottom"/>
            <w:gridSpan w:val="2"/>
            <w:shd w:val="clear" w:color="auto" w:fill="0000FF"/>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9520" w:type="dxa"/>
            <w:vAlign w:val="bottom"/>
            <w:gridSpan w:val="3"/>
          </w:tcPr>
          <w:p>
            <w:pPr>
              <w:spacing w:after="0" w:line="195" w:lineRule="exact"/>
              <w:rPr>
                <w:sz w:val="20"/>
                <w:szCs w:val="20"/>
                <w:color w:val="auto"/>
              </w:rPr>
            </w:pPr>
            <w:r>
              <w:rPr>
                <w:rFonts w:ascii="Times New Roman" w:cs="Times New Roman" w:eastAsia="Times New Roman" w:hAnsi="Times New Roman"/>
                <w:sz w:val="18"/>
                <w:szCs w:val="18"/>
                <w:color w:val="0000FF"/>
              </w:rPr>
              <w:t>herewith).</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EE"/>
            </w:tcBorders>
            <w:shd w:val="clear" w:color="auto" w:fill="0000FF"/>
          </w:tcPr>
          <w:p>
            <w:pPr>
              <w:spacing w:after="0" w:line="20" w:lineRule="exact"/>
              <w:rPr>
                <w:sz w:val="1"/>
                <w:szCs w:val="1"/>
                <w:color w:val="auto"/>
              </w:rPr>
            </w:pPr>
          </w:p>
        </w:tc>
        <w:tc>
          <w:tcPr>
            <w:tcW w:w="8800" w:type="dxa"/>
            <w:vAlign w:val="bottom"/>
            <w:gridSpan w:val="2"/>
          </w:tcPr>
          <w:p>
            <w:pPr>
              <w:spacing w:after="0" w:line="20" w:lineRule="exact"/>
              <w:rPr>
                <w:sz w:val="1"/>
                <w:szCs w:val="1"/>
                <w:color w:val="auto"/>
              </w:rPr>
            </w:pPr>
          </w:p>
        </w:tc>
      </w:tr>
      <w:tr>
        <w:trPr>
          <w:trHeight w:val="41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Instance Document (filed herewith).</w:t>
            </w:r>
          </w:p>
        </w:tc>
      </w:tr>
      <w:tr>
        <w:trPr>
          <w:trHeight w:val="39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 (filed herewith).</w:t>
            </w:r>
          </w:p>
        </w:tc>
      </w:tr>
    </w:tbl>
    <w:p>
      <w:pPr>
        <w:spacing w:after="0" w:line="157" w:lineRule="exact"/>
        <w:rPr>
          <w:sz w:val="20"/>
          <w:szCs w:val="20"/>
          <w:color w:val="auto"/>
        </w:rPr>
      </w:pPr>
    </w:p>
    <w:p>
      <w:pPr>
        <w:ind w:left="5540" w:right="3460" w:hanging="5519"/>
        <w:spacing w:after="0" w:line="797" w:lineRule="auto"/>
        <w:tabs>
          <w:tab w:leader="none" w:pos="11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161925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2" w:right="399" w:bottom="1440" w:gutter="0" w:footer="0" w:header="0"/>
        </w:sectPr>
      </w:pPr>
    </w:p>
    <w:bookmarkStart w:id="34" w:name="page35"/>
    <w:bookmarkEnd w:id="34"/>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74"/>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the registrant has duly caused this report to be signed on its behalf by the undersigned thereunto duly authorized.</w:t>
      </w:r>
    </w:p>
    <w:p>
      <w:pPr>
        <w:spacing w:after="0" w:line="176"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H&amp;E EQUIPMENT SERVICES, INC.</w:t>
      </w:r>
    </w:p>
    <w:p>
      <w:pPr>
        <w:spacing w:after="0" w:line="278" w:lineRule="exact"/>
        <w:rPr>
          <w:sz w:val="20"/>
          <w:szCs w:val="20"/>
          <w:color w:val="auto"/>
        </w:rPr>
      </w:pPr>
    </w:p>
    <w:p>
      <w:pPr>
        <w:ind w:left="20"/>
        <w:spacing w:after="0"/>
        <w:tabs>
          <w:tab w:leader="none" w:pos="6680" w:val="left"/>
        </w:tabs>
        <w:rPr>
          <w:sz w:val="20"/>
          <w:szCs w:val="20"/>
          <w:color w:val="auto"/>
        </w:rPr>
      </w:pPr>
      <w:r>
        <w:rPr>
          <w:rFonts w:ascii="Times New Roman" w:cs="Times New Roman" w:eastAsia="Times New Roman" w:hAnsi="Times New Roman"/>
          <w:sz w:val="18"/>
          <w:szCs w:val="18"/>
          <w:color w:val="auto"/>
        </w:rPr>
        <w:t>Dated: July 30, 2024</w:t>
      </w:r>
      <w:r>
        <w:rPr>
          <w:sz w:val="20"/>
          <w:szCs w:val="20"/>
          <w:color w:val="auto"/>
        </w:rPr>
        <w:tab/>
      </w:r>
      <w:r>
        <w:rPr>
          <w:rFonts w:ascii="Times New Roman" w:cs="Times New Roman" w:eastAsia="Times New Roman" w:hAnsi="Times New Roman"/>
          <w:sz w:val="18"/>
          <w:szCs w:val="18"/>
          <w:color w:val="auto"/>
        </w:rPr>
        <w:t>By: /s/ Bradley W. Barber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4474845</wp:posOffset>
            </wp:positionH>
            <wp:positionV relativeFrom="paragraph">
              <wp:posOffset>26035</wp:posOffset>
            </wp:positionV>
            <wp:extent cx="266319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663190" cy="8255"/>
                    </a:xfrm>
                    <a:prstGeom prst="rect">
                      <a:avLst/>
                    </a:prstGeom>
                    <a:noFill/>
                  </pic:spPr>
                </pic:pic>
              </a:graphicData>
            </a:graphic>
          </wp:anchor>
        </w:drawing>
      </w:r>
    </w:p>
    <w:p>
      <w:pPr>
        <w:spacing w:after="0" w:line="29"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Bradley W. Barber</w:t>
      </w:r>
    </w:p>
    <w:p>
      <w:pPr>
        <w:spacing w:after="0" w:line="27"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9"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60" w:lineRule="exact"/>
        <w:rPr>
          <w:sz w:val="20"/>
          <w:szCs w:val="20"/>
          <w:color w:val="auto"/>
        </w:rPr>
      </w:pPr>
    </w:p>
    <w:p>
      <w:pPr>
        <w:ind w:left="20"/>
        <w:spacing w:after="0"/>
        <w:tabs>
          <w:tab w:leader="none" w:pos="6680" w:val="left"/>
        </w:tabs>
        <w:rPr>
          <w:sz w:val="20"/>
          <w:szCs w:val="20"/>
          <w:color w:val="auto"/>
        </w:rPr>
      </w:pPr>
      <w:r>
        <w:rPr>
          <w:rFonts w:ascii="Times New Roman" w:cs="Times New Roman" w:eastAsia="Times New Roman" w:hAnsi="Times New Roman"/>
          <w:sz w:val="18"/>
          <w:szCs w:val="18"/>
          <w:color w:val="auto"/>
        </w:rPr>
        <w:t>Dated: July 30, 2024</w:t>
      </w:r>
      <w:r>
        <w:rPr>
          <w:sz w:val="20"/>
          <w:szCs w:val="20"/>
          <w:color w:val="auto"/>
        </w:rPr>
        <w:tab/>
      </w:r>
      <w:r>
        <w:rPr>
          <w:rFonts w:ascii="Times New Roman" w:cs="Times New Roman" w:eastAsia="Times New Roman" w:hAnsi="Times New Roman"/>
          <w:sz w:val="18"/>
          <w:szCs w:val="18"/>
          <w:color w:val="auto"/>
        </w:rPr>
        <w:t>By: /s/ Leslie S. Magee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4474845</wp:posOffset>
            </wp:positionH>
            <wp:positionV relativeFrom="paragraph">
              <wp:posOffset>26035</wp:posOffset>
            </wp:positionV>
            <wp:extent cx="266319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663190" cy="8255"/>
                    </a:xfrm>
                    <a:prstGeom prst="rect">
                      <a:avLst/>
                    </a:prstGeom>
                    <a:noFill/>
                  </pic:spPr>
                </pic:pic>
              </a:graphicData>
            </a:graphic>
          </wp:anchor>
        </w:drawing>
      </w:r>
    </w:p>
    <w:p>
      <w:pPr>
        <w:spacing w:after="0" w:line="29"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Leslie S. Magee</w:t>
      </w:r>
    </w:p>
    <w:p>
      <w:pPr>
        <w:spacing w:after="0" w:line="27"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Chief Financial Officer and Secretary</w:t>
      </w:r>
    </w:p>
    <w:p>
      <w:pPr>
        <w:spacing w:after="0" w:line="9"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3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980" w:right="6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13a-14(a)/15d-14(a)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Bradley W. Barber, certify that:</w:t>
      </w:r>
    </w:p>
    <w:p>
      <w:pPr>
        <w:spacing w:after="0" w:line="117" w:lineRule="exact"/>
        <w:rPr>
          <w:sz w:val="20"/>
          <w:szCs w:val="20"/>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H&amp;E Equipment Services, Inc.;</w:t>
      </w:r>
    </w:p>
    <w:p>
      <w:pPr>
        <w:spacing w:after="0" w:line="116" w:lineRule="exact"/>
        <w:rPr>
          <w:rFonts w:ascii="Times New Roman" w:cs="Times New Roman" w:eastAsia="Times New Roman" w:hAnsi="Times New Roman"/>
          <w:sz w:val="18"/>
          <w:szCs w:val="18"/>
          <w:color w:val="auto"/>
        </w:rPr>
      </w:pPr>
    </w:p>
    <w:p>
      <w:pPr>
        <w:ind w:left="520" w:right="120" w:hanging="512"/>
        <w:spacing w:after="0" w:line="265"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69"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54" w:lineRule="exact"/>
        <w:rPr>
          <w:rFonts w:ascii="Times New Roman" w:cs="Times New Roman" w:eastAsia="Times New Roman" w:hAnsi="Times New Roman"/>
          <w:sz w:val="18"/>
          <w:szCs w:val="18"/>
          <w:color w:val="auto"/>
        </w:rPr>
      </w:pPr>
    </w:p>
    <w:p>
      <w:pPr>
        <w:ind w:left="520" w:right="260" w:hanging="512"/>
        <w:spacing w:after="0" w:line="265"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jc w:val="both"/>
        <w:ind w:left="1020" w:right="60" w:hanging="504"/>
        <w:spacing w:after="0" w:line="265"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1020" w:right="340" w:hanging="504"/>
        <w:spacing w:after="0" w:line="265"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jc w:val="both"/>
        <w:ind w:left="1020" w:right="500" w:hanging="504"/>
        <w:spacing w:after="0" w:line="312" w:lineRule="auto"/>
        <w:tabs>
          <w:tab w:leader="none" w:pos="102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020" w:right="60" w:hanging="504"/>
        <w:spacing w:after="0" w:line="265"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8"/>
          <w:szCs w:val="18"/>
          <w:color w:val="auto"/>
        </w:rPr>
      </w:pPr>
    </w:p>
    <w:p>
      <w:pPr>
        <w:ind w:left="520" w:right="160" w:hanging="512"/>
        <w:spacing w:after="0" w:line="281"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020" w:right="720" w:hanging="504"/>
        <w:spacing w:after="0" w:line="281"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020" w:right="480" w:hanging="503"/>
        <w:spacing w:after="0" w:line="281"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ind w:left="20"/>
        <w:spacing w:after="0"/>
        <w:tabs>
          <w:tab w:leader="none" w:pos="6740" w:val="left"/>
        </w:tabs>
        <w:rPr>
          <w:sz w:val="20"/>
          <w:szCs w:val="20"/>
          <w:color w:val="auto"/>
        </w:rPr>
      </w:pPr>
      <w:r>
        <w:rPr>
          <w:rFonts w:ascii="Times New Roman" w:cs="Times New Roman" w:eastAsia="Times New Roman" w:hAnsi="Times New Roman"/>
          <w:sz w:val="18"/>
          <w:szCs w:val="18"/>
          <w:color w:val="auto"/>
        </w:rPr>
        <w:t>Dated: July 30, 2024</w:t>
      </w:r>
      <w:r>
        <w:rPr>
          <w:sz w:val="20"/>
          <w:szCs w:val="20"/>
          <w:color w:val="auto"/>
        </w:rPr>
        <w:tab/>
      </w:r>
      <w:r>
        <w:rPr>
          <w:rFonts w:ascii="Times New Roman" w:cs="Times New Roman" w:eastAsia="Times New Roman" w:hAnsi="Times New Roman"/>
          <w:sz w:val="18"/>
          <w:szCs w:val="18"/>
          <w:color w:val="auto"/>
        </w:rPr>
        <w:t>By:  /s/ Bradley W. Barber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4534535</wp:posOffset>
            </wp:positionH>
            <wp:positionV relativeFrom="paragraph">
              <wp:posOffset>26035</wp:posOffset>
            </wp:positionV>
            <wp:extent cx="260286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602865" cy="8255"/>
                    </a:xfrm>
                    <a:prstGeom prst="rect">
                      <a:avLst/>
                    </a:prstGeom>
                    <a:noFill/>
                  </pic:spPr>
                </pic:pic>
              </a:graphicData>
            </a:graphic>
          </wp:anchor>
        </w:drawing>
      </w:r>
    </w:p>
    <w:p>
      <w:pPr>
        <w:spacing w:after="0" w:line="29"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Bradley W. Barber</w:t>
      </w:r>
    </w:p>
    <w:p>
      <w:pPr>
        <w:spacing w:after="0" w:line="27"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9"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13a-14(a)/15d-14(a)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Leslie S. Magee, certify that:</w:t>
      </w:r>
    </w:p>
    <w:p>
      <w:pPr>
        <w:spacing w:after="0" w:line="117" w:lineRule="exact"/>
        <w:rPr>
          <w:sz w:val="20"/>
          <w:szCs w:val="20"/>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H&amp;E Equipment Services, Inc.;</w:t>
      </w:r>
    </w:p>
    <w:p>
      <w:pPr>
        <w:spacing w:after="0" w:line="116" w:lineRule="exact"/>
        <w:rPr>
          <w:rFonts w:ascii="Times New Roman" w:cs="Times New Roman" w:eastAsia="Times New Roman" w:hAnsi="Times New Roman"/>
          <w:sz w:val="18"/>
          <w:szCs w:val="18"/>
          <w:color w:val="auto"/>
        </w:rPr>
      </w:pPr>
    </w:p>
    <w:p>
      <w:pPr>
        <w:ind w:left="520" w:right="120" w:hanging="512"/>
        <w:spacing w:after="0" w:line="265"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69"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54" w:lineRule="exact"/>
        <w:rPr>
          <w:rFonts w:ascii="Times New Roman" w:cs="Times New Roman" w:eastAsia="Times New Roman" w:hAnsi="Times New Roman"/>
          <w:sz w:val="18"/>
          <w:szCs w:val="18"/>
          <w:color w:val="auto"/>
        </w:rPr>
      </w:pPr>
    </w:p>
    <w:p>
      <w:pPr>
        <w:ind w:left="520" w:right="260" w:hanging="512"/>
        <w:spacing w:after="0" w:line="265"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jc w:val="both"/>
        <w:ind w:left="1020" w:right="60" w:hanging="504"/>
        <w:spacing w:after="0" w:line="265" w:lineRule="auto"/>
        <w:tabs>
          <w:tab w:leader="none" w:pos="10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1020" w:right="340" w:hanging="504"/>
        <w:spacing w:after="0" w:line="265" w:lineRule="auto"/>
        <w:tabs>
          <w:tab w:leader="none" w:pos="10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jc w:val="both"/>
        <w:ind w:left="1020" w:right="500" w:hanging="504"/>
        <w:spacing w:after="0" w:line="312" w:lineRule="auto"/>
        <w:tabs>
          <w:tab w:leader="none" w:pos="102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020" w:right="60" w:hanging="504"/>
        <w:spacing w:after="0" w:line="265" w:lineRule="auto"/>
        <w:tabs>
          <w:tab w:leader="none" w:pos="10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8"/>
          <w:szCs w:val="18"/>
          <w:color w:val="auto"/>
        </w:rPr>
      </w:pPr>
    </w:p>
    <w:p>
      <w:pPr>
        <w:ind w:left="520" w:right="160" w:hanging="512"/>
        <w:spacing w:after="0" w:line="281"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020" w:right="720" w:hanging="504"/>
        <w:spacing w:after="0" w:line="281" w:lineRule="auto"/>
        <w:tabs>
          <w:tab w:leader="none" w:pos="10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020" w:right="480" w:hanging="503"/>
        <w:spacing w:after="0" w:line="281" w:lineRule="auto"/>
        <w:tabs>
          <w:tab w:leader="none" w:pos="10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ind w:left="20"/>
        <w:spacing w:after="0"/>
        <w:tabs>
          <w:tab w:leader="none" w:pos="6740" w:val="left"/>
        </w:tabs>
        <w:rPr>
          <w:sz w:val="20"/>
          <w:szCs w:val="20"/>
          <w:color w:val="auto"/>
        </w:rPr>
      </w:pPr>
      <w:r>
        <w:rPr>
          <w:rFonts w:ascii="Times New Roman" w:cs="Times New Roman" w:eastAsia="Times New Roman" w:hAnsi="Times New Roman"/>
          <w:sz w:val="18"/>
          <w:szCs w:val="18"/>
          <w:color w:val="auto"/>
        </w:rPr>
        <w:t>Dated: July 30, 2024</w:t>
      </w:r>
      <w:r>
        <w:rPr>
          <w:sz w:val="20"/>
          <w:szCs w:val="20"/>
          <w:color w:val="auto"/>
        </w:rPr>
        <w:tab/>
      </w:r>
      <w:r>
        <w:rPr>
          <w:rFonts w:ascii="Times New Roman" w:cs="Times New Roman" w:eastAsia="Times New Roman" w:hAnsi="Times New Roman"/>
          <w:sz w:val="18"/>
          <w:szCs w:val="18"/>
          <w:color w:val="auto"/>
        </w:rPr>
        <w:t>By:  /s/ Leslie S. Magee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4534535</wp:posOffset>
            </wp:positionH>
            <wp:positionV relativeFrom="paragraph">
              <wp:posOffset>26035</wp:posOffset>
            </wp:positionV>
            <wp:extent cx="260286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602865" cy="8255"/>
                    </a:xfrm>
                    <a:prstGeom prst="rect">
                      <a:avLst/>
                    </a:prstGeom>
                    <a:noFill/>
                  </pic:spPr>
                </pic:pic>
              </a:graphicData>
            </a:graphic>
          </wp:anchor>
        </w:drawing>
      </w:r>
    </w:p>
    <w:p>
      <w:pPr>
        <w:spacing w:after="0" w:line="29"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Leslie S. Magee</w:t>
      </w:r>
    </w:p>
    <w:p>
      <w:pPr>
        <w:spacing w:after="0" w:line="27"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Chief Financial Officer and Secretary</w:t>
      </w:r>
    </w:p>
    <w:p>
      <w:pPr>
        <w:spacing w:after="0" w:line="9"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6" w:lineRule="exact"/>
        <w:rPr>
          <w:sz w:val="20"/>
          <w:szCs w:val="20"/>
          <w:color w:val="auto"/>
        </w:rPr>
      </w:pPr>
    </w:p>
    <w:p>
      <w:pPr>
        <w:jc w:val="both"/>
        <w:ind w:right="60" w:firstLine="509"/>
        <w:spacing w:after="0" w:line="260" w:lineRule="auto"/>
        <w:rPr>
          <w:sz w:val="20"/>
          <w:szCs w:val="20"/>
          <w:color w:val="auto"/>
        </w:rPr>
      </w:pPr>
      <w:r>
        <w:rPr>
          <w:rFonts w:ascii="Times New Roman" w:cs="Times New Roman" w:eastAsia="Times New Roman" w:hAnsi="Times New Roman"/>
          <w:sz w:val="18"/>
          <w:szCs w:val="18"/>
          <w:color w:val="auto"/>
        </w:rPr>
        <w:t>In connection with the Quarterly Report of H&amp;E Equipment Services, Inc. (the “Company”) on Form 10-Q for the period ended June 30, 2024 as filed with the Securities and Exchange Commission on the date hereof (the “Report”), I, Bradley W. Barber, Chief Executive Officer and Director of the Company, and Leslie S. Magee, Chief Financial Officer and Secretary of the Company, each certify, pursuant to 18 U.S.C. § 1350, as adopted pursuant to § 906 of the Sarbanes-Oxley Act of 2002, that:</w:t>
      </w:r>
    </w:p>
    <w:p>
      <w:pPr>
        <w:spacing w:after="0" w:line="74" w:lineRule="exact"/>
        <w:rPr>
          <w:sz w:val="20"/>
          <w:szCs w:val="20"/>
          <w:color w:val="auto"/>
        </w:rPr>
      </w:pPr>
    </w:p>
    <w:p>
      <w:pPr>
        <w:ind w:left="1020" w:hanging="504"/>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my knowledge, the Report fully complies with the requirements of Section 13(a) or 15(d) of the Securities Exchange Act of 1934; and</w:t>
      </w:r>
    </w:p>
    <w:p>
      <w:pPr>
        <w:spacing w:after="0" w:line="116" w:lineRule="exact"/>
        <w:rPr>
          <w:rFonts w:ascii="Times New Roman" w:cs="Times New Roman" w:eastAsia="Times New Roman" w:hAnsi="Times New Roman"/>
          <w:sz w:val="18"/>
          <w:szCs w:val="18"/>
          <w:color w:val="auto"/>
        </w:rPr>
      </w:pPr>
    </w:p>
    <w:p>
      <w:pPr>
        <w:ind w:left="1020" w:right="620" w:hanging="504"/>
        <w:spacing w:after="0" w:line="281"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6" w:lineRule="exact"/>
        <w:rPr>
          <w:sz w:val="20"/>
          <w:szCs w:val="20"/>
          <w:color w:val="auto"/>
        </w:rPr>
      </w:pPr>
    </w:p>
    <w:p>
      <w:pPr>
        <w:ind w:left="20"/>
        <w:spacing w:after="0"/>
        <w:tabs>
          <w:tab w:leader="none" w:pos="6520" w:val="left"/>
          <w:tab w:leader="none" w:pos="7020" w:val="left"/>
        </w:tabs>
        <w:rPr>
          <w:sz w:val="20"/>
          <w:szCs w:val="20"/>
          <w:color w:val="auto"/>
        </w:rPr>
      </w:pPr>
      <w:r>
        <w:rPr>
          <w:rFonts w:ascii="Times New Roman" w:cs="Times New Roman" w:eastAsia="Times New Roman" w:hAnsi="Times New Roman"/>
          <w:sz w:val="18"/>
          <w:szCs w:val="18"/>
          <w:color w:val="auto"/>
        </w:rPr>
        <w:t>Dated: July 30,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Bradley W. Barber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4465955</wp:posOffset>
            </wp:positionH>
            <wp:positionV relativeFrom="paragraph">
              <wp:posOffset>26035</wp:posOffset>
            </wp:positionV>
            <wp:extent cx="267144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671445" cy="8255"/>
                    </a:xfrm>
                    <a:prstGeom prst="rect">
                      <a:avLst/>
                    </a:prstGeom>
                    <a:noFill/>
                  </pic:spPr>
                </pic:pic>
              </a:graphicData>
            </a:graphic>
          </wp:anchor>
        </w:drawing>
      </w:r>
    </w:p>
    <w:p>
      <w:pPr>
        <w:spacing w:after="0" w:line="29"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color w:val="auto"/>
        </w:rPr>
        <w:t>Bradley W. Barber</w:t>
      </w:r>
    </w:p>
    <w:p>
      <w:pPr>
        <w:spacing w:after="0" w:line="27"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9"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60" w:lineRule="exact"/>
        <w:rPr>
          <w:sz w:val="20"/>
          <w:szCs w:val="20"/>
          <w:color w:val="auto"/>
        </w:rPr>
      </w:pPr>
    </w:p>
    <w:p>
      <w:pPr>
        <w:ind w:left="20"/>
        <w:spacing w:after="0"/>
        <w:tabs>
          <w:tab w:leader="none" w:pos="6520" w:val="left"/>
          <w:tab w:leader="none" w:pos="7020" w:val="left"/>
        </w:tabs>
        <w:rPr>
          <w:sz w:val="20"/>
          <w:szCs w:val="20"/>
          <w:color w:val="auto"/>
        </w:rPr>
      </w:pPr>
      <w:r>
        <w:rPr>
          <w:rFonts w:ascii="Times New Roman" w:cs="Times New Roman" w:eastAsia="Times New Roman" w:hAnsi="Times New Roman"/>
          <w:sz w:val="18"/>
          <w:szCs w:val="18"/>
          <w:color w:val="auto"/>
        </w:rPr>
        <w:t>Dated: July 30,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Leslie S. Magee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4465955</wp:posOffset>
            </wp:positionH>
            <wp:positionV relativeFrom="paragraph">
              <wp:posOffset>26035</wp:posOffset>
            </wp:positionV>
            <wp:extent cx="267144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671445" cy="8255"/>
                    </a:xfrm>
                    <a:prstGeom prst="rect">
                      <a:avLst/>
                    </a:prstGeom>
                    <a:noFill/>
                  </pic:spPr>
                </pic:pic>
              </a:graphicData>
            </a:graphic>
          </wp:anchor>
        </w:drawing>
      </w:r>
    </w:p>
    <w:p>
      <w:pPr>
        <w:spacing w:after="0" w:line="29"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color w:val="auto"/>
        </w:rPr>
        <w:t>Leslie S. Magee</w:t>
      </w:r>
    </w:p>
    <w:p>
      <w:pPr>
        <w:spacing w:after="0" w:line="27"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color w:val="auto"/>
        </w:rPr>
        <w:t>Chief Financial Officer and Secretary</w:t>
      </w:r>
    </w:p>
    <w:p>
      <w:pPr>
        <w:spacing w:after="0" w:line="9"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38" w:name="page39"/>
    <w:bookmarkEnd w:id="3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9"/>
    </w:lvl>
  </w:abstractNum>
  <w:abstractNum w:abstractNumId="6">
    <w:nsid w:val="7FDCC233"/>
    <w:multiLevelType w:val="hybridMultilevel"/>
    <w:lvl w:ilvl="0">
      <w:lvlJc w:val="left"/>
      <w:lvlText w:val="(%1)"/>
      <w:numFmt w:val="decimal"/>
      <w:start w:val="3"/>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2"/>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2"/>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2"/>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2"/>
    </w:lvl>
  </w:abstractNum>
  <w:abstractNum w:abstractNumId="15">
    <w:nsid w:val="7C83E458"/>
    <w:multiLevelType w:val="hybridMultilevel"/>
    <w:lvl w:ilvl="0">
      <w:lvlJc w:val="left"/>
      <w:lvlText w:val="(%1)"/>
      <w:numFmt w:val="decimal"/>
      <w:start w:val="3"/>
    </w:lvl>
    <w:lvl w:ilvl="1">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04"/>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2024-07-30T15:15:02Z</dcterms:created>
  <dcterms:modified xsi:type="dcterms:W3CDTF">2024-07-30T15:15:02Z</dcterms:modified>
</cp:coreProperties>
</file>