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82550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2720" w:type="dxa"/>
            <w:vAlign w:val="bottom"/>
            <w:gridSpan w:val="3"/>
          </w:tcPr>
          <w:p>
            <w:pPr>
              <w:ind w:left="260"/>
              <w:spacing w:after="0"/>
              <w:rPr>
                <w:sz w:val="20"/>
                <w:szCs w:val="20"/>
                <w:color w:val="auto"/>
              </w:rPr>
            </w:pPr>
            <w:r>
              <w:rPr>
                <w:rFonts w:ascii="Arial" w:cs="Arial" w:eastAsia="Arial" w:hAnsi="Arial"/>
                <w:sz w:val="14"/>
                <w:szCs w:val="14"/>
                <w:b w:val="1"/>
                <w:bCs w:val="1"/>
                <w:color w:val="auto"/>
              </w:rPr>
              <w:t>For the transition period from</w:t>
            </w:r>
          </w:p>
        </w:tc>
        <w:tc>
          <w:tcPr>
            <w:tcW w:w="5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Commission file number 000-51759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24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224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41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568"/>
        </w:trPr>
        <w:tc>
          <w:tcPr>
            <w:tcW w:w="11240" w:type="dxa"/>
            <w:vAlign w:val="bottom"/>
            <w:gridSpan w:val="10"/>
          </w:tcPr>
          <w:p>
            <w:pPr>
              <w:jc w:val="center"/>
              <w:spacing w:after="0"/>
              <w:rPr>
                <w:sz w:val="20"/>
                <w:szCs w:val="20"/>
                <w:color w:val="auto"/>
              </w:rPr>
            </w:pPr>
            <w:r>
              <w:rPr>
                <w:rFonts w:ascii="Arial" w:cs="Arial" w:eastAsia="Arial" w:hAnsi="Arial"/>
                <w:sz w:val="43"/>
                <w:szCs w:val="43"/>
                <w:b w:val="1"/>
                <w:bCs w:val="1"/>
                <w:color w:val="auto"/>
              </w:rPr>
              <w:t>H&amp;E EQUIPMENT SERVICES, INC.</w:t>
            </w:r>
          </w:p>
        </w:tc>
        <w:tc>
          <w:tcPr>
            <w:tcW w:w="0" w:type="dxa"/>
            <w:vAlign w:val="bottom"/>
          </w:tcPr>
          <w:p>
            <w:pPr>
              <w:spacing w:after="0"/>
              <w:rPr>
                <w:sz w:val="1"/>
                <w:szCs w:val="1"/>
                <w:color w:val="auto"/>
              </w:rPr>
            </w:pPr>
          </w:p>
        </w:tc>
      </w:tr>
      <w:tr>
        <w:trPr>
          <w:trHeight w:val="249"/>
        </w:trPr>
        <w:tc>
          <w:tcPr>
            <w:tcW w:w="3600" w:type="dxa"/>
            <w:vAlign w:val="bottom"/>
          </w:tcPr>
          <w:p>
            <w:pPr>
              <w:spacing w:after="0"/>
              <w:rPr>
                <w:sz w:val="21"/>
                <w:szCs w:val="21"/>
                <w:color w:val="auto"/>
              </w:rPr>
            </w:pPr>
          </w:p>
        </w:tc>
        <w:tc>
          <w:tcPr>
            <w:tcW w:w="3840" w:type="dxa"/>
            <w:vAlign w:val="bottom"/>
            <w:gridSpan w:val="8"/>
          </w:tcPr>
          <w:p>
            <w:pPr>
              <w:jc w:val="center"/>
              <w:ind w:left="128"/>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600" w:type="dxa"/>
            <w:vAlign w:val="bottom"/>
            <w:vMerge w:val="restart"/>
          </w:tcPr>
          <w:p>
            <w:pPr>
              <w:jc w:val="center"/>
              <w:ind w:left="1860"/>
              <w:spacing w:after="0"/>
              <w:rPr>
                <w:sz w:val="20"/>
                <w:szCs w:val="20"/>
                <w:color w:val="auto"/>
              </w:rPr>
            </w:pPr>
            <w:r>
              <w:rPr>
                <w:rFonts w:ascii="Arial" w:cs="Arial" w:eastAsia="Arial" w:hAnsi="Arial"/>
                <w:sz w:val="14"/>
                <w:szCs w:val="14"/>
                <w:b w:val="1"/>
                <w:bCs w:val="1"/>
                <w:color w:val="auto"/>
                <w:w w:val="94"/>
              </w:rPr>
              <w:t>Delaware</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0" w:type="dxa"/>
            <w:vAlign w:val="bottom"/>
            <w:vMerge w:val="restart"/>
          </w:tcPr>
          <w:p>
            <w:pPr>
              <w:jc w:val="right"/>
              <w:ind w:right="2333"/>
              <w:spacing w:after="0"/>
              <w:rPr>
                <w:sz w:val="20"/>
                <w:szCs w:val="20"/>
                <w:color w:val="auto"/>
              </w:rPr>
            </w:pPr>
            <w:r>
              <w:rPr>
                <w:rFonts w:ascii="Arial" w:cs="Arial" w:eastAsia="Arial" w:hAnsi="Arial"/>
                <w:sz w:val="14"/>
                <w:szCs w:val="14"/>
                <w:b w:val="1"/>
                <w:bCs w:val="1"/>
                <w:color w:val="auto"/>
              </w:rPr>
              <w:t>81-0553291</w:t>
            </w:r>
          </w:p>
        </w:tc>
        <w:tc>
          <w:tcPr>
            <w:tcW w:w="0" w:type="dxa"/>
            <w:vAlign w:val="bottom"/>
          </w:tcPr>
          <w:p>
            <w:pPr>
              <w:spacing w:after="0"/>
              <w:rPr>
                <w:sz w:val="1"/>
                <w:szCs w:val="1"/>
                <w:color w:val="auto"/>
              </w:rPr>
            </w:pPr>
          </w:p>
        </w:tc>
      </w:tr>
      <w:tr>
        <w:trPr>
          <w:trHeight w:val="236"/>
        </w:trPr>
        <w:tc>
          <w:tcPr>
            <w:tcW w:w="3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3600" w:type="dxa"/>
            <w:vAlign w:val="bottom"/>
          </w:tcPr>
          <w:p>
            <w:pPr>
              <w:jc w:val="center"/>
              <w:ind w:left="1840"/>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0" w:type="dxa"/>
            <w:vAlign w:val="bottom"/>
          </w:tcPr>
          <w:p>
            <w:pPr>
              <w:jc w:val="center"/>
              <w:ind w:right="1633"/>
              <w:spacing w:after="0" w:line="122" w:lineRule="exact"/>
              <w:rPr>
                <w:sz w:val="20"/>
                <w:szCs w:val="20"/>
                <w:color w:val="auto"/>
              </w:rPr>
            </w:pPr>
            <w:r>
              <w:rPr>
                <w:rFonts w:ascii="Arial" w:cs="Arial" w:eastAsia="Arial" w:hAnsi="Arial"/>
                <w:sz w:val="11"/>
                <w:szCs w:val="11"/>
                <w:b w:val="1"/>
                <w:bCs w:val="1"/>
                <w:color w:val="auto"/>
                <w:w w:val="93"/>
              </w:rPr>
              <w:t>(IRS Employer</w:t>
            </w:r>
          </w:p>
        </w:tc>
        <w:tc>
          <w:tcPr>
            <w:tcW w:w="0" w:type="dxa"/>
            <w:vAlign w:val="bottom"/>
          </w:tcPr>
          <w:p>
            <w:pPr>
              <w:spacing w:after="0"/>
              <w:rPr>
                <w:sz w:val="1"/>
                <w:szCs w:val="1"/>
                <w:color w:val="auto"/>
              </w:rPr>
            </w:pPr>
          </w:p>
        </w:tc>
      </w:tr>
      <w:tr>
        <w:trPr>
          <w:trHeight w:val="140"/>
        </w:trPr>
        <w:tc>
          <w:tcPr>
            <w:tcW w:w="3600" w:type="dxa"/>
            <w:vAlign w:val="bottom"/>
          </w:tcPr>
          <w:p>
            <w:pPr>
              <w:jc w:val="center"/>
              <w:ind w:left="1860"/>
              <w:spacing w:after="0"/>
              <w:rPr>
                <w:sz w:val="20"/>
                <w:szCs w:val="20"/>
                <w:color w:val="auto"/>
              </w:rPr>
            </w:pPr>
            <w:r>
              <w:rPr>
                <w:rFonts w:ascii="Arial" w:cs="Arial" w:eastAsia="Arial" w:hAnsi="Arial"/>
                <w:sz w:val="11"/>
                <w:szCs w:val="11"/>
                <w:b w:val="1"/>
                <w:bCs w:val="1"/>
                <w:color w:val="auto"/>
                <w:w w:val="91"/>
              </w:rPr>
              <w:t>Incorporation or Organization)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0" w:type="dxa"/>
            <w:vAlign w:val="bottom"/>
          </w:tcPr>
          <w:p>
            <w:pPr>
              <w:jc w:val="center"/>
              <w:ind w:right="1633"/>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69"/>
        </w:trPr>
        <w:tc>
          <w:tcPr>
            <w:tcW w:w="3600" w:type="dxa"/>
            <w:vAlign w:val="bottom"/>
          </w:tcPr>
          <w:p>
            <w:pPr>
              <w:jc w:val="center"/>
              <w:ind w:left="1860"/>
              <w:spacing w:after="0"/>
              <w:rPr>
                <w:sz w:val="20"/>
                <w:szCs w:val="20"/>
                <w:color w:val="auto"/>
              </w:rPr>
            </w:pPr>
            <w:r>
              <w:rPr>
                <w:rFonts w:ascii="Arial" w:cs="Arial" w:eastAsia="Arial" w:hAnsi="Arial"/>
                <w:sz w:val="14"/>
                <w:szCs w:val="14"/>
                <w:b w:val="1"/>
                <w:bCs w:val="1"/>
                <w:color w:val="auto"/>
                <w:w w:val="90"/>
              </w:rPr>
              <w:t>7500 Pecue Lane,</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320" w:type="dxa"/>
            <w:vAlign w:val="bottom"/>
            <w:gridSpan w:val="4"/>
          </w:tcPr>
          <w:p>
            <w:pPr>
              <w:jc w:val="center"/>
              <w:ind w:right="708"/>
              <w:spacing w:after="0"/>
              <w:rPr>
                <w:sz w:val="20"/>
                <w:szCs w:val="20"/>
                <w:color w:val="auto"/>
              </w:rPr>
            </w:pPr>
            <w:r>
              <w:rPr>
                <w:rFonts w:ascii="Arial" w:cs="Arial" w:eastAsia="Arial" w:hAnsi="Arial"/>
                <w:sz w:val="14"/>
                <w:szCs w:val="14"/>
                <w:b w:val="1"/>
                <w:bCs w:val="1"/>
                <w:color w:val="auto"/>
                <w:w w:val="91"/>
              </w:rPr>
              <w:t>Baton Rouge, Louisiana 70809</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0" w:type="dxa"/>
            <w:vAlign w:val="bottom"/>
          </w:tcPr>
          <w:p>
            <w:pPr>
              <w:jc w:val="right"/>
              <w:ind w:right="2233"/>
              <w:spacing w:after="0"/>
              <w:rPr>
                <w:sz w:val="20"/>
                <w:szCs w:val="20"/>
                <w:color w:val="auto"/>
              </w:rPr>
            </w:pPr>
            <w:r>
              <w:rPr>
                <w:rFonts w:ascii="Arial" w:cs="Arial" w:eastAsia="Arial" w:hAnsi="Arial"/>
                <w:sz w:val="14"/>
                <w:szCs w:val="14"/>
                <w:b w:val="1"/>
                <w:bCs w:val="1"/>
                <w:color w:val="auto"/>
              </w:rPr>
              <w:t>(225) 298-5200</w:t>
            </w:r>
          </w:p>
        </w:tc>
        <w:tc>
          <w:tcPr>
            <w:tcW w:w="0" w:type="dxa"/>
            <w:vAlign w:val="bottom"/>
          </w:tcPr>
          <w:p>
            <w:pPr>
              <w:spacing w:after="0"/>
              <w:rPr>
                <w:sz w:val="1"/>
                <w:szCs w:val="1"/>
                <w:color w:val="auto"/>
              </w:rPr>
            </w:pPr>
          </w:p>
        </w:tc>
      </w:tr>
      <w:tr>
        <w:trPr>
          <w:trHeight w:val="140"/>
        </w:trPr>
        <w:tc>
          <w:tcPr>
            <w:tcW w:w="6320" w:type="dxa"/>
            <w:vAlign w:val="bottom"/>
            <w:gridSpan w:val="4"/>
          </w:tcPr>
          <w:p>
            <w:pPr>
              <w:jc w:val="center"/>
              <w:ind w:right="708"/>
              <w:spacing w:after="0"/>
              <w:rPr>
                <w:sz w:val="20"/>
                <w:szCs w:val="20"/>
                <w:color w:val="auto"/>
              </w:rPr>
            </w:pPr>
            <w:r>
              <w:rPr>
                <w:rFonts w:ascii="Arial" w:cs="Arial" w:eastAsia="Arial" w:hAnsi="Arial"/>
                <w:sz w:val="11"/>
                <w:szCs w:val="11"/>
                <w:b w:val="1"/>
                <w:bCs w:val="1"/>
                <w:color w:val="auto"/>
                <w:w w:val="88"/>
              </w:rPr>
              <w:t>(Address of Principal Executive Offices, including Zip Code)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180" w:type="dxa"/>
            <w:vAlign w:val="bottom"/>
            <w:gridSpan w:val="2"/>
          </w:tcPr>
          <w:p>
            <w:pPr>
              <w:jc w:val="center"/>
              <w:ind w:right="1253"/>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0" w:type="dxa"/>
            <w:vAlign w:val="bottom"/>
          </w:tcPr>
          <w:p>
            <w:pPr>
              <w:spacing w:after="0"/>
              <w:rPr>
                <w:sz w:val="1"/>
                <w:szCs w:val="1"/>
                <w:color w:val="auto"/>
              </w:rPr>
            </w:pPr>
          </w:p>
        </w:tc>
      </w:tr>
      <w:tr>
        <w:trPr>
          <w:trHeight w:val="388"/>
        </w:trPr>
        <w:tc>
          <w:tcPr>
            <w:tcW w:w="3600" w:type="dxa"/>
            <w:vAlign w:val="bottom"/>
          </w:tcPr>
          <w:p>
            <w:pPr>
              <w:spacing w:after="0"/>
              <w:rPr>
                <w:sz w:val="24"/>
                <w:szCs w:val="24"/>
                <w:color w:val="auto"/>
              </w:rPr>
            </w:pPr>
          </w:p>
        </w:tc>
        <w:tc>
          <w:tcPr>
            <w:tcW w:w="3840" w:type="dxa"/>
            <w:vAlign w:val="bottom"/>
            <w:gridSpan w:val="8"/>
          </w:tcPr>
          <w:p>
            <w:pPr>
              <w:jc w:val="center"/>
              <w:ind w:left="12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0" w:type="dxa"/>
            <w:vAlign w:val="bottom"/>
            <w:tcBorders>
              <w:left w:val="single" w:sz="8" w:color="auto"/>
              <w:bottom w:val="single" w:sz="8" w:color="auto"/>
            </w:tcBorders>
          </w:tcPr>
          <w:p>
            <w:pPr>
              <w:jc w:val="center"/>
              <w:ind w:left="420"/>
              <w:spacing w:after="0" w:line="149" w:lineRule="exact"/>
              <w:rPr>
                <w:sz w:val="20"/>
                <w:szCs w:val="20"/>
                <w:color w:val="auto"/>
              </w:rPr>
            </w:pPr>
            <w:r>
              <w:rPr>
                <w:rFonts w:ascii="Arial" w:cs="Arial" w:eastAsia="Arial" w:hAnsi="Arial"/>
                <w:sz w:val="14"/>
                <w:szCs w:val="14"/>
                <w:color w:val="auto"/>
                <w:w w:val="94"/>
              </w:rPr>
              <w:t>Title of Each Class</w:t>
            </w:r>
          </w:p>
        </w:tc>
        <w:tc>
          <w:tcPr>
            <w:tcW w:w="64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left="248"/>
              <w:spacing w:after="0" w:line="149" w:lineRule="exact"/>
              <w:rPr>
                <w:sz w:val="20"/>
                <w:szCs w:val="20"/>
                <w:color w:val="auto"/>
              </w:rPr>
            </w:pPr>
            <w:r>
              <w:rPr>
                <w:rFonts w:ascii="Arial" w:cs="Arial" w:eastAsia="Arial" w:hAnsi="Arial"/>
                <w:sz w:val="14"/>
                <w:szCs w:val="14"/>
                <w:color w:val="auto"/>
                <w:w w:val="96"/>
              </w:rPr>
              <w:t>Trading Symbol(s)</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0" w:type="dxa"/>
            <w:vAlign w:val="bottom"/>
            <w:tcBorders>
              <w:bottom w:val="single" w:sz="8" w:color="auto"/>
              <w:right w:val="single" w:sz="8" w:color="auto"/>
            </w:tcBorders>
          </w:tcPr>
          <w:p>
            <w:pPr>
              <w:jc w:val="center"/>
              <w:ind w:right="433"/>
              <w:spacing w:after="0" w:line="149" w:lineRule="exact"/>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1"/>
        </w:trPr>
        <w:tc>
          <w:tcPr>
            <w:tcW w:w="3600" w:type="dxa"/>
            <w:vAlign w:val="bottom"/>
            <w:tcBorders>
              <w:left w:val="single" w:sz="8" w:color="auto"/>
            </w:tcBorders>
          </w:tcPr>
          <w:p>
            <w:pPr>
              <w:jc w:val="center"/>
              <w:ind w:left="420"/>
              <w:spacing w:after="0"/>
              <w:rPr>
                <w:sz w:val="20"/>
                <w:szCs w:val="20"/>
                <w:color w:val="auto"/>
              </w:rPr>
            </w:pPr>
            <w:r>
              <w:rPr>
                <w:rFonts w:ascii="Arial" w:cs="Arial" w:eastAsia="Arial" w:hAnsi="Arial"/>
                <w:sz w:val="14"/>
                <w:szCs w:val="14"/>
                <w:color w:val="auto"/>
                <w:w w:val="91"/>
              </w:rPr>
              <w:t>Common Stock, par value $0.01 per share</w:t>
            </w: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center"/>
              <w:ind w:left="228"/>
              <w:spacing w:after="0"/>
              <w:rPr>
                <w:sz w:val="20"/>
                <w:szCs w:val="20"/>
                <w:color w:val="auto"/>
              </w:rPr>
            </w:pPr>
            <w:r>
              <w:rPr>
                <w:rFonts w:ascii="Arial" w:cs="Arial" w:eastAsia="Arial" w:hAnsi="Arial"/>
                <w:sz w:val="14"/>
                <w:szCs w:val="14"/>
                <w:color w:val="auto"/>
                <w:w w:val="94"/>
              </w:rPr>
              <w:t>HEES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800" w:type="dxa"/>
            <w:vAlign w:val="bottom"/>
            <w:tcBorders>
              <w:right w:val="single" w:sz="8" w:color="auto"/>
            </w:tcBorders>
          </w:tcPr>
          <w:p>
            <w:pPr>
              <w:jc w:val="center"/>
              <w:ind w:right="433"/>
              <w:spacing w:after="0"/>
              <w:rPr>
                <w:sz w:val="20"/>
                <w:szCs w:val="20"/>
                <w:color w:val="auto"/>
              </w:rPr>
            </w:pPr>
            <w:r>
              <w:rPr>
                <w:rFonts w:ascii="Arial" w:cs="Arial" w:eastAsia="Arial" w:hAnsi="Arial"/>
                <w:sz w:val="14"/>
                <w:szCs w:val="14"/>
                <w:color w:val="auto"/>
                <w:w w:val="93"/>
              </w:rPr>
              <w:t>Nasdaq Global Market</w:t>
            </w:r>
          </w:p>
        </w:tc>
        <w:tc>
          <w:tcPr>
            <w:tcW w:w="0" w:type="dxa"/>
            <w:vAlign w:val="bottom"/>
          </w:tcPr>
          <w:p>
            <w:pPr>
              <w:spacing w:after="0"/>
              <w:rPr>
                <w:sz w:val="1"/>
                <w:szCs w:val="1"/>
                <w:color w:val="auto"/>
              </w:rPr>
            </w:pPr>
          </w:p>
        </w:tc>
      </w:tr>
      <w:tr>
        <w:trPr>
          <w:trHeight w:val="39"/>
        </w:trPr>
        <w:tc>
          <w:tcPr>
            <w:tcW w:w="3600" w:type="dxa"/>
            <w:vAlign w:val="bottom"/>
            <w:tcBorders>
              <w:left w:val="single" w:sz="8" w:color="auto"/>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right w:val="single" w:sz="8" w:color="auto"/>
            </w:tcBorders>
            <w:gridSpan w:val="2"/>
          </w:tcPr>
          <w:p>
            <w:pPr>
              <w:spacing w:after="0"/>
              <w:rPr>
                <w:sz w:val="3"/>
                <w:szCs w:val="3"/>
                <w:color w:val="auto"/>
              </w:rPr>
            </w:pPr>
          </w:p>
        </w:tc>
        <w:tc>
          <w:tcPr>
            <w:tcW w:w="41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427"/>
        </w:trPr>
        <w:tc>
          <w:tcPr>
            <w:tcW w:w="3600" w:type="dxa"/>
            <w:vAlign w:val="bottom"/>
          </w:tcPr>
          <w:p>
            <w:pPr>
              <w:spacing w:after="0"/>
              <w:rPr>
                <w:sz w:val="24"/>
                <w:szCs w:val="24"/>
                <w:color w:val="auto"/>
              </w:rPr>
            </w:pPr>
          </w:p>
        </w:tc>
        <w:tc>
          <w:tcPr>
            <w:tcW w:w="7640" w:type="dxa"/>
            <w:vAlign w:val="bottom"/>
            <w:gridSpan w:val="9"/>
          </w:tcPr>
          <w:p>
            <w:pPr>
              <w:jc w:val="center"/>
              <w:ind w:right="3513"/>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39"/>
        </w:trPr>
        <w:tc>
          <w:tcPr>
            <w:tcW w:w="4500" w:type="dxa"/>
            <w:vAlign w:val="bottom"/>
            <w:gridSpan w:val="3"/>
          </w:tcPr>
          <w:p>
            <w:pPr>
              <w:spacing w:after="0"/>
              <w:rPr>
                <w:sz w:val="3"/>
                <w:szCs w:val="3"/>
                <w:color w:val="auto"/>
              </w:rPr>
            </w:pPr>
          </w:p>
        </w:tc>
        <w:tc>
          <w:tcPr>
            <w:tcW w:w="2260" w:type="dxa"/>
            <w:vAlign w:val="bottom"/>
            <w:tcBorders>
              <w:bottom w:val="single" w:sz="8" w:color="auto"/>
            </w:tcBorders>
            <w:gridSpan w:val="3"/>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gridSpan w:val="2"/>
            <w:vMerge w:val="restart"/>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800" w:type="dxa"/>
            <w:vAlign w:val="bottom"/>
            <w:vMerge w:val="restart"/>
          </w:tcPr>
          <w:p>
            <w:pPr>
              <w:ind w:left="2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402"/>
        </w:trPr>
        <w:tc>
          <w:tcPr>
            <w:tcW w:w="6900" w:type="dxa"/>
            <w:vAlign w:val="bottom"/>
            <w:gridSpan w:val="7"/>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40" w:type="dxa"/>
            <w:vAlign w:val="bottom"/>
            <w:gridSpan w:val="2"/>
            <w:vMerge w:val="continue"/>
          </w:tcPr>
          <w:p>
            <w:pPr>
              <w:spacing w:after="0"/>
              <w:rPr>
                <w:sz w:val="24"/>
                <w:szCs w:val="24"/>
                <w:color w:val="auto"/>
              </w:rPr>
            </w:pPr>
          </w:p>
        </w:tc>
        <w:tc>
          <w:tcPr>
            <w:tcW w:w="3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90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4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800" w:type="dxa"/>
            <w:vAlign w:val="bottom"/>
          </w:tcPr>
          <w:p>
            <w:pPr>
              <w:ind w:left="14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ectPr>
          <w:pgSz w:w="11900" w:h="16838" w:orient="portrait"/>
          <w:cols w:equalWidth="0" w:num="1">
            <w:col w:w="11240"/>
          </w:cols>
          <w:pgMar w:left="320" w:top="445" w:right="339" w:bottom="1440" w:gutter="0" w:footer="0" w:header="0"/>
        </w:sectPr>
      </w:pPr>
    </w:p>
    <w:p>
      <w:pPr>
        <w:spacing w:after="0" w:line="73"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7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60" w:type="dxa"/>
            <w:vAlign w:val="bottom"/>
          </w:tcPr>
          <w:p>
            <w:pPr>
              <w:ind w:left="2420"/>
              <w:spacing w:after="0"/>
              <w:rPr>
                <w:sz w:val="20"/>
                <w:szCs w:val="20"/>
                <w:color w:val="auto"/>
              </w:rPr>
            </w:pPr>
            <w:r>
              <w:rPr>
                <w:rFonts w:ascii="Arial" w:cs="Arial" w:eastAsia="Arial" w:hAnsi="Arial"/>
                <w:sz w:val="14"/>
                <w:szCs w:val="14"/>
                <w:color w:val="auto"/>
              </w:rPr>
              <w:t>Accelerated Filer</w:t>
            </w:r>
          </w:p>
        </w:tc>
      </w:tr>
      <w:tr>
        <w:trPr>
          <w:trHeight w:val="310"/>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7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60" w:type="dxa"/>
            <w:vAlign w:val="bottom"/>
          </w:tcPr>
          <w:p>
            <w:pPr>
              <w:ind w:left="2420"/>
              <w:spacing w:after="0"/>
              <w:rPr>
                <w:sz w:val="20"/>
                <w:szCs w:val="20"/>
                <w:color w:val="auto"/>
              </w:rPr>
            </w:pPr>
            <w:r>
              <w:rPr>
                <w:rFonts w:ascii="Arial" w:cs="Arial" w:eastAsia="Arial" w:hAnsi="Arial"/>
                <w:sz w:val="14"/>
                <w:szCs w:val="14"/>
                <w:color w:val="auto"/>
                <w:w w:val="92"/>
              </w:rPr>
              <w:t>Smaller Reporting Company</w:t>
            </w:r>
          </w:p>
        </w:tc>
      </w:tr>
      <w:tr>
        <w:trPr>
          <w:trHeight w:val="310"/>
        </w:trPr>
        <w:tc>
          <w:tcPr>
            <w:tcW w:w="2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7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12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446" w:lineRule="exact"/>
        <w:rPr>
          <w:sz w:val="24"/>
          <w:szCs w:val="24"/>
          <w:color w:val="auto"/>
        </w:rPr>
      </w:pPr>
    </w:p>
    <w:p>
      <w:pPr>
        <w:sectPr>
          <w:pgSz w:w="11900" w:h="16838" w:orient="portrait"/>
          <w:cols w:equalWidth="0" w:num="2">
            <w:col w:w="10760" w:space="280"/>
            <w:col w:w="200"/>
          </w:cols>
          <w:pgMar w:left="320" w:top="445" w:right="339" w:bottom="144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59" w:lineRule="exact"/>
        <w:rPr>
          <w:sz w:val="24"/>
          <w:szCs w:val="24"/>
          <w:color w:val="auto"/>
        </w:rPr>
      </w:pPr>
    </w:p>
    <w:p>
      <w:pPr>
        <w:spacing w:after="0" w:line="188"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9" w:lineRule="exact"/>
        <w:rPr>
          <w:sz w:val="24"/>
          <w:szCs w:val="24"/>
          <w:color w:val="auto"/>
        </w:rPr>
      </w:pPr>
    </w:p>
    <w:p>
      <w:pPr>
        <w:ind w:right="280"/>
        <w:spacing w:after="0" w:line="252"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$1,047,547,610 (computed by reference to the closing sale price of the registrant’s common stock on the Nasdaq Global Market on June 30, 2022, the last business day of the registrant’s most recently completed second fiscal quarter).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As of February 15, 2023, there were 36,322,896 shares of common stock, par value $0.01 per share, of the registrant outstanding.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document listed below have been incorporated by reference into the indicated parts of this Form 10-K, as specified in the responses to the item numbers involved.</w:t>
      </w:r>
    </w:p>
    <w:p>
      <w:pPr>
        <w:spacing w:after="0" w:line="95"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Part III The registrant’s definitive proxy statement, for use in connection with the Annual Meeting of Stockholders, to be filed within 120 days after the registrant’s fiscal year ended December 31, 2022.</w:t>
      </w:r>
    </w:p>
    <w:p>
      <w:pPr>
        <w:spacing w:after="0" w:line="161" w:lineRule="exact"/>
        <w:rPr>
          <w:sz w:val="20"/>
          <w:szCs w:val="20"/>
          <w:color w:val="auto"/>
        </w:rPr>
      </w:pPr>
    </w:p>
    <w:p>
      <w:pPr>
        <w:ind w:left="220"/>
        <w:spacing w:after="0"/>
        <w:tabs>
          <w:tab w:leader="none" w:pos="2200" w:val="left"/>
          <w:tab w:leader="none" w:pos="3480" w:val="left"/>
          <w:tab w:leader="none" w:pos="5260" w:val="left"/>
          <w:tab w:leader="none" w:pos="7100" w:val="left"/>
          <w:tab w:leader="none" w:pos="922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243</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BDO USA,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Dallas, Texas,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PART I</w:t>
            </w:r>
          </w:p>
        </w:tc>
        <w:tc>
          <w:tcPr>
            <w:tcW w:w="80" w:type="dxa"/>
            <w:vAlign w:val="bottom"/>
            <w:tcBorders>
              <w:bottom w:val="single" w:sz="8" w:color="0000EE"/>
            </w:tcBorders>
            <w:gridSpan w:val="2"/>
          </w:tcPr>
          <w:p>
            <w:pPr>
              <w:spacing w:after="0"/>
              <w:rPr>
                <w:sz w:val="17"/>
                <w:szCs w:val="17"/>
                <w:color w:val="auto"/>
              </w:rPr>
            </w:pPr>
          </w:p>
        </w:tc>
        <w:tc>
          <w:tcPr>
            <w:tcW w:w="100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Business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1A.</w:t>
            </w: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Risk Factors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1B.</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Unresolved Staff Comments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2.</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Properties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3.</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4.</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PART II</w:t>
            </w:r>
          </w:p>
        </w:tc>
        <w:tc>
          <w:tcPr>
            <w:tcW w:w="100" w:type="dxa"/>
            <w:vAlign w:val="bottom"/>
            <w:tcBorders>
              <w:bottom w:val="single" w:sz="8" w:color="0000EE"/>
            </w:tcBorders>
            <w:gridSpan w:val="4"/>
          </w:tcPr>
          <w:p>
            <w:pPr>
              <w:spacing w:after="0"/>
              <w:rPr>
                <w:sz w:val="24"/>
                <w:szCs w:val="24"/>
                <w:color w:val="auto"/>
              </w:rPr>
            </w:pPr>
          </w:p>
        </w:tc>
        <w:tc>
          <w:tcPr>
            <w:tcW w:w="920" w:type="dxa"/>
            <w:vAlign w:val="bottom"/>
            <w:gridSpan w:val="4"/>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auto"/>
              </w:rPr>
              <w:t>Item 5.</w:t>
            </w: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w w:val="96"/>
              </w:rPr>
              <w:t>Market for the Registrant’s Common Equity, Related Stockholder Matters and Issuer Purchases of Equity Securities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6.</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[Reserved]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7.</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7A.</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8.</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Financial Statements and Supplementary Data</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9.</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9A.</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Controls and Procedures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9B.</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Other Information</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auto"/>
              </w:rPr>
              <w:t>Item 9C.</w:t>
            </w:r>
          </w:p>
        </w:tc>
        <w:tc>
          <w:tcPr>
            <w:tcW w:w="8860" w:type="dxa"/>
            <w:vAlign w:val="bottom"/>
            <w:gridSpan w:val="18"/>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PART III</w:t>
            </w:r>
          </w:p>
        </w:tc>
        <w:tc>
          <w:tcPr>
            <w:tcW w:w="80" w:type="dxa"/>
            <w:vAlign w:val="bottom"/>
            <w:tcBorders>
              <w:bottom w:val="single" w:sz="8" w:color="0000EE"/>
            </w:tcBorders>
            <w:gridSpan w:val="3"/>
          </w:tcPr>
          <w:p>
            <w:pPr>
              <w:spacing w:after="0"/>
              <w:rPr>
                <w:sz w:val="24"/>
                <w:szCs w:val="24"/>
                <w:color w:val="auto"/>
              </w:rPr>
            </w:pPr>
          </w:p>
        </w:tc>
        <w:tc>
          <w:tcPr>
            <w:tcW w:w="880" w:type="dxa"/>
            <w:vAlign w:val="bottom"/>
            <w:gridSpan w:val="3"/>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auto"/>
              </w:rPr>
              <w:t>Item 10.</w:t>
            </w: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11.</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Executive Compensation</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12.</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13.</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gridSpan w:val="10"/>
            <w:vMerge w:val="restart"/>
          </w:tcPr>
          <w:p>
            <w:pPr>
              <w:spacing w:after="0"/>
              <w:rPr>
                <w:sz w:val="20"/>
                <w:szCs w:val="20"/>
                <w:color w:val="auto"/>
              </w:rPr>
            </w:pPr>
            <w:r>
              <w:rPr>
                <w:rFonts w:ascii="Arial" w:cs="Arial" w:eastAsia="Arial" w:hAnsi="Arial"/>
                <w:sz w:val="18"/>
                <w:szCs w:val="18"/>
                <w:color w:val="auto"/>
              </w:rPr>
              <w:t>Item 14.</w:t>
            </w: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vMerge w:val="continue"/>
          </w:tcPr>
          <w:p>
            <w:pPr>
              <w:spacing w:after="0"/>
              <w:rPr>
                <w:sz w:val="22"/>
                <w:szCs w:val="22"/>
                <w:color w:val="auto"/>
              </w:rPr>
            </w:pP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Principal Accountant Fees and Services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PART IV</w:t>
            </w:r>
          </w:p>
        </w:tc>
        <w:tc>
          <w:tcPr>
            <w:tcW w:w="80" w:type="dxa"/>
            <w:vAlign w:val="bottom"/>
            <w:tcBorders>
              <w:bottom w:val="single" w:sz="8" w:color="0000EE"/>
            </w:tcBorders>
            <w:gridSpan w:val="3"/>
          </w:tcPr>
          <w:p>
            <w:pPr>
              <w:spacing w:after="0"/>
              <w:rPr>
                <w:sz w:val="24"/>
                <w:szCs w:val="24"/>
                <w:color w:val="auto"/>
              </w:rPr>
            </w:pPr>
          </w:p>
        </w:tc>
        <w:tc>
          <w:tcPr>
            <w:tcW w:w="860" w:type="dxa"/>
            <w:vAlign w:val="bottom"/>
            <w:gridSpan w:val="2"/>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auto"/>
              </w:rPr>
              <w:t>Item 15.</w:t>
            </w:r>
          </w:p>
        </w:tc>
        <w:tc>
          <w:tcPr>
            <w:tcW w:w="8860" w:type="dxa"/>
            <w:vAlign w:val="bottom"/>
            <w:gridSpan w:val="18"/>
            <w:vMerge w:val="restart"/>
          </w:tcPr>
          <w:p>
            <w:pPr>
              <w:spacing w:after="0"/>
              <w:rPr>
                <w:sz w:val="20"/>
                <w:szCs w:val="20"/>
                <w:color w:val="auto"/>
              </w:rPr>
            </w:pPr>
            <w:r>
              <w:rPr>
                <w:rFonts w:ascii="Arial" w:cs="Arial" w:eastAsia="Arial" w:hAnsi="Arial"/>
                <w:sz w:val="18"/>
                <w:szCs w:val="18"/>
                <w:color w:val="0000FF"/>
              </w:rPr>
              <w:t>Exhibits and Financial Statement Schedules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60" w:type="dxa"/>
            <w:vAlign w:val="bottom"/>
            <w:gridSpan w:val="18"/>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auto"/>
              </w:rPr>
              <w:t>Item 16.</w:t>
            </w:r>
          </w:p>
        </w:tc>
        <w:tc>
          <w:tcPr>
            <w:tcW w:w="8860" w:type="dxa"/>
            <w:vAlign w:val="bottom"/>
            <w:gridSpan w:val="18"/>
          </w:tcPr>
          <w:p>
            <w:pPr>
              <w:spacing w:after="0"/>
              <w:rPr>
                <w:sz w:val="20"/>
                <w:szCs w:val="20"/>
                <w:color w:val="auto"/>
              </w:rPr>
            </w:pPr>
            <w:r>
              <w:rPr>
                <w:rFonts w:ascii="Arial" w:cs="Arial" w:eastAsia="Arial" w:hAnsi="Arial"/>
                <w:sz w:val="18"/>
                <w:szCs w:val="18"/>
                <w:color w:val="0000FF"/>
              </w:rPr>
              <w:t>Form 10-K Summary</w:t>
            </w: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gridSpan w:val="10"/>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0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60" w:type="dxa"/>
            <w:vAlign w:val="bottom"/>
            <w:gridSpan w:val="11"/>
          </w:tcPr>
          <w:p>
            <w:pPr>
              <w:jc w:val="right"/>
              <w:ind w:right="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left="360"/>
        <w:spacing w:after="0"/>
        <w:rPr>
          <w:sz w:val="20"/>
          <w:szCs w:val="20"/>
          <w:color w:val="auto"/>
        </w:rPr>
      </w:pPr>
      <w:r>
        <w:rPr>
          <w:rFonts w:ascii="Arial" w:cs="Arial" w:eastAsia="Arial" w:hAnsi="Arial"/>
          <w:sz w:val="18"/>
          <w:szCs w:val="18"/>
          <w:b w:val="1"/>
          <w:bCs w:val="1"/>
          <w:color w:val="auto"/>
        </w:rPr>
        <w:t>FORWARD-LOOKING STATEMENTS</w:t>
      </w:r>
    </w:p>
    <w:p>
      <w:pPr>
        <w:spacing w:after="0" w:line="161"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federal securities laws. Statements that are not historical facts, including statements about H&amp;E Equipment Services, Inc.’s (“H&amp;E”, the “Company”, “our”, “we” and “us”)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success in expanding our business, financing plans, budgets, working capital needs and sources of liquidity. By their nature, forward-looking statements involve risks and uncertainties because they relate to events and depend on circumstances that may or may not occur in the future. We believe that these risks and uncertainties include, but are not limited to, those described in the “Risk Factors” section of this Annual Report on Form 10-K. These factors should not be construed as exhaustive and should be read with the other cautionary statements in this Annual Report on Form 10-K.</w:t>
      </w:r>
    </w:p>
    <w:p>
      <w:pPr>
        <w:spacing w:after="0" w:line="74" w:lineRule="exact"/>
        <w:rPr>
          <w:sz w:val="20"/>
          <w:szCs w:val="20"/>
          <w:color w:val="auto"/>
        </w:rPr>
      </w:pPr>
    </w:p>
    <w:p>
      <w:pPr>
        <w:ind w:right="100" w:firstLine="374"/>
        <w:spacing w:after="0" w:line="270" w:lineRule="auto"/>
        <w:rPr>
          <w:sz w:val="20"/>
          <w:szCs w:val="20"/>
          <w:color w:val="auto"/>
        </w:rPr>
      </w:pPr>
      <w:r>
        <w:rPr>
          <w:rFonts w:ascii="Arial" w:cs="Arial" w:eastAsia="Arial" w:hAnsi="Arial"/>
          <w:sz w:val="17"/>
          <w:szCs w:val="17"/>
          <w:color w:val="auto"/>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Annual Report on Form 10-K, those results may not be indicative of results or developments in subsequent periods. Many of these factors are beyond our ability to control or predict. Such factors include, but are not limited to, the following:</w:t>
      </w:r>
    </w:p>
    <w:p>
      <w:pPr>
        <w:spacing w:after="0" w:line="34" w:lineRule="exact"/>
        <w:rPr>
          <w:sz w:val="20"/>
          <w:szCs w:val="20"/>
          <w:color w:val="auto"/>
        </w:rPr>
      </w:pPr>
    </w:p>
    <w:p>
      <w:pPr>
        <w:ind w:left="1020" w:right="200" w:hanging="383"/>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a global pandemic, including COVID-19,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spacing w:after="0" w:line="15" w:lineRule="exact"/>
        <w:rPr>
          <w:rFonts w:ascii="Arial" w:cs="Arial" w:eastAsia="Arial" w:hAnsi="Arial"/>
          <w:sz w:val="17"/>
          <w:szCs w:val="17"/>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construction and industrial activity in the markets where we operate in North America;</w:t>
      </w:r>
    </w:p>
    <w:p>
      <w:pPr>
        <w:spacing w:after="0" w:line="89" w:lineRule="exact"/>
        <w:rPr>
          <w:rFonts w:ascii="Arial" w:cs="Arial" w:eastAsia="Arial" w:hAnsi="Arial"/>
          <w:sz w:val="18"/>
          <w:szCs w:val="18"/>
          <w:color w:val="auto"/>
        </w:rPr>
      </w:pPr>
    </w:p>
    <w:p>
      <w:pPr>
        <w:ind w:left="1020" w:right="16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trends in our business accurately, and the impact of economic downturns and economic uncertainty on the markets we serve (including as a result of current uncertainty due to COVID-19 and inflation);</w:t>
      </w:r>
    </w:p>
    <w:p>
      <w:pPr>
        <w:spacing w:after="0" w:line="21" w:lineRule="exact"/>
        <w:rPr>
          <w:rFonts w:ascii="Arial" w:cs="Arial" w:eastAsia="Arial" w:hAnsi="Arial"/>
          <w:sz w:val="18"/>
          <w:szCs w:val="18"/>
          <w:color w:val="auto"/>
        </w:rPr>
      </w:pPr>
    </w:p>
    <w:p>
      <w:pPr>
        <w:ind w:left="1020" w:right="220" w:hanging="383"/>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conditions in the global credit and commodity markets (including as a result of current volatility and uncertainty in credit and commodity markets due to COVID-19 and increased interest rates) and their effect on construction spending and the economy in general;</w:t>
      </w: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oil and natural gas which could adversely affect the demand for our services and products;</w:t>
      </w:r>
    </w:p>
    <w:p>
      <w:pPr>
        <w:spacing w:after="0" w:line="89" w:lineRule="exact"/>
        <w:rPr>
          <w:rFonts w:ascii="Arial" w:cs="Arial" w:eastAsia="Arial" w:hAnsi="Arial"/>
          <w:sz w:val="18"/>
          <w:szCs w:val="18"/>
          <w:color w:val="auto"/>
        </w:rPr>
      </w:pPr>
    </w:p>
    <w:p>
      <w:pPr>
        <w:ind w:left="1020" w:right="34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obtain equipment and other supplies for our business from our key suppliers on acceptable terms or at all, as a result of supply chain disruptions, insolvency, financial difficulties, supplier relationships or other factors;</w:t>
      </w:r>
    </w:p>
    <w:p>
      <w:pPr>
        <w:spacing w:after="0" w:line="21"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maintenance and repair costs as we age our fleet and decreases in our equipment’s residual value;</w:t>
      </w:r>
    </w:p>
    <w:p>
      <w:pPr>
        <w:spacing w:after="0" w:line="76"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w:t>
      </w:r>
    </w:p>
    <w:p>
      <w:pPr>
        <w:spacing w:after="0" w:line="89" w:lineRule="exact"/>
        <w:rPr>
          <w:rFonts w:ascii="Arial" w:cs="Arial" w:eastAsia="Arial" w:hAnsi="Arial"/>
          <w:sz w:val="18"/>
          <w:szCs w:val="18"/>
          <w:color w:val="auto"/>
        </w:rPr>
      </w:pPr>
    </w:p>
    <w:p>
      <w:pPr>
        <w:ind w:left="102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and any potential acquisitions we may make, including any related capital expenditures, or our ability to consummate such acquisitions;</w:t>
      </w:r>
    </w:p>
    <w:p>
      <w:pPr>
        <w:spacing w:after="0" w:line="21"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possible inability to integrate any businesses we acquire;</w:t>
      </w:r>
    </w:p>
    <w:p>
      <w:pPr>
        <w:spacing w:after="0" w:line="76"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w:t>
      </w:r>
    </w:p>
    <w:p>
      <w:pPr>
        <w:spacing w:after="0" w:line="89" w:lineRule="exact"/>
        <w:rPr>
          <w:rFonts w:ascii="Arial" w:cs="Arial" w:eastAsia="Arial" w:hAnsi="Arial"/>
          <w:sz w:val="18"/>
          <w:szCs w:val="18"/>
          <w:color w:val="auto"/>
        </w:rPr>
      </w:pPr>
    </w:p>
    <w:p>
      <w:pPr>
        <w:ind w:left="1020" w:right="2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cybersecurity attacks, failure to protect personal information, compliance with data protection laws and other disruptions in our information technology systems;</w:t>
      </w:r>
    </w:p>
    <w:p>
      <w:pPr>
        <w:spacing w:after="0" w:line="21"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events or natural disasters;</w:t>
      </w:r>
    </w:p>
    <w:p>
      <w:pPr>
        <w:spacing w:after="0" w:line="76"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climate change and climate change regulation;</w:t>
      </w:r>
    </w:p>
    <w:p>
      <w:pPr>
        <w:spacing w:after="0" w:line="89" w:lineRule="exact"/>
        <w:rPr>
          <w:rFonts w:ascii="Arial" w:cs="Arial" w:eastAsia="Arial" w:hAnsi="Arial"/>
          <w:sz w:val="18"/>
          <w:szCs w:val="18"/>
          <w:color w:val="auto"/>
        </w:rPr>
      </w:pPr>
    </w:p>
    <w:p>
      <w:pPr>
        <w:ind w:left="1020" w:right="280" w:hanging="38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laws and regulations, including those relating to environmental matters, corporate governance matters and tax matters, as well as any future changes to such laws and regulations; and</w:t>
      </w:r>
    </w:p>
    <w:p>
      <w:pPr>
        <w:spacing w:after="0" w:line="21" w:lineRule="exact"/>
        <w:rPr>
          <w:rFonts w:ascii="Arial" w:cs="Arial" w:eastAsia="Arial" w:hAnsi="Arial"/>
          <w:sz w:val="18"/>
          <w:szCs w:val="18"/>
          <w:color w:val="auto"/>
        </w:rPr>
      </w:pPr>
    </w:p>
    <w:p>
      <w:pPr>
        <w:ind w:left="1020" w:hanging="3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Item 1A – Risk Factors or elsewhere in this Annual Report on Form 10-K.</w:t>
      </w:r>
    </w:p>
    <w:p>
      <w:pPr>
        <w:spacing w:after="0" w:line="117" w:lineRule="exact"/>
        <w:rPr>
          <w:sz w:val="20"/>
          <w:szCs w:val="20"/>
          <w:color w:val="auto"/>
        </w:rPr>
      </w:pPr>
    </w:p>
    <w:p>
      <w:pPr>
        <w:ind w:right="20" w:firstLine="374"/>
        <w:spacing w:after="0" w:line="219" w:lineRule="exact"/>
        <w:rPr>
          <w:sz w:val="20"/>
          <w:szCs w:val="20"/>
          <w:color w:val="auto"/>
        </w:rPr>
      </w:pPr>
      <w:r>
        <w:rPr>
          <w:rFonts w:ascii="Arial" w:cs="Arial" w:eastAsia="Arial" w:hAnsi="Arial"/>
          <w:sz w:val="16"/>
          <w:szCs w:val="16"/>
          <w:color w:val="auto"/>
        </w:rPr>
        <w:t>Except as required by applicable law, including the securities laws of the United States and the rules and regulations of the Securities and Exchange Commission (“SEC”), we are under no obligation to publicly update or revise any forward-looking statements after we file this Annual Report on Form 10-K, whether as a result of any new information, future events or otherwise. Investors, potential investors and other readers are urged to consider the above mentioned factors carefully in evaluating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and are cautioned not to place undue reliance on such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Although we believe that the expectations reflected in the forward-looking statements are reasonable, we cannot guarantee future results or performance.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Founded in 1961 through our predecessor companies, we have been in the equipment services business for approximately 61 years. H&amp;E Equipment Services L.L.C. (“H&amp;E LLC”) was formed in June 2002 through the combination of Head &amp; Engquist Equipment, LLC, a wholly-owned subsidiary of Gulf Wide Industries, L.L.C., and ICM Equipment Company L.L.C. In connection with our initial public offering in February 2006, we converted H&amp;E LLC into H&amp;E Equipment Services, Inc., a Delaware corporation.</w:t>
      </w:r>
    </w:p>
    <w:p>
      <w:pPr>
        <w:spacing w:after="0" w:line="77"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We have built an extensive infrastructure that as of December 31, 2022 includes 120 branch facilities located in 29 states throughout the United States. H&amp;E serves a diverse set of end markets in many high-growth geographies including branches throughout the Pacific Northwest, West Coast, Intermountain, Southwest, Gulf Coast, Southeast, Midwest and Mid-Atlantic regions. The Company’s construction rental fleet is among the industry’s youngest with an equipment mix comprised of aerial work platforms, earthmoving, material handling, and other general and specialty lines.</w:t>
      </w:r>
    </w:p>
    <w:p>
      <w:pPr>
        <w:spacing w:after="0" w:line="129"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While we primarily focus on providing rental equipment to our customers, we additionally provide used and new equipment sales, parts, repair and maintenance functions to our customers. This approach provides us with multiple points of customer contact, an effective method to manage our rental fleet through efficient maintenance and profitable distribution of used equipment, and a mix of business activities that enables us to operate effectively throughout economic cycles. Our management, from the corporate level down to the branch store level, has extensive industry experience. We believe that the operating experience and extensive infrastructure we developed throughout our history as an integrated equipment services company provides us with a competitive advantage to broaden our industry expansion and successfully transition to a pure-play rental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Although there has been some consolidation within the industry over a number of years, including the acquisitions of Rental Services Corporation, NES Rentals, Neff Corporation and Ahern Rentals by United Rentals, Inc. (“URI”), the U.S. construction equipment distribution and rental industry remains highly fragmented and consists mainly of a small number of multi-location regional or national operators and a large number of relatively small, independent businesses serving discrete local markets. The industry is driven by a broad range of economic factors including total U.S. non-residential construction trends, construction machinery demand, demand for rental equipment and additional, region-specific factors. Construction equipment is largely distributed to end users through two channels: equipment rental companies and equipment dealers. Examples of equipment rental companies include URI, Sunbelt Rentals, and Herc Rentals. Examples of equipment dealers include Finning and Toromont. Historically, we operated substantially in both channels, but we have taken steps to transition to operate as a pure rental company. Many pure equipment rental companies also provide parts and service support to customers.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i w:val="1"/>
          <w:iCs w:val="1"/>
          <w:color w:val="auto"/>
        </w:rPr>
        <w:t xml:space="preserve">Equipment Rentals. </w:t>
      </w:r>
      <w:r>
        <w:rPr>
          <w:rFonts w:ascii="Arial" w:cs="Arial" w:eastAsia="Arial" w:hAnsi="Arial"/>
          <w:sz w:val="17"/>
          <w:szCs w:val="17"/>
          <w:color w:val="auto"/>
        </w:rPr>
        <w:t>We rent our construction equipment to our customers on a daily, weekly and monthly basis. We have a well-maintained rental fleet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at December 31, 2022, consisted of approximately 55,208 pieces of equipment having an original acquisition cost (which we define as the cost originally paid to manufacturers) of approximately $2.4 billion and an average age of approximately 43.6 months.</w:t>
      </w:r>
    </w:p>
    <w:p>
      <w:pPr>
        <w:spacing w:after="0" w:line="124" w:lineRule="exact"/>
        <w:rPr>
          <w:sz w:val="20"/>
          <w:szCs w:val="20"/>
          <w:color w:val="auto"/>
        </w:rPr>
      </w:pPr>
    </w:p>
    <w:p>
      <w:pPr>
        <w:ind w:right="320" w:firstLine="374"/>
        <w:spacing w:after="0" w:line="259" w:lineRule="auto"/>
        <w:rPr>
          <w:sz w:val="20"/>
          <w:szCs w:val="20"/>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We sell used equipment primarily from our rental fleet, as well as inventoried equipment that we acquire through trade-ins</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customers and selective purchases of high-quality used equipment. For the year ended December 31, 2022, approximately 92.1% of our used equipment sales revenues were derived from sales of rental fleet equipment. Used equipment sales often generate additional customers for our parts and services business.</w:t>
      </w:r>
    </w:p>
    <w:p>
      <w:pPr>
        <w:spacing w:after="0" w:line="145"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i w:val="1"/>
          <w:iCs w:val="1"/>
          <w:color w:val="auto"/>
        </w:rPr>
        <w:t xml:space="preserve">New Equipment Sales. </w:t>
      </w:r>
      <w:r>
        <w:rPr>
          <w:rFonts w:ascii="Arial" w:cs="Arial" w:eastAsia="Arial" w:hAnsi="Arial"/>
          <w:sz w:val="16"/>
          <w:szCs w:val="16"/>
          <w:color w:val="auto"/>
        </w:rPr>
        <w:t>We sell new construction equipment, primarily in our earthmoving product category, and are a U.S. distributor for nationally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suppliers including Komatsu, Takeuchi, JLG Industries, Gehl, and Genie Industries (Terex). We have a sales force focused on both new and used equipment sales. Our new equipment sales operation is a source of new customers for our parts sales and service support activities.</w:t>
      </w:r>
    </w:p>
    <w:p>
      <w:pPr>
        <w:spacing w:after="0" w:line="121"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We provide parts to our own rental fleet and sell parts to customers for the equipment we sell. We maintain a parts inventory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timely parts and service support to our own rental fleet as well as to our customers. In addition, our parts operations enable us to maintain a high-quality rental fleet and provide additional product support to our end users.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80" w:firstLine="374"/>
        <w:spacing w:after="0" w:line="259" w:lineRule="auto"/>
        <w:rPr>
          <w:sz w:val="20"/>
          <w:szCs w:val="20"/>
          <w:color w:val="auto"/>
        </w:rPr>
      </w:pPr>
      <w:r>
        <w:rPr>
          <w:rFonts w:ascii="Arial" w:cs="Arial" w:eastAsia="Arial" w:hAnsi="Arial"/>
          <w:sz w:val="18"/>
          <w:szCs w:val="18"/>
          <w:i w:val="1"/>
          <w:iCs w:val="1"/>
          <w:color w:val="auto"/>
        </w:rPr>
        <w:t xml:space="preserve">Service Support. </w:t>
      </w:r>
      <w:r>
        <w:rPr>
          <w:rFonts w:ascii="Arial" w:cs="Arial" w:eastAsia="Arial" w:hAnsi="Arial"/>
          <w:sz w:val="18"/>
          <w:szCs w:val="18"/>
          <w:color w:val="auto"/>
        </w:rPr>
        <w:t>We provide maintenance and repair services to our own rental fleet and for our customers’ owned equipment. In addition to repair</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on an as-needed or scheduled basis, we provide ongoing preventative maintenance services. We devote resources to training our technical service employees and over time, we have built a full-scale services infrastructure that we believe would be difficult for companies without the requisite resources and lead time to effectively replicate.</w:t>
      </w:r>
    </w:p>
    <w:p>
      <w:pPr>
        <w:spacing w:after="0" w:line="158"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In addition to our principal business activities mentioned above, we provide ancillary equipment support activities including transportation, hauling, parts shipping and loss damage waivers.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We have a sales force which specializes in equipment rentals and sales. To further develop knowledge and experience, we provide our sales force with extensive training, including frequent factory and in-house training by manufacturer representatives regarding the operational features, operator safety training and maintenance of the equipment that we rent and sell. This training is essential, as our sales personnel regularly call on customers’ job sites, often assisting customers in assessing their immediate and ongoing equipment needs. In addition, we have a commission-based compensation program for our sales force team.</w:t>
      </w:r>
    </w:p>
    <w:p>
      <w:pPr>
        <w:spacing w:after="0" w:line="164"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We maintain a proprietary customer relationship management system. We believe that this comprehensive customer and sales management tool enhances our regional territory operations by increasing the productivity and efficiency of our sales representatives and sales managers as they are provided real-time access to critical jobsite information. We are partnered with some of the world’s most advanced data information companies to assure our industry data is complete.</w:t>
      </w:r>
    </w:p>
    <w:p>
      <w:pPr>
        <w:spacing w:after="0" w:line="145" w:lineRule="exact"/>
        <w:rPr>
          <w:sz w:val="20"/>
          <w:szCs w:val="20"/>
          <w:color w:val="auto"/>
        </w:rPr>
      </w:pPr>
    </w:p>
    <w:p>
      <w:pPr>
        <w:ind w:right="540" w:firstLine="374"/>
        <w:spacing w:after="0" w:line="307" w:lineRule="auto"/>
        <w:rPr>
          <w:sz w:val="20"/>
          <w:szCs w:val="20"/>
          <w:color w:val="auto"/>
        </w:rPr>
      </w:pPr>
      <w:r>
        <w:rPr>
          <w:rFonts w:ascii="Arial" w:cs="Arial" w:eastAsia="Arial" w:hAnsi="Arial"/>
          <w:sz w:val="17"/>
          <w:szCs w:val="17"/>
          <w:color w:val="auto"/>
        </w:rPr>
        <w:t>We have developed strategies to identify target customers for equipment rentals in all markets. These strategies allow our sales force to identify frequent rental users, function as advisors and problem solvers for our customers, and accelerate the sales process in new operations.</w:t>
      </w:r>
    </w:p>
    <w:p>
      <w:pPr>
        <w:spacing w:after="0" w:line="107" w:lineRule="exact"/>
        <w:rPr>
          <w:sz w:val="20"/>
          <w:szCs w:val="20"/>
          <w:color w:val="auto"/>
        </w:rPr>
      </w:pPr>
    </w:p>
    <w:p>
      <w:pPr>
        <w:jc w:val="both"/>
        <w:ind w:right="380" w:firstLine="374"/>
        <w:spacing w:after="0" w:line="263" w:lineRule="auto"/>
        <w:rPr>
          <w:sz w:val="20"/>
          <w:szCs w:val="20"/>
          <w:color w:val="auto"/>
        </w:rPr>
      </w:pPr>
      <w:r>
        <w:rPr>
          <w:rFonts w:ascii="Arial" w:cs="Arial" w:eastAsia="Arial" w:hAnsi="Arial"/>
          <w:sz w:val="18"/>
          <w:szCs w:val="18"/>
          <w:color w:val="auto"/>
        </w:rPr>
        <w:t xml:space="preserve">While our specialized, well-trained sales force strengthens our customer relationships and fosters customer loyalty, we also promote our business through marketing and advertising, including digital marketing, direct mail campaigns, select industry publications and associations, and our Company website at </w:t>
      </w:r>
      <w:r>
        <w:rPr>
          <w:rFonts w:ascii="Arial" w:cs="Arial" w:eastAsia="Arial" w:hAnsi="Arial"/>
          <w:sz w:val="18"/>
          <w:szCs w:val="18"/>
          <w:u w:val="single" w:color="auto"/>
          <w:color w:val="auto"/>
        </w:rPr>
        <w:t>www.he-equipment.com</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i w:val="1"/>
          <w:iCs w:val="1"/>
          <w:color w:val="auto"/>
        </w:rPr>
        <w:t xml:space="preserve">Integrated Platform of Equipment, Products and Services. </w:t>
      </w:r>
      <w:r>
        <w:rPr>
          <w:rFonts w:ascii="Arial" w:cs="Arial" w:eastAsia="Arial" w:hAnsi="Arial"/>
          <w:sz w:val="17"/>
          <w:szCs w:val="17"/>
          <w:color w:val="auto"/>
        </w:rPr>
        <w:t>We believe that our operating experience and the extensive infrastructure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through years of operating as both an equipment rental company and equipment distributor provides us with a competitive advantage to broaden our industry expansion and successfully transition to a primarily rental-focused company. Key strengths of ours include:</w:t>
      </w:r>
    </w:p>
    <w:p>
      <w:pPr>
        <w:spacing w:after="0" w:line="56" w:lineRule="exact"/>
        <w:rPr>
          <w:sz w:val="20"/>
          <w:szCs w:val="20"/>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provide premium brands and a comprehensive line of equipment and services;</w:t>
      </w:r>
    </w:p>
    <w:p>
      <w:pPr>
        <w:spacing w:after="0" w:line="116" w:lineRule="exact"/>
        <w:rPr>
          <w:rFonts w:ascii="Arial" w:cs="Arial" w:eastAsia="Arial" w:hAnsi="Arial"/>
          <w:sz w:val="18"/>
          <w:szCs w:val="18"/>
          <w:color w:val="auto"/>
        </w:rPr>
      </w:pPr>
    </w:p>
    <w:p>
      <w:pPr>
        <w:ind w:left="1260" w:hanging="368"/>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track utilization and facilitate the transfer of our fleet across multiple locations to adjust to local customer demand;</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rental fleet supported by our strong product support capabilities;</w:t>
      </w:r>
    </w:p>
    <w:p>
      <w:pPr>
        <w:spacing w:after="0" w:line="116" w:lineRule="exact"/>
        <w:rPr>
          <w:rFonts w:ascii="Arial" w:cs="Arial" w:eastAsia="Arial" w:hAnsi="Arial"/>
          <w:sz w:val="18"/>
          <w:szCs w:val="18"/>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established retail sales network resulting in the profitable disposal of our used equipment;</w:t>
      </w:r>
    </w:p>
    <w:p>
      <w:pPr>
        <w:spacing w:after="0" w:line="116" w:lineRule="exact"/>
        <w:rPr>
          <w:rFonts w:ascii="Arial" w:cs="Arial" w:eastAsia="Arial" w:hAnsi="Arial"/>
          <w:sz w:val="18"/>
          <w:szCs w:val="18"/>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purchasing power gained through purchases for our rental operations fleet and new equipment sales;</w:t>
      </w:r>
    </w:p>
    <w:p>
      <w:pPr>
        <w:spacing w:after="0" w:line="116" w:lineRule="exact"/>
        <w:rPr>
          <w:rFonts w:ascii="Arial" w:cs="Arial" w:eastAsia="Arial" w:hAnsi="Arial"/>
          <w:sz w:val="18"/>
          <w:szCs w:val="18"/>
          <w:color w:val="auto"/>
        </w:rPr>
      </w:pPr>
    </w:p>
    <w:p>
      <w:pPr>
        <w:ind w:left="1260" w:right="280" w:hanging="368"/>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cost efficiencies across our organization, including with respect to purchasing, information technology, back-office support and marketing; and</w:t>
      </w:r>
    </w:p>
    <w:p>
      <w:pPr>
        <w:spacing w:after="0" w:line="61" w:lineRule="exact"/>
        <w:rPr>
          <w:rFonts w:ascii="Arial" w:cs="Arial" w:eastAsia="Arial" w:hAnsi="Arial"/>
          <w:sz w:val="18"/>
          <w:szCs w:val="18"/>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mix of business activities that enables us to effectively operate through economic cycles.</w:t>
      </w:r>
    </w:p>
    <w:p>
      <w:pPr>
        <w:spacing w:after="0" w:line="184"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i w:val="1"/>
          <w:iCs w:val="1"/>
          <w:color w:val="auto"/>
        </w:rPr>
        <w:t xml:space="preserve">High-Quality, Multipurpose Fleet. </w:t>
      </w:r>
      <w:r>
        <w:rPr>
          <w:rFonts w:ascii="Arial" w:cs="Arial" w:eastAsia="Arial" w:hAnsi="Arial"/>
          <w:sz w:val="18"/>
          <w:szCs w:val="18"/>
          <w:color w:val="auto"/>
        </w:rPr>
        <w:t>Our equipment fleet represents a significant investment and reflects our commitment to providing an array of rental</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to our customers in a variety of industries. Our focus on our core types of construction equipment allows us to better provide the specialized knowledge and support that our customers demand when renting and purchasing equipment. These core types of equipment are attractive because they have a long useful life, high residual value and generally strong industry demand.</w:t>
      </w:r>
    </w:p>
    <w:p>
      <w:pPr>
        <w:spacing w:after="0" w:line="158" w:lineRule="exact"/>
        <w:rPr>
          <w:sz w:val="20"/>
          <w:szCs w:val="20"/>
          <w:color w:val="auto"/>
        </w:rPr>
      </w:pPr>
    </w:p>
    <w:p>
      <w:pPr>
        <w:jc w:val="both"/>
        <w:ind w:right="300" w:firstLine="374"/>
        <w:spacing w:after="0" w:line="263" w:lineRule="auto"/>
        <w:rPr>
          <w:sz w:val="20"/>
          <w:szCs w:val="20"/>
          <w:color w:val="auto"/>
        </w:rPr>
      </w:pPr>
      <w:r>
        <w:rPr>
          <w:rFonts w:ascii="Arial" w:cs="Arial" w:eastAsia="Arial" w:hAnsi="Arial"/>
          <w:sz w:val="18"/>
          <w:szCs w:val="18"/>
          <w:i w:val="1"/>
          <w:iCs w:val="1"/>
          <w:color w:val="auto"/>
        </w:rPr>
        <w:t xml:space="preserve">Diverse Customer Markets. </w:t>
      </w:r>
      <w:r>
        <w:rPr>
          <w:rFonts w:ascii="Arial" w:cs="Arial" w:eastAsia="Arial" w:hAnsi="Arial"/>
          <w:sz w:val="18"/>
          <w:szCs w:val="18"/>
          <w:color w:val="auto"/>
        </w:rPr>
        <w:t>We provide equipment rental services to customers in a wide variety of markets, including commercial and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industrial, infrastructure, and other industries. We believe that the diversification of our customer base reduces our end-market exposure to any one particular market.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 w:name="page7"/>
    <w:bookmarkEnd w:id="6"/>
    <w:p>
      <w:pPr>
        <w:ind w:firstLine="374"/>
        <w:spacing w:after="0" w:line="277" w:lineRule="auto"/>
        <w:rPr>
          <w:sz w:val="20"/>
          <w:szCs w:val="20"/>
          <w:color w:val="auto"/>
        </w:rPr>
      </w:pPr>
      <w:r>
        <w:rPr>
          <w:rFonts w:ascii="Arial" w:cs="Arial" w:eastAsia="Arial" w:hAnsi="Arial"/>
          <w:sz w:val="18"/>
          <w:szCs w:val="18"/>
          <w:i w:val="1"/>
          <w:iCs w:val="1"/>
          <w:color w:val="auto"/>
        </w:rPr>
        <w:t xml:space="preserve">Complementary Parts and Services Segments. </w:t>
      </w:r>
      <w:r>
        <w:rPr>
          <w:rFonts w:ascii="Arial" w:cs="Arial" w:eastAsia="Arial" w:hAnsi="Arial"/>
          <w:sz w:val="18"/>
          <w:szCs w:val="18"/>
          <w:color w:val="auto"/>
        </w:rPr>
        <w:t>Our parts and services businesses allow us to maintain our rental fleet in excellent condition and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high-quality rental equipment.</w:t>
      </w:r>
    </w:p>
    <w:p>
      <w:pPr>
        <w:spacing w:after="0" w:line="142"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i w:val="1"/>
          <w:iCs w:val="1"/>
          <w:color w:val="auto"/>
        </w:rPr>
        <w:t xml:space="preserve">Well-Developed Infrastructure. </w:t>
      </w:r>
      <w:r>
        <w:rPr>
          <w:rFonts w:ascii="Arial" w:cs="Arial" w:eastAsia="Arial" w:hAnsi="Arial"/>
          <w:sz w:val="16"/>
          <w:szCs w:val="16"/>
          <w:color w:val="auto"/>
        </w:rPr>
        <w:t>We have built an infrastructure that as of December 31, 2022 included a network of 120 branch facilities in 29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Our workforce included, as of December 31, 2022, a highly-skilled group of approximately 553 service technicians and an aggregate of 301 sales people in our sales force. We believe that our well-developed infrastructure helps us to better serve large multi-regional customers and provides an advantage when competing for lucrative fleet and project management business as well as the ability to quickly capitalize on new opportunities.</w:t>
      </w:r>
    </w:p>
    <w:p>
      <w:pPr>
        <w:spacing w:after="0" w:line="115"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i w:val="1"/>
          <w:iCs w:val="1"/>
          <w:color w:val="auto"/>
        </w:rPr>
        <w:t xml:space="preserve">Strong Supplier Relationships. </w:t>
      </w:r>
      <w:r>
        <w:rPr>
          <w:rFonts w:ascii="Arial" w:cs="Arial" w:eastAsia="Arial" w:hAnsi="Arial"/>
          <w:sz w:val="18"/>
          <w:szCs w:val="18"/>
          <w:color w:val="auto"/>
        </w:rPr>
        <w:t>We have longstanding relationships with nationally-recognized equipment suppliers, including JLG Industries, Gehl,</w:t>
      </w:r>
      <w:r>
        <w:rPr>
          <w:rFonts w:ascii="Arial" w:cs="Arial" w:eastAsia="Arial" w:hAnsi="Arial"/>
          <w:sz w:val="18"/>
          <w:szCs w:val="18"/>
          <w:i w:val="1"/>
          <w:iCs w:val="1"/>
          <w:color w:val="auto"/>
        </w:rPr>
        <w:t xml:space="preserve"> </w:t>
      </w:r>
      <w:r>
        <w:rPr>
          <w:rFonts w:ascii="Arial" w:cs="Arial" w:eastAsia="Arial" w:hAnsi="Arial"/>
          <w:sz w:val="18"/>
          <w:szCs w:val="18"/>
          <w:color w:val="auto"/>
        </w:rPr>
        <w:t>Genie Industries (Terex), Komatsu, Takeuchi, JCB, John Deere, Yanmar, Skyjack, Sany and Case. These relationships improve our ability to negotiate equipment acquisition pricing and allow us to purchase parts at wholesale costs.</w:t>
      </w:r>
    </w:p>
    <w:p>
      <w:pPr>
        <w:spacing w:after="0" w:line="142"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i w:val="1"/>
          <w:iCs w:val="1"/>
          <w:color w:val="auto"/>
        </w:rPr>
        <w:t xml:space="preserve">Customized Information Technology Systems. </w:t>
      </w:r>
      <w:r>
        <w:rPr>
          <w:rFonts w:ascii="Arial" w:cs="Arial" w:eastAsia="Arial" w:hAnsi="Arial"/>
          <w:sz w:val="16"/>
          <w:szCs w:val="16"/>
          <w:color w:val="auto"/>
        </w:rPr>
        <w:t>Our information systems allow us to actively manage our business and our rental fleet. We have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 management system that provides our sales force with real-time access to customer and sales information. We are expanding the utilization of our proprietary, automated digital customer platform, CONNECT, which offers comprehensive self-service capabilities allowing customers to reserve equipment, schedule delivery, make payments, manage contracts, utilize telematics, customize reports and access customer support. In addition, our enterprise resource planning system enhances our ability to provide more timely and meaningful information to manage our business.</w:t>
      </w:r>
    </w:p>
    <w:p>
      <w:pPr>
        <w:spacing w:after="0" w:line="133"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i w:val="1"/>
          <w:iCs w:val="1"/>
          <w:color w:val="auto"/>
        </w:rPr>
        <w:t xml:space="preserve">Strong Customer Relationships. </w:t>
      </w:r>
      <w:r>
        <w:rPr>
          <w:rFonts w:ascii="Arial" w:cs="Arial" w:eastAsia="Arial" w:hAnsi="Arial"/>
          <w:sz w:val="17"/>
          <w:szCs w:val="17"/>
          <w:color w:val="auto"/>
        </w:rPr>
        <w:t>We have a diverse base of approximately 43,100 customers as of December 31, 2022 who we believe value our high</w:t>
      </w:r>
      <w:r>
        <w:rPr>
          <w:rFonts w:ascii="Arial" w:cs="Arial" w:eastAsia="Arial" w:hAnsi="Arial"/>
          <w:sz w:val="17"/>
          <w:szCs w:val="17"/>
          <w:i w:val="1"/>
          <w:iCs w:val="1"/>
          <w:color w:val="auto"/>
        </w:rPr>
        <w:t xml:space="preserve"> </w:t>
      </w:r>
      <w:r>
        <w:rPr>
          <w:rFonts w:ascii="Arial" w:cs="Arial" w:eastAsia="Arial" w:hAnsi="Arial"/>
          <w:sz w:val="17"/>
          <w:szCs w:val="17"/>
          <w:color w:val="auto"/>
        </w:rPr>
        <w:t>level of service, knowledge and expertise. Our customer base includes a wide range of industrial and commercial companies, construction contractors, manufacturers, public utilities, municipalities, maintenance contractors and numerous and diverse other large industrial accounts. Our branches enable us to closely service local and regional customers, while our infrastructure enables us to effectively service multi-regional and national accounts. We believe that our expansive presence and commitment to superior service at all levels of the organization is a key differentiator to many of our competitors. As a result, we spend a significant amount of time and resources to train all key personnel to be responsive and deliver high quality customer service and well-maintained equipment so that we can maintain and grow our customer relationships.</w:t>
      </w:r>
    </w:p>
    <w:p>
      <w:pPr>
        <w:spacing w:after="0" w:line="140"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senior management team is led by Bradley W. Barber, our Chief Executive Officer, who has over 28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experience. Our senior and regional managers have approximately 27 years on average of industry experience. Our branch managers have extensive knowledge and industry experience as well.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Our business strategy includes, among other things, managing the life cycle of our rental equipment, expanding our rental product offerings, increasing the availability of our product offerings through branch expansion and pursuing selective acquisitions. However, the timing and extent to which we implement these various aspects of our strategy depend on a variety of factors, many of which are outside our control, such as general economic conditions and construction activity in the U.S.</w:t>
      </w:r>
    </w:p>
    <w:p>
      <w:pPr>
        <w:spacing w:after="0" w:line="145"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i w:val="1"/>
          <w:iCs w:val="1"/>
          <w:color w:val="auto"/>
        </w:rPr>
        <w:t xml:space="preserve">Managing the Life Cycle of Our Rental Equipment. </w:t>
      </w:r>
      <w:r>
        <w:rPr>
          <w:rFonts w:ascii="Arial" w:cs="Arial" w:eastAsia="Arial" w:hAnsi="Arial"/>
          <w:sz w:val="18"/>
          <w:szCs w:val="18"/>
          <w:color w:val="auto"/>
        </w:rPr>
        <w:t>We actively manage the size, quality, age and composition of our rental fleet, employing a “cradle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grave” approach. During the life of our rental equipment, we (1) aggressively negotiate on purchase price; (2) use our customized information technology systems to closely monitor and analyze, among other things, time utilization (equipment usage based on customer demand and calculated as our fleet’s original equipment cost on-rent divided by our fleet’s total original equipment cost, averaged over the time period), rental rate trends and pricing optimization and equipment demand; (3) continuously adjust our fleet mix and pricing; (4) maintain fleet quality through quality control inspections and our on-site parts and services support; and (5) dispose of rental equipment through used equipment sales. This allows us to purchase our rental equipment at competitive prices, optimally utilize our fleet, cost-effectively maintain our equipment quality and maximize the value of our equipment at the end of its useful life.</w:t>
      </w:r>
    </w:p>
    <w:p>
      <w:pPr>
        <w:spacing w:after="0" w:line="156" w:lineRule="exact"/>
        <w:rPr>
          <w:sz w:val="20"/>
          <w:szCs w:val="20"/>
          <w:color w:val="auto"/>
        </w:rPr>
      </w:pPr>
    </w:p>
    <w:p>
      <w:pPr>
        <w:ind w:right="380" w:firstLine="374"/>
        <w:spacing w:after="0" w:line="311" w:lineRule="auto"/>
        <w:rPr>
          <w:sz w:val="20"/>
          <w:szCs w:val="20"/>
          <w:color w:val="auto"/>
        </w:rPr>
      </w:pPr>
      <w:r>
        <w:rPr>
          <w:rFonts w:ascii="Arial" w:cs="Arial" w:eastAsia="Arial" w:hAnsi="Arial"/>
          <w:sz w:val="16"/>
          <w:szCs w:val="16"/>
          <w:i w:val="1"/>
          <w:iCs w:val="1"/>
          <w:color w:val="auto"/>
        </w:rPr>
        <w:t>Expanding our Rental Product Offerings</w:t>
      </w:r>
      <w:r>
        <w:rPr>
          <w:rFonts w:ascii="Arial" w:cs="Arial" w:eastAsia="Arial" w:hAnsi="Arial"/>
          <w:sz w:val="16"/>
          <w:szCs w:val="16"/>
          <w:color w:val="auto"/>
        </w:rPr>
        <w:t>. We intend to expand our product offerings to customers by offering specialty rental product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we introduced trench safety product solutions in selected markets. It is our intention to expand these specialty rental offerings throughout our geographic footprint. Specialty rental product offerings typically provide higher margin opportunities than general rental products.</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i w:val="1"/>
          <w:iCs w:val="1"/>
          <w:color w:val="auto"/>
        </w:rPr>
        <w:t>Increasing the Availability of our Product Offerings through Branch Expansion</w:t>
      </w:r>
      <w:r>
        <w:rPr>
          <w:rFonts w:ascii="Arial" w:cs="Arial" w:eastAsia="Arial" w:hAnsi="Arial"/>
          <w:sz w:val="18"/>
          <w:szCs w:val="18"/>
          <w:color w:val="auto"/>
        </w:rPr>
        <w:t>. We intend to expand our network of branch locations,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the availability of rental products to our customers to meet their specific needs. Our branch expansion strategy focuses on expanding in markets where we have a presence and benefit from name and brand recognition. Expanding our branch network allows us to grow our margins and improve Company profitability through revenue mix and by leveraging our fixed costs.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 w:name="page8"/>
    <w:bookmarkEnd w:id="7"/>
    <w:p>
      <w:pPr>
        <w:ind w:right="20" w:firstLine="374"/>
        <w:spacing w:after="0" w:line="291" w:lineRule="auto"/>
        <w:rPr>
          <w:sz w:val="20"/>
          <w:szCs w:val="20"/>
          <w:color w:val="auto"/>
        </w:rPr>
      </w:pPr>
      <w:r>
        <w:rPr>
          <w:rFonts w:ascii="Arial" w:cs="Arial" w:eastAsia="Arial" w:hAnsi="Arial"/>
          <w:sz w:val="16"/>
          <w:szCs w:val="16"/>
          <w:i w:val="1"/>
          <w:iCs w:val="1"/>
          <w:color w:val="auto"/>
        </w:rPr>
        <w:t xml:space="preserve">Executing Strategic Divestitures. </w:t>
      </w:r>
      <w:r>
        <w:rPr>
          <w:rFonts w:ascii="Arial" w:cs="Arial" w:eastAsia="Arial" w:hAnsi="Arial"/>
          <w:sz w:val="16"/>
          <w:szCs w:val="16"/>
          <w:color w:val="auto"/>
        </w:rPr>
        <w:t>We intend to transition to a pure-play rental company from our historical operation as an integrated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company. We are focused on growing our rental business through the strategic divestitures of some of our existing distribution channels. We completed one divesture during the year ended December 31, 2022 and two divestitures during the year ended December 31, 2021. On December 15, 2022, we sold our Komatsu distribution rights in Louisiana to Waukesha-Pearce Industries, LLC. On September 17, 2021, we sold our Little Rock, Arkansas and Springdale, Arkansas owned-branches to Bramco, Inc. and relinquished our related territory distribution rights with equipment manufacturers Komatsu, Wirtgen Group and Takeuchi. Effective October 1, 2021, we sold our crane business to a wholly-owned subsidiary of The Manitowoc Company, Inc. The crane business sale represents our strategic shift to a pure-play rental business and qualified for discontinued operations accounting treatment.</w:t>
      </w:r>
    </w:p>
    <w:p>
      <w:pPr>
        <w:spacing w:after="0" w:line="137"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i w:val="1"/>
          <w:iCs w:val="1"/>
          <w:color w:val="auto"/>
        </w:rPr>
        <w:t xml:space="preserve">Pursuing Selective Acquisitions. </w:t>
      </w:r>
      <w:r>
        <w:rPr>
          <w:rFonts w:ascii="Arial" w:cs="Arial" w:eastAsia="Arial" w:hAnsi="Arial"/>
          <w:sz w:val="17"/>
          <w:szCs w:val="17"/>
          <w:color w:val="auto"/>
        </w:rPr>
        <w:t>We intend to continue to evaluate and pursue, on an opportunistic basis, acquisitions that meet our selection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favorable financing terms, with the objective of increasing our revenues, improving our profitability, and strengthening our competitive position. We are focused on identifying and acquiring rental companies, including general rental and specialty rental companies, to complement our existing business, broaden our geographic footprint, and increase our density in existing markets, as well enter new markets where feasible expansion opportunities may exist. Growth through acquisitions allows us to leverage our fixed costs and grow profitability. We have completed four acquisitions over the last five years. Effective January 1, 2018, we completed the acquisition of Contractors Equipment Center, LLC. Effective April 1, 2018, we completed the acquisition of Rental Inc. Effective February 1, 2019, we completed the acquisition of Cobra Equipment Rentals, LLC, dba We-Rent-It. Effective October 1, 2022, we completed the acquisition of One Source Equipment Rentals, Inc. (“OSR”), a privately-held equipment rentals company with 10 branch locations primarily in the Midwest.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We serve approximately 43,100 customers in the United States, primarily in the Pacific Northwest, West Coast, Intermountain, Southwest, Gulf Coast, Southeast, Midwest and Mid-Atlantic regions. Our customers include a wide range of industrial and commercial companies, construction contractors, manufacturers, public utilities, municipalities, maintenance contractors and numerous and diverse other large industrial accounts. They vary from individuals to large contractors and industrial and commercial companies who typically operate under equipment and maintenance budgets. Our branches enable us to closely service local and regional customers, while our infrastructure enables us to effectively service multi-regional and national accounts. Our strategy enables us to satisfy customer requirements and increase revenues from customers through cross-selling opportunities presented by the various products and services that we offer. As a result, our five reporting segments generally derive their revenue from the same customer base. In 2022, our largest customer accounted for approximately 0.9% of our total revenues. No single customer accounted for more than 10% of our revenue on an operating segment or consolidated basis in 2022. Our top ten customers combined accounted for approximately 4.4% of our total revenues in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21"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auto"/>
        </w:rPr>
        <w:t>We purchase a significant amount of equipment from leading, nationally-known original equipment manufacturers. We purchased approximately 50.0% of our equipment from five manufacturers (JCB, Skyjack, Sany, Komatsu, and Yanmar) during the year ended December 31, 2022. These relationships improve our ability to negotiate equipment acquisition pricing. Additionally, we also purchase equipment from nationally-recognized equipment suppliers including JLG Industries, Gehl, John Deere, Case and Takeuchi. While we believe that we have alternative sources of supply for the equipment we purchase in each of our principal product categories, termination of one or more of our relationships with any of our major suppliers of equipment could have a material adverse effect on our business, financial condition or results of operations if we were unable to obtain adequate or timely rental and sales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80" w:firstLine="374"/>
        <w:spacing w:after="0" w:line="293" w:lineRule="auto"/>
        <w:rPr>
          <w:sz w:val="20"/>
          <w:szCs w:val="20"/>
          <w:color w:val="auto"/>
        </w:rPr>
      </w:pPr>
      <w:r>
        <w:rPr>
          <w:rFonts w:ascii="Arial" w:cs="Arial" w:eastAsia="Arial" w:hAnsi="Arial"/>
          <w:sz w:val="16"/>
          <w:szCs w:val="16"/>
          <w:color w:val="auto"/>
        </w:rPr>
        <w:t>The equipment industry is generally comprised of either pure rental equipment companies or manufacturer dealer/distributorship companies. We are historically an integrated equipment services company and rent, sell and provide parts and services support. Although there has been some consolidation within the equipment industry in recent years, the equipment industry remains highly fragmented and consists mainly of a small number of multi-location regional or national operators and a large number of relatively small, independent businesses serving discrete local markets. Many of the markets in which we operate are served by numerous competitors, ranging from national and multi-regional equipment rental companies (for example, URI, Sunbelt Rentals and Herc Rentals) or equipment dealers (for example, Finning and Toromont) to small, independent businesses with a limited number of locations.</w:t>
      </w:r>
    </w:p>
    <w:p>
      <w:pPr>
        <w:spacing w:after="0" w:line="12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We believe that participants in the equipment rental industry generally compete on the basis of availability, quality, reliability, delivery and price. In general, large operators enjoy substantial competitive advantages over small, independent rental businesses due to a distinct price advantage. Many rental equipment companies’ parts and services offerings are limited and may prove difficult to expand due to the training, infrastructure and management resources necessary to develop the breadth of service offerings and depth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knowledge our service technicians are able to provide. Some of our competitors have significantly greater financial, marketing and other resources than we do.</w:t>
      </w:r>
    </w:p>
    <w:p>
      <w:pPr>
        <w:spacing w:after="0" w:line="142"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Traditionally, equipment manufacturers distributed their equipment and parts through a network of independent dealers with distribution agreements. As a result of consolidation and competition, both manufacturers and distributors sought to streamline their operations, improve their costs and gain market share. Our established, integrated infrastructure enables us to compete directly with our competitors on either a local, regional or national basis. We believe customers place greater emphasis on value-added services, teaming with equipment rental and sales companies who can meet all of their equipment, parts and services needs.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Although our business is not significantly impacted by seasonality, the demand for our rental equipment tends to be lower in the winter months. The level of equipment rental activities is directly related to commercial and industrial construction and maintenance activities. Therefore, equipment rental performance will be correlated to the levels of current construction activities. The severity of weather conditions can have a temporary impact on the level of construction activities.</w:t>
      </w:r>
    </w:p>
    <w:p>
      <w:pPr>
        <w:spacing w:after="0" w:line="158"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Equipment sales cycles are also subject to some seasonality with the peak selling period occurring during the spring season and extending through the summer. Parts and services activities are less affected by changes in demand caused by seasonality.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Safety Regulations</w:t>
      </w:r>
    </w:p>
    <w:p>
      <w:pPr>
        <w:spacing w:after="0" w:line="121"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Our facilities and operations are subject to comprehensive and frequently changing federal, state and local environmental and occupational health and safety laws. These laws regulate (1) the handling, storage, use and disposal of hazardous materials and wastes and, if any, the associated cleanup of properties affected by pollutants; (2) air quality (emissions); and (3) wastewater. While our operations generally do not raise significant environmental risks, we use petroleum products, solvents and other hazardous substances for fueling and maintaining our equipment and vehicles. We have made, and will continue to make, capital and other expenditures to comply with environmental requirements. We do not currently anticipate any material adverse effect on our business, financial condition or competitive position as a result of our efforts to comply with such requirements.</w:t>
      </w:r>
    </w:p>
    <w:p>
      <w:pPr>
        <w:spacing w:after="0" w:line="136"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In the future, federal, state or local governments could enact new or more stringent laws or issue new or more stringent regulations concerning environmental and worker health and safety matters, reporting and disclosure obligations, or effect a change in their enforcement of existing laws or regulations, that could affect our operations and increase our operational and compliance expenditures. Also, in the future, contamination may be found to exist at our facilities or off-site locations where we have sent wastes. There can be no assurance that we, or various environmental regulatory agencies, will not discover previously unknown environmental non-compliance or contamination. We could be held liable for such newly-discovered non-compliance or contamination. It is possible that changes in environmental and worker health and safety laws or liabilities from newly-discovered non-compliance or contamination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200" w:firstLine="374"/>
        <w:spacing w:after="0" w:line="296" w:lineRule="auto"/>
        <w:rPr>
          <w:sz w:val="20"/>
          <w:szCs w:val="20"/>
          <w:color w:val="auto"/>
        </w:rPr>
      </w:pPr>
      <w:r>
        <w:rPr>
          <w:rFonts w:ascii="Arial" w:cs="Arial" w:eastAsia="Arial" w:hAnsi="Arial"/>
          <w:sz w:val="16"/>
          <w:szCs w:val="16"/>
          <w:color w:val="auto"/>
        </w:rPr>
        <w:t>We believe our employees are our greatest asset. As of December 31, 2022, we had approximately 2,375 employees, of which 847 are salaried personnel and 1,528 are hourly personnel. A collective bargaining agreement relating to two branch locations covers approximately 68 of our employees. We believe our relations with our employees are favorable and we have never experienced a work stoppage. Generally, the total number of employees remains relatively consistent throughout the year. Acquisition activity or the opening of new branches may increase the number of our employees or fluctuations in the level of our business activity could require some staffing level adjustments in response to align with customer demand.</w:t>
      </w:r>
    </w:p>
    <w:p>
      <w:pPr>
        <w:spacing w:after="0" w:line="52"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H&amp;E employees drive our business growth and success. Likewise, we strive to drive their own professional growth, success and wellbeing. We do so by providing a workplace in which safety, diversity, inclusion, talent development, training, competitive pay and quality benefits are prioritized. As an equipment company run by equipment people, our culture is one built on integrity, cooperation and teamwork. H&amp;E workplace policies and initiatives aim to create a workplace of choice that attracts and retains the talent needed to achieve our business objectives.</w:t>
      </w:r>
    </w:p>
    <w:p>
      <w:pPr>
        <w:spacing w:after="0" w:line="143"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i w:val="1"/>
          <w:iCs w:val="1"/>
          <w:color w:val="auto"/>
        </w:rPr>
        <w:t xml:space="preserve">Health and Safety. </w:t>
      </w:r>
      <w:r>
        <w:rPr>
          <w:rFonts w:ascii="Arial" w:cs="Arial" w:eastAsia="Arial" w:hAnsi="Arial"/>
          <w:sz w:val="17"/>
          <w:szCs w:val="17"/>
          <w:color w:val="auto"/>
        </w:rPr>
        <w:t>The health and safety of our employees is an unwavering core value and is prioritized through our LIVESAFE program, which</w:t>
      </w:r>
      <w:r>
        <w:rPr>
          <w:rFonts w:ascii="Arial" w:cs="Arial" w:eastAsia="Arial" w:hAnsi="Arial"/>
          <w:sz w:val="17"/>
          <w:szCs w:val="17"/>
          <w:i w:val="1"/>
          <w:iCs w:val="1"/>
          <w:color w:val="auto"/>
        </w:rPr>
        <w:t xml:space="preserve"> </w:t>
      </w:r>
      <w:r>
        <w:rPr>
          <w:rFonts w:ascii="Arial" w:cs="Arial" w:eastAsia="Arial" w:hAnsi="Arial"/>
          <w:sz w:val="17"/>
          <w:szCs w:val="17"/>
          <w:color w:val="auto"/>
        </w:rPr>
        <w:t>focuses on employee safety at work, home, and play. Senior operational leaders play a vital role in the communication, implementation, and follow-through of our safety program and we require accountability, commitment and compliance from all employees. Behavioral safety is the foundation of our safety culture, which incorporates elements such as job safety observations, near miss reporting, safety meetings and ride-along programs, among others. We also require all new hires to perform job specific and regulatory training. Additionally, we require all employees to participate in annual safety training. These proactive measures in conjunction with the full implementation of stop-work authority at all levels helps to set a culture of safety at branch locations. Assessments and internal metric reporting provide for transparency and accountability at all levels of our organization while incentive programs focus on accident prevention and behavior safety improvements to reward employee safety performance.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9" w:name="page10"/>
    <w:bookmarkEnd w:id="9"/>
    <w:p>
      <w:pPr>
        <w:ind w:right="40" w:firstLine="374"/>
        <w:spacing w:after="0" w:line="301" w:lineRule="auto"/>
        <w:rPr>
          <w:sz w:val="20"/>
          <w:szCs w:val="20"/>
          <w:color w:val="auto"/>
        </w:rPr>
      </w:pPr>
      <w:r>
        <w:rPr>
          <w:rFonts w:ascii="Arial" w:cs="Arial" w:eastAsia="Arial" w:hAnsi="Arial"/>
          <w:sz w:val="16"/>
          <w:szCs w:val="16"/>
          <w:i w:val="1"/>
          <w:iCs w:val="1"/>
          <w:color w:val="auto"/>
        </w:rPr>
        <w:t xml:space="preserve">Employee Wellness and Benefits. </w:t>
      </w:r>
      <w:r>
        <w:rPr>
          <w:rFonts w:ascii="Arial" w:cs="Arial" w:eastAsia="Arial" w:hAnsi="Arial"/>
          <w:sz w:val="16"/>
          <w:szCs w:val="16"/>
          <w:color w:val="auto"/>
        </w:rPr>
        <w:t>We equip our employees with the benefits and tools they need to lead healthy, secure and balanced lives to help them</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at their best. We offer an array of comprehensive benefit options including retirement savings plans, medical insurance, prescription drug benefits, dental insurance, vision insurance, flexible medical spending accounts, life and disability insurance, accident and critical illness insurance and dependent care programs. We additionally provide paid time off, bereavement leave, wellness credits and employee assistance programs.</w:t>
      </w:r>
    </w:p>
    <w:p>
      <w:pPr>
        <w:spacing w:after="0" w:line="129"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i w:val="1"/>
          <w:iCs w:val="1"/>
          <w:color w:val="auto"/>
        </w:rPr>
        <w:t xml:space="preserve">Inclusion and Diversity. </w:t>
      </w:r>
      <w:r>
        <w:rPr>
          <w:rFonts w:ascii="Arial" w:cs="Arial" w:eastAsia="Arial" w:hAnsi="Arial"/>
          <w:sz w:val="18"/>
          <w:szCs w:val="18"/>
          <w:color w:val="auto"/>
        </w:rPr>
        <w:t>We strive to build a team that reflects the wide diversity of customers and communities that we serve across the country.</w:t>
      </w:r>
      <w:r>
        <w:rPr>
          <w:rFonts w:ascii="Arial" w:cs="Arial" w:eastAsia="Arial" w:hAnsi="Arial"/>
          <w:sz w:val="18"/>
          <w:szCs w:val="18"/>
          <w:i w:val="1"/>
          <w:iCs w:val="1"/>
          <w:color w:val="auto"/>
        </w:rPr>
        <w:t xml:space="preserve"> </w:t>
      </w:r>
      <w:r>
        <w:rPr>
          <w:rFonts w:ascii="Arial" w:cs="Arial" w:eastAsia="Arial" w:hAnsi="Arial"/>
          <w:sz w:val="18"/>
          <w:szCs w:val="18"/>
          <w:color w:val="auto"/>
        </w:rPr>
        <w:t>Moreover, we want to create a work environment in which every employee feels welcome, included and valued for their unique perspectives and experiences. The Company is committed to a full spectrum of diversity inclusive of gender, ethnicity, race, sexual orientation, age, disability, veteran status, religion, culture, background, and experiences. Our efforts focus on hiring and supporting all groups, including historically underrepresented groups. As of December 31, 2022, approximately 35% of our hourly workforce were people of color. We intend to continue these and other efforts to further diversify our team as we build a more inclusive workplace.</w:t>
      </w:r>
    </w:p>
    <w:p>
      <w:pPr>
        <w:spacing w:after="0" w:line="150"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i w:val="1"/>
          <w:iCs w:val="1"/>
          <w:color w:val="auto"/>
        </w:rPr>
        <w:t xml:space="preserve">Training and Development. </w:t>
      </w:r>
      <w:r>
        <w:rPr>
          <w:rFonts w:ascii="Arial" w:cs="Arial" w:eastAsia="Arial" w:hAnsi="Arial"/>
          <w:sz w:val="18"/>
          <w:szCs w:val="18"/>
          <w:color w:val="auto"/>
        </w:rPr>
        <w:t>Development and advancement opportunities are one of the most important factors in retaining our employees.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to develop and enhance skills improve our business performance and provide employees with meaningful career opportunities. We offer training in an array of categories such as management and leadership, rentals, sales, parts and service, safety, technology and vehicle operations. Our talent development program includes a variety of training methodologies including field experiences, on-the-job training, online/system supported training, classroom training and helpdesk support.</w:t>
      </w:r>
    </w:p>
    <w:p>
      <w:pPr>
        <w:spacing w:after="0" w:line="150"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i w:val="1"/>
          <w:iCs w:val="1"/>
          <w:color w:val="auto"/>
        </w:rPr>
        <w:t xml:space="preserve">Social Responsibility. </w:t>
      </w:r>
      <w:r>
        <w:rPr>
          <w:rFonts w:ascii="Arial" w:cs="Arial" w:eastAsia="Arial" w:hAnsi="Arial"/>
          <w:sz w:val="17"/>
          <w:szCs w:val="17"/>
          <w:color w:val="auto"/>
        </w:rPr>
        <w:t>We believe strong businesses and strong communities depend upon one another. We share our success by giving back to</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 and, in turn, they provide us with the talent required to drive our business success. We encourage our branches to pursue outreach opportunities that best meet the needs of their respective communities and interests of their employees. At the corporate level, we focus on the education of disadvantaged youth in our headquarters community of Baton Rouge, Louisiana. In recent years, we have provided philanthropic and volunteer support to two innovative local high schools, where children of low-income parents can receive a college preparatory education. We also administer a business and employee assistance fund that supports small businesses and employees in emergency situations and disaster recovery.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H&amp;E recognizes the importance of environmental stewardship, social responsibility and transparent governance. We are committed to advancing each of these through our business conduct and operations. A cross-functional ESG task force of senior management leads this work with oversight from the ESG Committee of the Company’s Board of Directors. During 2022, we engaged an external resource to begin initial development of an ESG strategy and ESG programs and policies that will serve as a blueprint to guide our progress going forward.</w:t>
      </w:r>
    </w:p>
    <w:p>
      <w:pPr>
        <w:spacing w:after="0" w:line="7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We are working to identify and understand areas of the business in which we can reduce the environmental impact, including our carbon footprint. As an example, we have deployed telematics tracking and strategies to improve the management of our transportation fleet, which has resulted in our ability to reduce the idle time of our transportation vehicles, saving fuel consumption. While to date we have not completed an inventory of our greenhouse gas emissions, we realize that use of rental equipment by customers is a significant component. To address this, we are committed to evaluating alternative fuel and electric products for our rental fleet as these technologies become available, are successfully tested in the field of operation and as customer demand for them increases.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374"/>
        <w:spacing w:after="0" w:line="288" w:lineRule="auto"/>
        <w:rPr>
          <w:sz w:val="20"/>
          <w:szCs w:val="20"/>
          <w:color w:val="auto"/>
        </w:rPr>
      </w:pPr>
      <w:r>
        <w:rPr>
          <w:rFonts w:ascii="Arial" w:cs="Arial" w:eastAsia="Arial" w:hAnsi="Arial"/>
          <w:sz w:val="16"/>
          <w:szCs w:val="16"/>
          <w:color w:val="auto"/>
        </w:rPr>
        <w:t>We file electronically with the SEC annual reports on Form 10-K, quarterly reports on Form 10-Q, current reports on Form 8-K and amendments to those reports filed or furnished pursuant to Section 13 or 15(d) of the Securities Exchange Act of 1934. The SEC maintains an Internet site (www.sec.gov) that contains reports, proxy and information statements, and other information regarding issuers that file electronically with the SEC. Copies of these reports, proxy and information statements and other information may be obtained by electronic request at the following e-mail address: publicinfo@sec.gov. Copies of our annual report on Form 10-K, quarterly reports on Form 10-Q, current reports on Form 8-K, ownership reports for insiders and any exhibits to and amendments to these reports filed with or furnished to the SEC are available free of charge through our internet website (</w:t>
      </w:r>
      <w:r>
        <w:rPr>
          <w:rFonts w:ascii="Arial" w:cs="Arial" w:eastAsia="Arial" w:hAnsi="Arial"/>
          <w:sz w:val="16"/>
          <w:szCs w:val="16"/>
          <w:u w:val="single" w:color="auto"/>
          <w:color w:val="auto"/>
        </w:rPr>
        <w:t>www.he-equipment.com</w:t>
      </w:r>
      <w:r>
        <w:rPr>
          <w:rFonts w:ascii="Arial" w:cs="Arial" w:eastAsia="Arial" w:hAnsi="Arial"/>
          <w:sz w:val="16"/>
          <w:szCs w:val="16"/>
          <w:color w:val="auto"/>
        </w:rPr>
        <w:t>) as soon as reasonably practicable after filing with the SEC. We use the Investor Relations section of our website as a means of disclosing material non-public information and for complying with our disclosure obligations under Regulation FD. Accordingly, investors should monitor the Investor Relations section of our website, in addition to following press releases, SEC filings and public conference calls and webcasts.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Additionally, we make available free of charge on our internet website:</w:t>
      </w:r>
    </w:p>
    <w:p>
      <w:pPr>
        <w:spacing w:after="0" w:line="117" w:lineRule="exact"/>
        <w:rPr>
          <w:sz w:val="20"/>
          <w:szCs w:val="20"/>
          <w:color w:val="auto"/>
        </w:rPr>
      </w:pPr>
    </w:p>
    <w:p>
      <w:pPr>
        <w:ind w:left="1260" w:hanging="368"/>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Code of Conduct and Ethics;</w:t>
      </w:r>
    </w:p>
    <w:p>
      <w:pPr>
        <w:spacing w:after="0" w:line="116" w:lineRule="exact"/>
        <w:rPr>
          <w:rFonts w:ascii="Arial" w:cs="Arial" w:eastAsia="Arial" w:hAnsi="Arial"/>
          <w:sz w:val="18"/>
          <w:szCs w:val="18"/>
          <w:color w:val="auto"/>
        </w:rPr>
      </w:pPr>
    </w:p>
    <w:p>
      <w:pPr>
        <w:ind w:left="1260" w:hanging="368"/>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charter of our Corporate Governance and Nominating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0" w:name="page11"/>
    <w:bookmarkEnd w:id="10"/>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charter of our Compensation Committee; and</w:t>
      </w:r>
    </w:p>
    <w:p>
      <w:pPr>
        <w:spacing w:after="0" w:line="116" w:lineRule="exact"/>
        <w:rPr>
          <w:rFonts w:ascii="Arial" w:cs="Arial" w:eastAsia="Arial" w:hAnsi="Arial"/>
          <w:sz w:val="18"/>
          <w:szCs w:val="18"/>
          <w:color w:val="auto"/>
        </w:rPr>
      </w:pPr>
    </w:p>
    <w:p>
      <w:pPr>
        <w:ind w:left="1260" w:hanging="36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charter of our Audit Committee.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40" w:firstLine="374"/>
        <w:spacing w:after="0" w:line="279" w:lineRule="auto"/>
        <w:rPr>
          <w:sz w:val="20"/>
          <w:szCs w:val="20"/>
          <w:color w:val="auto"/>
        </w:rPr>
      </w:pPr>
      <w:r>
        <w:rPr>
          <w:rFonts w:ascii="Arial" w:cs="Arial" w:eastAsia="Arial" w:hAnsi="Arial"/>
          <w:sz w:val="17"/>
          <w:szCs w:val="17"/>
          <w:color w:val="auto"/>
        </w:rPr>
        <w:t>Investing in our securities involves a high degree of risk. You should consider carefully the following risk factors and the other information in this Annual Report on Form 10-K, including our consolidated financial statements and related notes, before making any investment decisions regarding our securities. If any of the following risks actually occur, our business, financial condition and operating results could be adversely affected. As a result, the trading price of our securities could decline and you may lose part or all of your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Operational and Competitive Risks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declines in construction and industrial activities, or a downturn in the economy in general, which could lead to decreased demand for equipment, depressed equipment rental rates and lower sales prices, resulting in a decline in our revenues, gross margins and operating results.</w:t>
      </w:r>
    </w:p>
    <w:p>
      <w:pPr>
        <w:spacing w:after="0" w:line="7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Our equipment is principally used in connection with construction and industrial activities. Consequently, a downturn in construction or industrial activities, or the economy in general, may lead to a decrease in the demand for equipment or depress rental rates and the sales prices for our equipment. Our business may also be negatively impacted, either temporarily or long-term, by:</w:t>
      </w:r>
    </w:p>
    <w:p>
      <w:pPr>
        <w:spacing w:after="0" w:line="75"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spending levels by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credit markets affecting end-user access to capital;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federal, state and local government infrastructure spending;</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cost of construction materials;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weather conditions or natural disasters which may affect a particular region;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the level of exploration, development, production activity and capital spending by oil and natural gas companies;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prolonged shutdown of the U.S. government;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interest rates;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health crises and epidemics, such as COVID-19; or</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terrorism or hostilities involving the United States.</w:t>
      </w:r>
    </w:p>
    <w:p>
      <w:pPr>
        <w:spacing w:after="0" w:line="225"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Weakness or deterioration in the non-residential construction and industrial sectors caused by these or other factors could have a material adverse effect on our financial position, results of operations and cash flows in the future and may also have a material adverse effect on residual values realized on the disposition of our rental fleet.</w:t>
      </w:r>
    </w:p>
    <w:p>
      <w:pPr>
        <w:spacing w:after="0" w:line="18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impacts of a global pandemic, including COVID-19, and similar health concerns, could have a significant impact on worldwide economic conditions and could have a material adverse effect on our operations and financial results.</w:t>
      </w:r>
    </w:p>
    <w:p>
      <w:pPr>
        <w:spacing w:after="0" w:line="62" w:lineRule="exact"/>
        <w:rPr>
          <w:sz w:val="20"/>
          <w:szCs w:val="20"/>
          <w:color w:val="auto"/>
        </w:rPr>
      </w:pPr>
    </w:p>
    <w:p>
      <w:pPr>
        <w:ind w:right="80" w:firstLine="374"/>
        <w:spacing w:after="0" w:line="217" w:lineRule="exact"/>
        <w:rPr>
          <w:sz w:val="20"/>
          <w:szCs w:val="20"/>
          <w:color w:val="auto"/>
        </w:rPr>
      </w:pPr>
      <w:r>
        <w:rPr>
          <w:rFonts w:ascii="Arial" w:cs="Arial" w:eastAsia="Arial" w:hAnsi="Arial"/>
          <w:sz w:val="16"/>
          <w:szCs w:val="16"/>
          <w:color w:val="auto"/>
        </w:rPr>
        <w:t>A significant outbreak of epidemic, pandemic, or contagious diseases, including the COVID</w:t>
      </w:r>
      <w:r>
        <w:rPr>
          <w:rFonts w:ascii="MS PGothic" w:cs="MS PGothic" w:eastAsia="MS PGothic" w:hAnsi="MS PGothic"/>
          <w:sz w:val="16"/>
          <w:szCs w:val="16"/>
          <w:color w:val="auto"/>
        </w:rPr>
        <w:t>‑</w:t>
      </w:r>
      <w:r>
        <w:rPr>
          <w:rFonts w:ascii="Arial" w:cs="Arial" w:eastAsia="Arial" w:hAnsi="Arial"/>
          <w:sz w:val="16"/>
          <w:szCs w:val="16"/>
          <w:color w:val="auto"/>
        </w:rPr>
        <w:t>19 pandemic, could cause a widespread health crisis that could result in an economic downturn, affecting the supply and/or demand for our equipment. Any quarantines, labor shortages or other disruptions to us, our suppliers, or our customers would likely adversely impact our sales and operating results. The extent of any further impact from the pandemic on the Company’s operational and financial performance and liquidity will depend on various developments, including the duration and spread of the outbreak, governmental limitations on business operations generally, and its and their impact on potential customers, employees, and suppliers, vendors and distribution partners, all of which are uncertain and cannot be reasonably predicted at this time. As we cannot predict the potential future impact of the duration or scope of a global pandemic, including COVID-19, or similar health concerns, any resulting future financial impact cannot be reasonably estimated at this time. In addition, to the extent that a global pandemic, including COVID-19, or similar health concerns adversely affect our results of operations or financial position, it may also heighten the other risks described in this Item 1A-Risk Factors.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face risks related to heightened inflation, recession, financial and credit market disruptions and other economic conditions.</w:t>
      </w:r>
    </w:p>
    <w:p>
      <w:pPr>
        <w:spacing w:after="0" w:line="117"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Our financial results, operations and forecasts depend significantly on worldwide economic and geopolitical conditions, the demand for our products, and the financial condition of our customers and suppliers. Economic weakness and geopolitical uncertainty have in the past resulted, and may result in the future, in reduced demand for products resulting in decreased sales, margins and earnings. In 2022, the U.S. experienced significantly heightened inflationary pressures which have continued into 2023. We may not be able to fully mitigate the impact of inflation through price increases, productivity initiatives and cost savings, which could have an adverse effect on our results of operations. In addition, if the U.S. economy enters a recession, we may experience sales declines which could have an adverse effect on our business, operating results and financial condition.</w:t>
      </w:r>
    </w:p>
    <w:p>
      <w:pPr>
        <w:spacing w:after="0" w:line="55"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Similarly, disruptions in financial and/or credit markets may impact our ability to manage normal commercial relationships with our customers, suppliers and creditors. Further, in the event of a recession or threat of a recession, our customers and suppliers may suffer their own financial and economic challenges and as a result they may demand pricing accommodations, delay payment, or become insolvent, which could harm our ability to meet our customer demands or collect revenue or otherwise could harm our business. An economic or credit crisis could occur and impair credit availability and our ability to raise capital when needed. A disruption in the financial markets could impair our banking or other business partners, on whom we rely for access to capital. In addition, changes in tax or interest rates in the U.S. or other nations, whether due to recession, economic disruptions or other reasons, could have an adverse effect on our operating results.</w:t>
      </w:r>
    </w:p>
    <w:p>
      <w:pPr>
        <w:spacing w:after="0" w:line="73"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Economic weakness and geopolitical uncertainty may also lead us to impair assets, take restructuring actions or adjust our operating strategy and reduce expenses in response to decreased sales or margins. We may not be able to adequately adjust our cost structure in a timely fashion, which could have an adverse effect on our operating results and financial condition. Uncertainty about economic conditions may increase foreign currency volatility in markets in which we transact business, which could have an adverse effect on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forecast trends accurately may have an adverse impact on our business and financial condition.</w:t>
      </w:r>
    </w:p>
    <w:p>
      <w:pPr>
        <w:spacing w:after="0" w:line="117"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An economic downturn or economic uncertainty makes it difficult for us to forecast trends. For example, the current economic uncertainty related to COVID-19, or similar health concerns, and their impact on the Company’s future operational and financial performance is highly dependent on the depth and duration of the pandemic, as well as any government-mandated restrictions on economic activity and any government economic stimulus package in response to the economic downturn. This uncertainty makes it difficult to forecast our future operating performance, cash flows and financial position, which could have an adverse impact on our business and financial condition. Additionally, uncertainty regarding future oil and natural gas prices have negatively impacted the exploration, production and construction activity of our customers in those markets. Uncertainty regarding future equipment product demand could cause us to maintain excess equipment inventory and increase our equipment inventory carrying costs. Alternatively, this forecasting difficulty in addition to labor shortages and supply chain disruptions could cause a shortage of equipment for sale or rental that could result in an inability to satisfy demand for our products and a loss of market shares.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revenue and operating results may fluctuate, which could result in a decline in our profitability and make it more difficult for us to grow our business.</w:t>
      </w:r>
    </w:p>
    <w:p>
      <w:pPr>
        <w:spacing w:after="0" w:line="62" w:lineRule="exact"/>
        <w:rPr>
          <w:sz w:val="20"/>
          <w:szCs w:val="20"/>
          <w:color w:val="auto"/>
        </w:rPr>
      </w:pPr>
    </w:p>
    <w:p>
      <w:pPr>
        <w:jc w:val="both"/>
        <w:ind w:right="120" w:firstLine="374"/>
        <w:spacing w:after="0" w:line="263" w:lineRule="auto"/>
        <w:rPr>
          <w:sz w:val="20"/>
          <w:szCs w:val="20"/>
          <w:color w:val="auto"/>
        </w:rPr>
      </w:pPr>
      <w:r>
        <w:rPr>
          <w:rFonts w:ascii="Arial" w:cs="Arial" w:eastAsia="Arial" w:hAnsi="Arial"/>
          <w:sz w:val="18"/>
          <w:szCs w:val="18"/>
          <w:color w:val="auto"/>
        </w:rPr>
        <w:t>Our revenue and operating results have historically varied from quarter to quarter. Periods of decline could result in an overall decline in profitability and make it more difficult for us to make payments on our indebtedness and grow our business. We expect our quarterly results to continue to fluctuate in the future due to a number of factors, including:</w:t>
      </w:r>
    </w:p>
    <w:p>
      <w:pPr>
        <w:spacing w:after="0" w:line="75"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in the markets where we operate;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our customers’ business, particularly our construction customers and customers in the oil and gas industry;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rental patterns of our construction customers, with sales and rental activity tending to be lower in the winter months;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size of our rental fleet and/or in the rate at which we sell our used equipment from the fleet;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overcapacity of fleet in the equipment rental industry;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weather and seismic conditions temporarily affecting the regions where we operate;</w:t>
      </w:r>
    </w:p>
    <w:p>
      <w:pPr>
        <w:spacing w:after="0" w:line="11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or other disruptions that impact our ability to obtain equipment and other supplies for our business from our key suppliers on acceptable terms or at all;</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corporate spending for plants and facilities or changes in government spending for infrastructure projects;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interest rates and related changes in our interest expense and our debt service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ind w:left="1020" w:right="30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need, from time to time, to record goodwill impairment charges or other write-offs or charges due to a variety of occurrences, such as the impairment of assets, rental location divestitures, dislocation in the equity and/or credit markets, consolidations or closings, restructurings, or the refinancing of existing indebtedness;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integrating acquired businesses and new start-up locations;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acquisitions and new location openings and related costs.</w:t>
      </w:r>
    </w:p>
    <w:p>
      <w:pPr>
        <w:spacing w:after="0" w:line="225" w:lineRule="exact"/>
        <w:rPr>
          <w:sz w:val="20"/>
          <w:szCs w:val="20"/>
          <w:color w:val="auto"/>
        </w:rPr>
      </w:pPr>
    </w:p>
    <w:p>
      <w:pPr>
        <w:ind w:right="540" w:firstLine="374"/>
        <w:spacing w:after="0" w:line="277" w:lineRule="auto"/>
        <w:rPr>
          <w:sz w:val="20"/>
          <w:szCs w:val="20"/>
          <w:color w:val="auto"/>
        </w:rPr>
      </w:pPr>
      <w:r>
        <w:rPr>
          <w:rFonts w:ascii="Arial" w:cs="Arial" w:eastAsia="Arial" w:hAnsi="Arial"/>
          <w:sz w:val="18"/>
          <w:szCs w:val="18"/>
          <w:color w:val="auto"/>
        </w:rPr>
        <w:t>In addition, we incur various costs when integrating newly acquired businesses or opening new start-up locations, and the profitability of a new location is generally expected to be lower in the initial months of operation.</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competition, which may have a material adverse effect on our business by reducing our ability to increase or maintain revenues or profitability.</w:t>
      </w:r>
    </w:p>
    <w:p>
      <w:pPr>
        <w:spacing w:after="0" w:line="62"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The equipment rental and retail distribution industries are highly competitive and the equipment rental industry is highly fragmented. Many of the markets in which we operate are served by numerous competitors, ranging from global, national and multi-regional equipment rental companies to small, independent businesses with a limited number of locations. We generally compete on the basis of availability, quality, reliability, delivery and price. Some of our competitors have significantly greater financial, marketing and other resources than we do, and may be able to reduce rental rates or sales prices. We may encounter increased competition from existing competitors or new market entrants in the future, which could have a material adverse effect on our business, financial condition and results of operations.</w:t>
      </w:r>
    </w:p>
    <w:p>
      <w:pPr>
        <w:spacing w:after="0" w:line="19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We purchase a significant amount of our equipment from a limited number of manufacturers. Termination of one or more of our relationships with any of those manufacturers could have a material adverse effect on our business, as we may be unable to obtain equipment in an adequate or timely manner.</w:t>
      </w:r>
    </w:p>
    <w:p>
      <w:pPr>
        <w:spacing w:after="0" w:line="75" w:lineRule="exact"/>
        <w:rPr>
          <w:sz w:val="20"/>
          <w:szCs w:val="20"/>
          <w:color w:val="auto"/>
        </w:rPr>
      </w:pPr>
    </w:p>
    <w:p>
      <w:pPr>
        <w:ind w:right="140" w:firstLine="374"/>
        <w:spacing w:after="0" w:line="256" w:lineRule="auto"/>
        <w:rPr>
          <w:sz w:val="20"/>
          <w:szCs w:val="20"/>
          <w:color w:val="auto"/>
        </w:rPr>
      </w:pPr>
      <w:r>
        <w:rPr>
          <w:rFonts w:ascii="Arial" w:cs="Arial" w:eastAsia="Arial" w:hAnsi="Arial"/>
          <w:sz w:val="18"/>
          <w:szCs w:val="18"/>
          <w:color w:val="auto"/>
        </w:rPr>
        <w:t>We purchase most of our equipment from leading, nationally-known original equipment manufacturers (“OEMs”). For the year ended December 31, 2022, we purchased approximately 50.0% of our equipment from five manufacturers (JCB, Skyjack, Sany, Komatsu, and Yanmar). Although we believe that we have alternative sources of supply for the equipment we purchase in each of our core product categories, termination of one or more of our relationships with any of these major suppliers could have a material adverse effect on our business, financial condition or results of operations if we were unable to obtain equipment in an adequate or timely manner.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our supply chain could result in adverse effects on our results of operations and financial performance.</w:t>
      </w:r>
    </w:p>
    <w:p>
      <w:pPr>
        <w:spacing w:after="0" w:line="117"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Supply chain disruptions could impact our ability to obtain equipment and other supplies for our business from our key suppliers on acceptable terms or at all. To date, our supply chain disruptions have been moderate, but we may experience more severe supply chain disruptions in the future or one or more supplier’s inability to manufacture or deliver equipment or parts. Any suspension or delay in any of our suppliers’ ability to provide us adequate equipment or supplies, or in our ability to procure equipment or supplies from other sources in a timely manner or at all, could impair our ability to meet customer demand and therefore could have a material adverse effect on our business, financial condition or results of operations.</w:t>
      </w:r>
    </w:p>
    <w:p>
      <w:pPr>
        <w:spacing w:after="0" w:line="1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cost of new equipment that we sell or purchase for use in our rental fleet may increase and therefore we may spend more for such equipment. In some cases, we may not be able to procure equipment on a timely basis due to supplier constraints.</w:t>
      </w:r>
    </w:p>
    <w:p>
      <w:pPr>
        <w:spacing w:after="0" w:line="62"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cost of new equipment from manufacturers that we sell or purchase for use in our rental fleet may increase as a result of increased raw material costs, including increases in the cost of steel, which is a primary material used in most of the equipment we use, labor shortages, supply chain disruptions or due to increased regulatory requirements, such as those related to emissions. In addition, in an effort to combat climate change, our customers may require our rental equipment to meet certain standards. If we are unable to meet such standards, then the expectations of our customers, business and results of operations could be materially adversely affected. These increases could materially impact our financial condition or results of operations in future periods if we are not able to pass such cost increases through to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rental fleet is subject to residual value risk upon disposition.</w:t>
      </w:r>
    </w:p>
    <w:p>
      <w:pPr>
        <w:spacing w:after="0" w:line="117"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market value of any given piece of rental equipment could be less than its depreciated value at the time it is sold. The market value of used rental equipment depends on several factors, including:</w:t>
      </w:r>
    </w:p>
    <w:p>
      <w:pPr>
        <w:spacing w:after="0" w:line="62"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for new equipment of a like kind;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wear and tear on the equipment relative to its age;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of year that it is sold (prices are generally higher during the construction season);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worldwide and domestic demands for used equipment;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supply of used equipment on the market;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We include in operating income the difference between the sales price and the depreciated value of an item of equipment sold. Although for the year ended December 31, 2022, we sold used equipment from our rental fleet at an average selling price of approximately 207.7% of net book value, we cannot assure you that used equipment selling prices will not decline. Any significant decline in the selling prices for used equipment could have a material adverse effect on our business, financial condition, results of operations or cash flows.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our rental fleet ages, our operating costs may increase, we may be unable to pass along such costs, and our earnings may decrease. The costs of new equipment we use in our fleet may increase, requiring us to spend more for replacement equipment or preventing us from procuring equipment on a timely basis.</w:t>
      </w:r>
    </w:p>
    <w:p>
      <w:pPr>
        <w:spacing w:after="0" w:line="75"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If our rental equipment ages, the costs of maintaining such equipment, if not replaced within a certain period of time, will likely increase. The costs of maintenance may materially increase in the future and could lead to material adverse effects on our results of operations.</w:t>
      </w:r>
    </w:p>
    <w:p>
      <w:pPr>
        <w:spacing w:after="0" w:line="129"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The cost of new equipment for use in our rental fleet could also increase due to increased material costs for our suppliers (including tariffs on raw materials) or other factors beyond our control. Such increases could materially adversely impact our financial condition and results of operations in future periods. Furthermore, changes in customer demand could cause certain of our existing equipment to become obsolete and require us to purchase new equipment at increased costs.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incur maintenance and repair costs associated with our rental fleet equipment that could have a material adverse effect on our business in the event these costs are greater than anticipated.</w:t>
      </w:r>
    </w:p>
    <w:p>
      <w:pPr>
        <w:spacing w:after="0" w:line="62"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As our fleet of rental equipment ages, the cost of maintaining such equipment, if not replaced within a certain period of time, generally increases. Determining the optimal age for our rental fleet equipment is subjective and requires considerable estimates by management. We have made estimates regarding the relationship between the age of our rental fleet equipment, maintenance and repair costs, and the market value of used equipment. Our future operating results could be adversely affected because our maintenance and repair costs may be higher than estimated and market values of used equipment may fluctuate.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could disrupt our ability to serve our customers and/or lead to higher labor costs.</w:t>
      </w:r>
    </w:p>
    <w:p>
      <w:pPr>
        <w:spacing w:after="0" w:line="117" w:lineRule="exact"/>
        <w:rPr>
          <w:sz w:val="20"/>
          <w:szCs w:val="20"/>
          <w:color w:val="auto"/>
        </w:rPr>
      </w:pPr>
    </w:p>
    <w:p>
      <w:pPr>
        <w:ind w:right="220" w:firstLine="374"/>
        <w:spacing w:after="0" w:line="273" w:lineRule="auto"/>
        <w:rPr>
          <w:sz w:val="20"/>
          <w:szCs w:val="20"/>
          <w:color w:val="auto"/>
        </w:rPr>
      </w:pPr>
      <w:r>
        <w:rPr>
          <w:rFonts w:ascii="Arial" w:cs="Arial" w:eastAsia="Arial" w:hAnsi="Arial"/>
          <w:sz w:val="17"/>
          <w:szCs w:val="17"/>
          <w:color w:val="auto"/>
        </w:rPr>
        <w:t>As of December 31, 2022, we have approximately 68 employees in Utah, a significant territory in our Intermountain region, who are covered by a collective bargaining agreement and approximately 2,307 employees who are not represented by unions or covered by collective bargaining agreements. Various unions periodically seek to organize certain of our nonunion employees. Union organizing efforts or collective bargaining negotiations could potentially lead to work stoppages and/or slowdowns or strikes by certain of our employees, which could adversely affect our ability to serve our customers. Further, settlement of actual or threatened labor disputes or an increase in the number of our employees covered by collective bargaining agreements can have unknown effects on our labor costs, productivity and flexibility.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or fluctuations in fuel costs or reduced supplies of fuel could harm our business.</w:t>
      </w:r>
    </w:p>
    <w:p>
      <w:pPr>
        <w:spacing w:after="0" w:line="117"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 xml:space="preserve">We in the past have been, and in the future could be, adversely affected by limitations on fuel supplies or significant increases in fuel prices that result in higher costs to us for transporting equipment from one branch to another branch or one region to another region. A significant or protracted price fluctuation or disruption of fuel supplies could have an adverse effect on our financial condition and results of operations. Additionally, potential climate change regulation, including a potential carbon tax, could increase the overall cost of fuel to us and have a material adverse effect on us. See </w:t>
      </w:r>
      <w:r>
        <w:rPr>
          <w:rFonts w:ascii="Arial" w:cs="Arial" w:eastAsia="Arial" w:hAnsi="Arial"/>
          <w:sz w:val="16"/>
          <w:szCs w:val="16"/>
          <w:i w:val="1"/>
          <w:iCs w:val="1"/>
          <w:color w:val="auto"/>
        </w:rPr>
        <w:t>“Operational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Competitive Risks–Climate change, climate change regulations and greenhouse effects may materially adversely impact our operations and markets” </w:t>
      </w:r>
      <w:r>
        <w:rPr>
          <w:rFonts w:ascii="Arial" w:cs="Arial" w:eastAsia="Arial" w:hAnsi="Arial"/>
          <w:sz w:val="16"/>
          <w:szCs w:val="16"/>
          <w:color w:val="auto"/>
        </w:rPr>
        <w:t xml:space="preserve">and </w:t>
      </w:r>
      <w:r>
        <w:rPr>
          <w:rFonts w:ascii="Arial" w:cs="Arial" w:eastAsia="Arial" w:hAnsi="Arial"/>
          <w:sz w:val="16"/>
          <w:szCs w:val="16"/>
          <w:i w:val="1"/>
          <w:iCs w:val="1"/>
          <w:color w:val="auto"/>
        </w:rPr>
        <w:t>“Governmental Regulation Risks–We could be adversely affected by environmental and safety requirements, including those regarding climate change,</w:t>
      </w:r>
      <w:r>
        <w:rPr>
          <w:rFonts w:ascii="Arial" w:cs="Arial" w:eastAsia="Arial" w:hAnsi="Arial"/>
          <w:sz w:val="16"/>
          <w:szCs w:val="16"/>
          <w:color w:val="auto"/>
        </w:rPr>
        <w:t xml:space="preserve"> </w:t>
      </w:r>
      <w:r>
        <w:rPr>
          <w:rFonts w:ascii="Arial" w:cs="Arial" w:eastAsia="Arial" w:hAnsi="Arial"/>
          <w:sz w:val="16"/>
          <w:szCs w:val="16"/>
          <w:i w:val="1"/>
          <w:iCs w:val="1"/>
          <w:color w:val="auto"/>
        </w:rPr>
        <w:t>which could subject us to increased operational costs that could materially and adversely impact our liquidity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climate change regulations and greenhouse effects may materially adversely impact our operations and markets.</w:t>
      </w:r>
    </w:p>
    <w:p>
      <w:pPr>
        <w:spacing w:after="0" w:line="117"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Climate change and its association with greenhouse gas emissions is receiving increased attention from the scientific and political communities. The U.S. federal government, certain U.S. states and certain other countries and regions have adopted or are considering legislation or regulation imposing overall caps or taxes on greenhouse gas emissions from certain sectors or facility categories. Such new laws or regulations, or stricter enforcement of existing laws and regulations, could increase the costs of operating our businesses,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 w:name="page15"/>
    <w:bookmarkEnd w:id="14"/>
    <w:p>
      <w:pPr>
        <w:ind w:right="40"/>
        <w:spacing w:after="0" w:line="256" w:lineRule="auto"/>
        <w:rPr>
          <w:sz w:val="20"/>
          <w:szCs w:val="20"/>
          <w:color w:val="auto"/>
        </w:rPr>
      </w:pPr>
      <w:r>
        <w:rPr>
          <w:rFonts w:ascii="Arial" w:cs="Arial" w:eastAsia="Arial" w:hAnsi="Arial"/>
          <w:sz w:val="18"/>
          <w:szCs w:val="18"/>
          <w:color w:val="auto"/>
        </w:rPr>
        <w:t>reduce the demand for our products and services and impact the prices we charge our customers, any or all of which could adversely affect our results of operations. Failure to comply with any legislation or regulation could potentially result in substantial fines, criminal sanctions or operational changes. Moreover, even without such legislation or regulation, the perspectives of our customers, stockholders, employees and other stakeholders regarding climate change are continuing to evolve, and increased awareness of, or any adverse publicity regarding, the effects of greenhouse gases could harm our reputation or reduce customer demand for our products and services.</w:t>
      </w:r>
    </w:p>
    <w:p>
      <w:pPr>
        <w:spacing w:after="0" w:line="83"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Additionally, as severe weather events become increasingly common, our or our customers’ operations may be disrupted, which could result in increased operational costs or reduced demand for our products and services and extended periods of disruptions could have an adverse effect on our results of operations. In addition, climate change may also reduce the availability or increase the cost of insurance for weather-related events as well as may impact the global economy, including as a result of disruptions to supply chains. We anticipate that climate change-related risks will increase over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Risks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not be able to facilitate our growth strategy by identifying or completing transactions with attractive acquisition candidates, which could limit our revenues and profitability. Future acquisitions may result in significant transaction expenses and may involve significant costs. We may experience integration and consolidation risks associated with future acquisitions.</w:t>
      </w:r>
    </w:p>
    <w:p>
      <w:pPr>
        <w:spacing w:after="0" w:line="7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An element of our growth strategy is to selectively pursue, on an opportunistic basis, acquisitions of additional businesses, in particular rental companies that complement our existing business and footprint.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 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future acquisitions may result in significant transaction expenses and risks associated with entering new markets. We may also be subject to claims by third parties related to the operations of these businesses prior to our acquisition and by sellers under the terms of our acquisition agreements. We also regularly review other potential strategic transactions, including dispositions, which are also subject to claims by third parties and by the buyers under the terms of our disposition agreements.</w:t>
      </w:r>
    </w:p>
    <w:p>
      <w:pPr>
        <w:spacing w:after="0" w:line="125" w:lineRule="exact"/>
        <w:rPr>
          <w:sz w:val="20"/>
          <w:szCs w:val="20"/>
          <w:color w:val="auto"/>
        </w:rPr>
      </w:pPr>
    </w:p>
    <w:p>
      <w:pPr>
        <w:ind w:right="260" w:firstLine="374"/>
        <w:spacing w:after="0" w:line="301" w:lineRule="auto"/>
        <w:rPr>
          <w:sz w:val="20"/>
          <w:szCs w:val="20"/>
          <w:color w:val="auto"/>
        </w:rPr>
      </w:pPr>
      <w:r>
        <w:rPr>
          <w:rFonts w:ascii="Arial" w:cs="Arial" w:eastAsia="Arial" w:hAnsi="Arial"/>
          <w:sz w:val="16"/>
          <w:szCs w:val="16"/>
          <w:color w:val="auto"/>
        </w:rPr>
        <w:t>We may not have sufficient management, financial and other resources to integrate or disintegrate any future acquisitions or dispositions. Any significant diversion of management’s and other personnel’s attention, time and resources or any major difficulties encountered in the evaluation, negotiation and integration of the businesses we acquire or sell could have a material adverse effect on our business, financial condition or results of operations, which could decrease our profitability and make it more difficult for us to grow our business. Among other things, these risks could include:</w:t>
      </w:r>
    </w:p>
    <w:p>
      <w:pPr>
        <w:spacing w:after="0" w:line="48"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disruption of operations and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retention of the existing clients and the retention or transition of customers and vendors;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maintain and increase competitive presence;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loss and revenue loss;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inconsistencies in standards, control procedures and policies;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problems with costs, operations, personnel, technology and credit;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with the assimilation of new operations, sites or personnel, which could divert resources from our regular operations;</w:t>
      </w:r>
    </w:p>
    <w:p>
      <w:pPr>
        <w:spacing w:after="0" w:line="116"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unrecorded liabilities of acquired companies and unidentified issues that we fail to discover during our due diligence investigations or that are not subject to indemnification or reimbursement by the seller;</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inherent risk associated with entering a geographic area or line of business in which we have no or limited experience;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goodwill or other acquisition-related intangible assets;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anticipated synergies or receiving an inadequate return of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financial reporting and regulatory reporting functions, including with the SEC and pursuant to the Sarbanes-Oxley Act of 2002, as amended (“SOX”); and/or</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unknown liabilities.</w:t>
      </w:r>
    </w:p>
    <w:p>
      <w:pPr>
        <w:spacing w:after="0" w:line="184" w:lineRule="exact"/>
        <w:rPr>
          <w:sz w:val="20"/>
          <w:szCs w:val="20"/>
          <w:color w:val="auto"/>
        </w:rPr>
      </w:pPr>
    </w:p>
    <w:p>
      <w:pPr>
        <w:jc w:val="both"/>
        <w:ind w:right="140" w:firstLine="374"/>
        <w:spacing w:after="0" w:line="263" w:lineRule="auto"/>
        <w:rPr>
          <w:sz w:val="20"/>
          <w:szCs w:val="20"/>
          <w:color w:val="auto"/>
        </w:rPr>
      </w:pPr>
      <w:r>
        <w:rPr>
          <w:rFonts w:ascii="Arial" w:cs="Arial" w:eastAsia="Arial" w:hAnsi="Arial"/>
          <w:sz w:val="18"/>
          <w:szCs w:val="18"/>
          <w:color w:val="auto"/>
        </w:rPr>
        <w:t>Furthermore, general economic conditions, economic uncertainty related to COVID-19, or unfavorable global capital and credit markets could affect the timing and extent to which we successfully acquire and integrate new businesses or dispose of existing businesses, which could limit our revenues and profitability.</w:t>
      </w:r>
    </w:p>
    <w:p>
      <w:pPr>
        <w:spacing w:after="0" w:line="156" w:lineRule="exact"/>
        <w:rPr>
          <w:sz w:val="20"/>
          <w:szCs w:val="20"/>
          <w:color w:val="auto"/>
        </w:rPr>
      </w:pPr>
    </w:p>
    <w:p>
      <w:pPr>
        <w:ind w:right="200" w:firstLine="374"/>
        <w:spacing w:after="0" w:line="256" w:lineRule="auto"/>
        <w:rPr>
          <w:sz w:val="20"/>
          <w:szCs w:val="20"/>
          <w:color w:val="auto"/>
        </w:rPr>
      </w:pPr>
      <w:r>
        <w:rPr>
          <w:rFonts w:ascii="Arial" w:cs="Arial" w:eastAsia="Arial" w:hAnsi="Arial"/>
          <w:sz w:val="18"/>
          <w:szCs w:val="18"/>
          <w:color w:val="auto"/>
        </w:rPr>
        <w:t>Our failure to address these risks or other problems encountered in connection with any past or future acquisition could cause us to fail to realize the anticipated benefits of the acquisitions, cause us to incur unanticipated liabilities and harm our business generally. In addition, if we are unable to successfully integrate our acquisitions with our existing business, we may not obtain the advantages that the acquisitions were intended to create, which may materially and adversely affect our business, results of operations, financial condition, cash flows, our ability to introduce new services and products and the market price of our stock.</w:t>
      </w:r>
    </w:p>
    <w:p>
      <w:pPr>
        <w:spacing w:after="0" w:line="150"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We would expect to pay for any future acquisitions using cash, but to the extent that our existing sources of cash are not sufficient, we would expect to need additional debt or equity financing, which involves its own risks, such as the dilutive effect on shares held by our stockholders if we financed acquisitions by issuing convertible debt or equity securities, or the risks associated with debt incurrence.</w:t>
      </w:r>
    </w:p>
    <w:p>
      <w:pPr>
        <w:spacing w:after="0" w:line="142"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We have also spent resources and efforts, apart from acquisitions, in attempting to grow and enhance our rental business over the past few years. These efforts place strains on our management and other personnel time and resources, and require timely and continued investment in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9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not be able to facilitate our growth strategy by identifying and opening attractive start-up locations, which could limit our revenues and profitability.</w:t>
      </w:r>
    </w:p>
    <w:p>
      <w:pPr>
        <w:spacing w:after="0" w:line="62"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An element of our growth strategy is to selectively identify, source and implement start-up locations in order to add new customers. The success of this element of our growth strategy depends, in part, on identifying strategic start-up locations.</w:t>
      </w:r>
    </w:p>
    <w:p>
      <w:pPr>
        <w:spacing w:after="0" w:line="142"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We also cannot assure you that we will be able to identify attractive start-up locations. Opening start-up locations may involve significant costs and limit our ability to expand our operations. Start-up locations may involve risks associated with entering new markets and we may face significant competition.</w:t>
      </w:r>
    </w:p>
    <w:p>
      <w:pPr>
        <w:spacing w:after="0" w:line="142"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We may not have sufficient labor, real estate, management, financial and other resources to successfully open and operate new locations. Any significant diversion of management’s attention or any major difficulties encountered in the locations that we open in the future could have a material adverse effect on our business, financial condition or results of operations, which could decrease our profitability and make it more difficult for us to grow our business. Furthermore, general economic conditions or unfavorable global capital and credit markets could affect the timing and extent to which we open new start-up locations, which could limit our revenues and profitability.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conditions or disruptions in the capital and credit markets may adversely impact business conditions and the availability of credit.</w:t>
      </w:r>
    </w:p>
    <w:p>
      <w:pPr>
        <w:spacing w:after="0" w:line="140" w:lineRule="exact"/>
        <w:rPr>
          <w:sz w:val="20"/>
          <w:szCs w:val="20"/>
          <w:color w:val="auto"/>
        </w:rPr>
      </w:pPr>
    </w:p>
    <w:p>
      <w:pPr>
        <w:ind w:right="80" w:firstLine="374"/>
        <w:spacing w:after="0" w:line="288" w:lineRule="auto"/>
        <w:rPr>
          <w:sz w:val="20"/>
          <w:szCs w:val="20"/>
          <w:color w:val="auto"/>
        </w:rPr>
      </w:pPr>
      <w:r>
        <w:rPr>
          <w:rFonts w:ascii="Arial" w:cs="Arial" w:eastAsia="Arial" w:hAnsi="Arial"/>
          <w:sz w:val="16"/>
          <w:szCs w:val="16"/>
          <w:color w:val="auto"/>
        </w:rPr>
        <w:t>Disruptions in the global capital and credit markets as a result of an economic downturn, economic uncertainty, changing or increased regulation, reduced alternatives or failures of significant financial institutions could adversely affect our customers’ ability to access capital and could adversely affect our access to liquidity needed for business in the future. Additionally, unfavorable market conditions may depress demand for our products and services or make it difficult for our customers to obtain financing and credit on reasonable terms. Unfavorable market conditions also may cause more of our customers to be unable to meet their payment obligations to us, increasing delinquencies and credit losses. If we are unable to manage credit risk adequately, or if a large number of customers should have financial difficulties at the same time, our credit losses could increase above historical levels and our operating results would be adversely affected. Delinquencies and credit losses generally can be expected to increase during economic slowdowns or recessions. Moreover, our suppliers may be adversely impacted by unfavorable capital and credit markets, causing disruption or delay of product availability. These events could negatively impact our business, financial position, results of operations and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117"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We have a significant amount of indebtedness outstanding. As of December 31, 2022, we had total outstanding indebtedness of approximately $1.3 billion, consisting of the amount outstanding under our senior unsecured notes.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17"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industry and competitive conditions;</w:t>
      </w:r>
    </w:p>
    <w:p>
      <w:pPr>
        <w:spacing w:after="0" w:line="116" w:lineRule="exact"/>
        <w:rPr>
          <w:rFonts w:ascii="Arial" w:cs="Arial" w:eastAsia="Arial" w:hAnsi="Arial"/>
          <w:sz w:val="18"/>
          <w:szCs w:val="18"/>
          <w:color w:val="auto"/>
        </w:rPr>
      </w:pPr>
    </w:p>
    <w:p>
      <w:pPr>
        <w:ind w:left="1020" w:right="800" w:hanging="504"/>
        <w:spacing w:after="0" w:line="34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 our ability to obtain additional financing for working capital, capital expenditures, acquisitions or general corporate purposes.</w:t>
      </w:r>
    </w:p>
    <w:p>
      <w:pPr>
        <w:spacing w:after="0" w:line="128" w:lineRule="exact"/>
        <w:rPr>
          <w:sz w:val="20"/>
          <w:szCs w:val="20"/>
          <w:color w:val="auto"/>
        </w:rPr>
      </w:pPr>
    </w:p>
    <w:p>
      <w:pPr>
        <w:ind w:right="60" w:firstLine="374"/>
        <w:spacing w:after="0" w:line="253" w:lineRule="auto"/>
        <w:rPr>
          <w:sz w:val="20"/>
          <w:szCs w:val="20"/>
          <w:color w:val="auto"/>
        </w:rPr>
      </w:pPr>
      <w:r>
        <w:rPr>
          <w:rFonts w:ascii="Arial" w:cs="Arial" w:eastAsia="Arial" w:hAnsi="Arial"/>
          <w:sz w:val="18"/>
          <w:szCs w:val="18"/>
          <w:color w:val="auto"/>
        </w:rPr>
        <w:t>We expect to use cash flow from operations and borrowings under our senior secured credit facility (“Credit Facility”) to meet our current and future financial obligations, including funding our operations, debt service and capital expenditures. Our ability to make these payments depends on our future performance, which will be affected by financial, business, economic and other factors, many of which we cannot control. Our business may not generate sufficient cash flow from operations in the future, which could result in our being unable to repay indebtedness, or to fund other liquidity needs. If we do not have enough capital, we may be forced to reduce or delay our business activities and capital expenditures, sell assets, obtain additional debt or equity capital or restructure or refinance all or a portion of our debt, including the senior unsecured notes and our Credit Facility, on or before maturity. We cannot make any assurances that we will be able to accomplish any of these alternatives on terms acceptable to us, or at all. In addition, the terms of existing or future indebtedness, including the agreements governing the senior unsecured notes and the Credit Facility, may limit our ability to pursue any of these alternatives. As of February 15, 2023, we had borrowing availability under the Credit Facility of $739.4 million, net of a $10.6 million outstanding letter of credit.</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62"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Our ability to make scheduled payments or to refinance our debt obligations depends on our financial and operating performance, which is subject to prevailing economic and competitive conditions and to certain financial, business and other factors beyond our control. We cannot make assurances that we will maintain a level of cash flows from operating activities sufficient to permit us to pay the principal, premium, if any, and interest on our indebtedness. In the absence of such operating results and resources, we could face substantial liquidity problems and might be required to dispose of material assets or operations to meet our debt service and other obligations. The Credit Facility and the indenture governing the senior unsecured notes restrict our ability to dispose of assets and use the proceeds from the disposition. We may not be able to consummate those dispositions or to obtain the proceeds which we could realize from such dispositions. Any proceeds we do receive from a disposition may not be adequate to meet any debt service obligations then due.</w:t>
      </w:r>
    </w:p>
    <w:p>
      <w:pPr>
        <w:spacing w:after="0" w:line="137"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existing or future debt agreements, including the Credit Facility or the indenture governing the senior unsecured notes.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cannot make scheduled payments on our debt, we will be in default and, as a result:</w:t>
      </w:r>
    </w:p>
    <w:p>
      <w:pPr>
        <w:spacing w:after="0" w:line="117"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debt holders could declare all outstanding principal and interest to be due and payable;</w:t>
      </w:r>
    </w:p>
    <w:p>
      <w:pPr>
        <w:spacing w:after="0" w:line="11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lenders under our credit facilities, including the Credit Facility, could terminate their commitments to lend us money and foreclose against the assets securing our borrowings;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Despite current indebtedness levels, we may still be able to incur more indebtedness, which could further exacerbate the risks described above.</w:t>
      </w:r>
    </w:p>
    <w:p>
      <w:pPr>
        <w:spacing w:after="0" w:line="140" w:lineRule="exact"/>
        <w:rPr>
          <w:sz w:val="20"/>
          <w:szCs w:val="20"/>
          <w:color w:val="auto"/>
        </w:rPr>
      </w:pPr>
    </w:p>
    <w:p>
      <w:pPr>
        <w:ind w:right="700" w:firstLine="374"/>
        <w:spacing w:after="0" w:line="277" w:lineRule="auto"/>
        <w:rPr>
          <w:sz w:val="20"/>
          <w:szCs w:val="20"/>
          <w:color w:val="auto"/>
        </w:rPr>
      </w:pPr>
      <w:r>
        <w:rPr>
          <w:rFonts w:ascii="Arial" w:cs="Arial" w:eastAsia="Arial" w:hAnsi="Arial"/>
          <w:sz w:val="18"/>
          <w:szCs w:val="18"/>
          <w:color w:val="auto"/>
        </w:rPr>
        <w:t>Under the terms of the agreements governing the Credit Facility and the senior unsecured notes, we and our subsidiaries may be able to incur substantial indebtedness in the future.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right="200" w:firstLine="374"/>
        <w:spacing w:after="0" w:line="263" w:lineRule="auto"/>
        <w:rPr>
          <w:sz w:val="20"/>
          <w:szCs w:val="20"/>
          <w:color w:val="auto"/>
        </w:rPr>
      </w:pPr>
      <w:r>
        <w:rPr>
          <w:rFonts w:ascii="Arial" w:cs="Arial" w:eastAsia="Arial" w:hAnsi="Arial"/>
          <w:sz w:val="18"/>
          <w:szCs w:val="18"/>
          <w:color w:val="auto"/>
        </w:rPr>
        <w:t>Additionally, our Credit Facility provides revolving commitments of up to $750.0 million in the aggregate. As of February 15, 2023, we had $739.4 million of availability under the Credit Facility, net of a $10.6 million outstanding letter of credit. If new debt is added to our current debt levels, the risks that we now face relating to our substantial indebtedness could intensify.</w:t>
      </w:r>
    </w:p>
    <w:p>
      <w:pPr>
        <w:spacing w:after="0" w:line="183"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The agreements governing the Credit Facility and our senior unsecured notes restrict our business and our ability to engage in certain corporate and financial transactions.</w:t>
      </w:r>
    </w:p>
    <w:p>
      <w:pPr>
        <w:spacing w:after="0" w:line="62" w:lineRule="exact"/>
        <w:rPr>
          <w:sz w:val="20"/>
          <w:szCs w:val="20"/>
          <w:color w:val="auto"/>
        </w:rPr>
      </w:pPr>
    </w:p>
    <w:p>
      <w:pPr>
        <w:jc w:val="both"/>
        <w:ind w:right="220" w:firstLine="374"/>
        <w:spacing w:after="0" w:line="277" w:lineRule="auto"/>
        <w:rPr>
          <w:sz w:val="20"/>
          <w:szCs w:val="20"/>
          <w:color w:val="auto"/>
        </w:rPr>
      </w:pPr>
      <w:r>
        <w:rPr>
          <w:rFonts w:ascii="Arial" w:cs="Arial" w:eastAsia="Arial" w:hAnsi="Arial"/>
          <w:sz w:val="18"/>
          <w:szCs w:val="18"/>
          <w:color w:val="auto"/>
        </w:rPr>
        <w:t>The agreements governing the Credit Facility and the senior unsecured notes contain certain covenants that, among other things, restrict or limit our and our restricted subsidiaries’ ability to:</w:t>
      </w:r>
    </w:p>
    <w:p>
      <w:pPr>
        <w:spacing w:after="0" w:line="62" w:lineRule="exact"/>
        <w:rPr>
          <w:sz w:val="20"/>
          <w:szCs w:val="20"/>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preferred stock of subsidiaries;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 stock;</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 dispositions;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98"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Our ability to borrow under the Credit Facility depends upon compliance with the restrictions contained in the Credit Facility. Events beyond our control could affect our ability to meet these covenants. In addition, the Credit Facility requires us to meet certain financial conditions tests and availability thereunder is subject to borrowing base availability.</w:t>
      </w:r>
    </w:p>
    <w:p>
      <w:pPr>
        <w:spacing w:after="0" w:line="142"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Events beyond our control can affect our ability to meet these financial conditions tests and to comply with other provisions governing the Credit Facility and the senior unsecured notes. Our failure to comply with obligations under the agreements governing the Credit Facility and the senior unsecured notes may result in an event of default under the agreements governing the Credit Facility and the senior unsecured notes, respectively. A default, if not cured or waived, may permit acceleration of this indebtedness and our other indebtedness. We may not be able to remedy these defaults. If our indebtedness is accelerated, we may not have sufficient funds available to pay the accelerated indebtedness and may not have the ability to refinance the accelerated indebtedness on terms favorable to us or at all.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rate indebtedness subjects us to interest rate risk, which could cause our debt service obligations to increase significantly.</w:t>
      </w:r>
    </w:p>
    <w:p>
      <w:pPr>
        <w:spacing w:after="0" w:line="128"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Borrowings under the Credit Facility are at variable rates of interest, based on the U.S. prime rate and the London Interbank Offered Rate (“LIBOR”), and expose us to interest rate risk. As such, our results of operations are sensitive to movements in interest rates.</w:t>
      </w:r>
    </w:p>
    <w:p>
      <w:pPr>
        <w:spacing w:after="0" w:line="12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There are many economic factors outside our control that have in the past impacted, and may in the future impact, rates of interest, including publicly announced indices that underlie our interest obligations related to borrowings under the Credit Facility based on LIBOR. LIBOR is an interest rate benchmark used as a reference rate for a wide range of financial transactions, including derivatives and loans. In July 2017, the United Kingdom’s Financial Conduct Authority, which regulates LIBOR, announced that it intends to phase out LIBOR rates by the end of 2021. While certain U.S. dollar LIBOR settings will continue to be published on the current basis until June 30, 2023, all other LIBOR settings either are no longer being published or are being published only for a limited time. The regulator of the administrator of LIBOR has prohibited any new use of LIBOR by firms subject to its supervision, and certain regulators in the United States have stated that no new contracts using U.S. dollar LIBOR should be entered into after 2021. The Alternative Reference Rates Committee (“ARRC”) has proposed that the Secured Overnight Financing Rate (“SOFR”) is the rate that represents best practice as the alternative to LIBOR for use in financial contracts that are currently indexed to United States dollar LIBOR. ARRC has proposed a paced market transition plan to SOFR from LIBOR and organizations are currently working on industry wide and company specific transition plans. On February 2, 2023, we amended our Credit Facility to transition to SOFR.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8" w:name="page19"/>
    <w:bookmarkEnd w:id="18"/>
    <w:p>
      <w:pPr>
        <w:ind w:right="260" w:firstLine="374"/>
        <w:spacing w:after="0" w:line="279" w:lineRule="auto"/>
        <w:rPr>
          <w:sz w:val="20"/>
          <w:szCs w:val="20"/>
          <w:color w:val="auto"/>
        </w:rPr>
      </w:pPr>
      <w:r>
        <w:rPr>
          <w:rFonts w:ascii="Arial" w:cs="Arial" w:eastAsia="Arial" w:hAnsi="Arial"/>
          <w:sz w:val="17"/>
          <w:szCs w:val="17"/>
          <w:color w:val="auto"/>
        </w:rPr>
        <w:t>Factors that also impact interest rates include governmental monetary policies, inflation, recession, changes in unemployment, the money supply,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conditions and results of operations.</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business could be hurt if we are unable to obtain additional capital as required, resulting in a decrease in our revenues and profitability. In addition, our inability to refinance our indebtedness on favorable terms, or at all, could materially and adversely affect our liquidity and our ongoing results of operations.</w:t>
      </w:r>
    </w:p>
    <w:p>
      <w:pPr>
        <w:spacing w:after="0" w:line="75" w:lineRule="exact"/>
        <w:rPr>
          <w:sz w:val="20"/>
          <w:szCs w:val="20"/>
          <w:color w:val="auto"/>
        </w:rPr>
      </w:pPr>
    </w:p>
    <w:p>
      <w:pPr>
        <w:ind w:right="120" w:firstLine="374"/>
        <w:spacing w:after="0" w:line="255" w:lineRule="auto"/>
        <w:rPr>
          <w:sz w:val="20"/>
          <w:szCs w:val="20"/>
          <w:color w:val="auto"/>
        </w:rPr>
      </w:pPr>
      <w:r>
        <w:rPr>
          <w:rFonts w:ascii="Arial" w:cs="Arial" w:eastAsia="Arial" w:hAnsi="Arial"/>
          <w:sz w:val="18"/>
          <w:szCs w:val="18"/>
          <w:color w:val="auto"/>
        </w:rPr>
        <w:t>The cash that we generate from our business, together with cash that we may borrow under our Credit Facility, if available, may not be sufficient to fund our capital requirements. We may require additional financing to obtain capital for, among other purposes, purchasing equipment, completing acquisitions, establishing new locations and refinancing existing indebtedness. Any additional indebtedness that we incur will make us more vulnerable to economic downturns and limit our ability to withstand competitive pressures. Moreover, we may not be able to obtain additional capital on acceptable terms, if at all. If we are unable to obtain sufficient additional financing in the future, our business could be adversely affected by reducing our ability to increase revenues and profitability.</w:t>
      </w:r>
    </w:p>
    <w:p>
      <w:pPr>
        <w:spacing w:after="0" w:line="164"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In addition, our ability to refinance indebtedness will depend in part on our operating and financial performance, which, in turn, is subject to prevailing economic conditions and to financial, business, legislative, regulatory and other factors beyond our control. In addition, prevailing interest rates or other factors at the time of refinancing could increase our interest expense. A refinancing of our indebtedness could also require us to comply with more onerous covenants and further restrict our business operations. Our inability to refinance our indebtedness or to do so upon attractive terms could materially and adversely affect our business, prospects, results of operations, financial condition and cash flows, and make us vulnerable to adverse industry and general economic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continued payment of our quarterly dividend is subject to, among other things, the availability of funds and the discretion of our board of directors.</w:t>
      </w:r>
    </w:p>
    <w:p>
      <w:pPr>
        <w:spacing w:after="0" w:line="151"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The payment of future dividends and the amount thereof is uncertain, at the sole discretion of our board of directors and considered by the board of directors each quarter. The payment of dividends is dependent upon, among other things, operating cash flow generated by our business, financial requirements for our operations, the execution of our growth strategy, the restrictions and covenants pursuant to our Credit Facility and senior unsecured notes, and the satisfaction of solvency tests imposed by the Delaware General Corporation Law and other applicable law for the declaration and payment of dividends.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Governmental Regulation Risks</w:t>
      </w:r>
    </w:p>
    <w:p>
      <w:pPr>
        <w:spacing w:after="0" w:line="225"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b w:val="1"/>
          <w:bCs w:val="1"/>
          <w:i w:val="1"/>
          <w:iCs w:val="1"/>
          <w:color w:val="auto"/>
        </w:rPr>
        <w:t>We have operations throughout the United States, which exposes us to multiple federal, state and local regulations. Changes in applicable law, regulations or requirements, or our material failure to comply with any of them, can increase our costs and have other negative impacts on our business.</w:t>
      </w:r>
    </w:p>
    <w:p>
      <w:pPr>
        <w:spacing w:after="0" w:line="75" w:lineRule="exact"/>
        <w:rPr>
          <w:sz w:val="20"/>
          <w:szCs w:val="20"/>
          <w:color w:val="auto"/>
        </w:rPr>
      </w:pPr>
    </w:p>
    <w:p>
      <w:pPr>
        <w:ind w:right="200" w:firstLine="374"/>
        <w:spacing w:after="0" w:line="256" w:lineRule="auto"/>
        <w:rPr>
          <w:sz w:val="20"/>
          <w:szCs w:val="20"/>
          <w:color w:val="auto"/>
        </w:rPr>
      </w:pPr>
      <w:r>
        <w:rPr>
          <w:rFonts w:ascii="Arial" w:cs="Arial" w:eastAsia="Arial" w:hAnsi="Arial"/>
          <w:sz w:val="18"/>
          <w:szCs w:val="18"/>
          <w:color w:val="auto"/>
        </w:rPr>
        <w:t>Our 120 branch locations, as of December 31, 2022, in the United States are located in 29 different states, which exposes us to a host of different federal, state and local regulations. These laws and requirements address multiple aspects of our operations, such as worker safety, consumer rights, privacy, employee benefits and more, and can often have different requirements in different jurisdictions. Changes in these requirements, or any material failure by our branches to comply with them, could increase our costs, affect our reputation, limit our business, drain management’s time and attention or otherwise, generally impact our operations in adverse ways.</w:t>
      </w:r>
    </w:p>
    <w:p>
      <w:pPr>
        <w:spacing w:after="0" w:line="191" w:lineRule="exact"/>
        <w:rPr>
          <w:sz w:val="20"/>
          <w:szCs w:val="20"/>
          <w:color w:val="auto"/>
        </w:rPr>
      </w:pPr>
    </w:p>
    <w:p>
      <w:pPr>
        <w:ind w:right="660"/>
        <w:spacing w:after="0" w:line="307" w:lineRule="auto"/>
        <w:rPr>
          <w:sz w:val="20"/>
          <w:szCs w:val="20"/>
          <w:color w:val="auto"/>
        </w:rPr>
      </w:pPr>
      <w:r>
        <w:rPr>
          <w:rFonts w:ascii="Arial" w:cs="Arial" w:eastAsia="Arial" w:hAnsi="Arial"/>
          <w:sz w:val="17"/>
          <w:szCs w:val="17"/>
          <w:b w:val="1"/>
          <w:bCs w:val="1"/>
          <w:i w:val="1"/>
          <w:iCs w:val="1"/>
          <w:color w:val="auto"/>
        </w:rPr>
        <w:t>We could be adversely affected by environmental and safety requirements, including those regarding climate change, which could subject us to increased operational costs that could materially and adversely impact our liquidity and operating results.</w:t>
      </w:r>
    </w:p>
    <w:p>
      <w:pPr>
        <w:spacing w:after="0" w:line="39"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Our operations, like those of other companies engaged in similar businesses, require the handling, use, storage and disposal of certain regulated materials. As a result, we are subject to the requirements of federal, state and local environmental protection and occupational health and safety laws and regulations. These laws regulate issues such as wastewater, stormwater, solid and hazardous waste and materials, and air quality. While our operations generally do not raise significant environmental risks, we use petroleum products, solvents and other hazardous substances for fueling and maintaining our equipment and vehicles. Environmental laws also impose obligations and liability for the cleanup of properties affected by hazardous substance spills or releases. These liabilities can be imposed on the parties generating or disposing of such substances or the operator of the affected property, often without regard to whether the owner or operator knew of, or was responsible for, the presence of hazardous substances. Accordingly, we may become liable, either contractually or by operation of law, for remediation costs even if a contaminated property is not currently owned or operated by us, or if the contamination was caused by third parties during or prior to our ownership or operation of the property. As such, there can be no assurance that prior site assessments or investigations have identified all potential instances of soil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9" w:name="page20"/>
    <w:bookmarkEnd w:id="19"/>
    <w:p>
      <w:pPr>
        <w:ind w:right="580"/>
        <w:spacing w:after="0" w:line="277" w:lineRule="auto"/>
        <w:rPr>
          <w:sz w:val="20"/>
          <w:szCs w:val="20"/>
          <w:color w:val="auto"/>
        </w:rPr>
      </w:pPr>
      <w:r>
        <w:rPr>
          <w:rFonts w:ascii="Arial" w:cs="Arial" w:eastAsia="Arial" w:hAnsi="Arial"/>
          <w:sz w:val="18"/>
          <w:szCs w:val="18"/>
          <w:color w:val="auto"/>
        </w:rPr>
        <w:t>groundwater contamination. Future events, such as changes in existing laws or policies or their enforcement, or the discovery of currently unknown contamination, may give rise to additional remediation liabilities, which may be material.</w:t>
      </w:r>
    </w:p>
    <w:p>
      <w:pPr>
        <w:spacing w:after="0" w:line="129"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We are subject to potentially significant civil or criminal fines or penalties if we fail to comply with any of these requirements. We have made and will continue to make capital and other expenditures in order to comply with these laws and regulations. These include climate change regulation, which could materially affect our operating results through increased compliance costs. The requirements of these laws and regulations are complex, change frequently, and could become more stringent in the future. It is possible that these requirements will change or that liabilities will arise in the future in a manner that could have a material adverse effect on our business, financial condition and results of operations.</w:t>
      </w:r>
    </w:p>
    <w:p>
      <w:pPr>
        <w:spacing w:after="0" w:line="148"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In addition, the U.S. Congress and other legislative and regulatory authorities in the United States have considered, and likely will continue to consider, numerous measures related to climate change, greenhouse gas emissions and other laws and regulations affecting some of our end markets, such as oil, gas and other natural resource extraction. Should such laws and regulations become effective, demand for our services could be affected, our fleet or other costs could increase and our business could be materially adversely affected. Further, investors are placing a greater emphasis on non-financial factors, including climate risk and other ESG issues, when evaluating investment opportunities. If we are unable to provide sufficient disclosure about ESG practices or if we fail to achieve ESG goals, investors may not view us as an attractive investment, which could have a negative effect on our stock price and business.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may be materially affected by changes to fiscal and tax policies. Negative or unexpected tax consequences could adversely affect our results of operations.</w:t>
      </w:r>
    </w:p>
    <w:p>
      <w:pPr>
        <w:spacing w:after="0" w:line="62" w:lineRule="exact"/>
        <w:rPr>
          <w:sz w:val="20"/>
          <w:szCs w:val="20"/>
          <w:color w:val="auto"/>
        </w:rPr>
      </w:pPr>
    </w:p>
    <w:p>
      <w:pPr>
        <w:ind w:right="40" w:firstLine="374"/>
        <w:spacing w:after="0" w:line="307" w:lineRule="auto"/>
        <w:rPr>
          <w:sz w:val="20"/>
          <w:szCs w:val="20"/>
          <w:color w:val="auto"/>
        </w:rPr>
      </w:pPr>
      <w:r>
        <w:rPr>
          <w:rFonts w:ascii="Arial" w:cs="Arial" w:eastAsia="Arial" w:hAnsi="Arial"/>
          <w:sz w:val="17"/>
          <w:szCs w:val="17"/>
          <w:color w:val="auto"/>
        </w:rPr>
        <w:t>Adverse changes in the underlying profitability and financial outlook of our operations or future changes in tax law could lead to changes in the value of tax assets or liabilities that we currently or in the future may hold, which could materially affect our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Business Risks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the stock market, as well as general economic and market conditions, may impact the market price of our common stock.</w:t>
      </w:r>
    </w:p>
    <w:p>
      <w:pPr>
        <w:spacing w:after="0" w:line="128"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The market price of our common stock has been and may continue to be subject to significant fluctuations in response to general economic changes and other factors including, but not limited to:</w:t>
      </w:r>
    </w:p>
    <w:p>
      <w:pPr>
        <w:spacing w:after="0" w:line="6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quarterly operating results or results that vary from investor expectations;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strategy and actions taken by our competitors, including pricing changes;</w:t>
      </w:r>
    </w:p>
    <w:p>
      <w:pPr>
        <w:spacing w:after="0" w:line="116"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analysts’ elections to discontinue coverage of our common stock, changes in financial estimates by analysts or a downgrade of our common stock or of our sector by analysts;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joint ventures or capital commitments;</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price of oil and other commodities;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of us and the equipment rental and distribution industry;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or regional catastrophes or circumstances and natural disasters, hostilities and acts of terrorism.</w:t>
      </w:r>
    </w:p>
    <w:p>
      <w:pPr>
        <w:spacing w:after="0" w:line="184"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Broad market and industry factors may materially reduce the market price of our common stock, regardless of or in a manner that is disproportionate to any related impact on our operating performance. The stock market historically has experienced price and volume fluctuations that often have been unrelated or disproportionate to the operating performance of companies. These fluctuations, as well as general economic and market conditions, including those listed above and others, may harm the market price of our common stock.</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Security breaches and other disruptions in our information technology systems, including our customer relationship management system, could limit our capacity to effectively monitor and control our operations, compromise our or our customers’ and suppliers’ confidential information or otherwise adversely affect our operating results or business reputation.</w:t>
      </w:r>
    </w:p>
    <w:p>
      <w:pPr>
        <w:spacing w:after="0" w:line="75"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Our information technology systems, some of which are managed by third parties, facilitate our ability to monitor and control our operations and adjust to changing market conditions, including processing, transmitting, storing, managing and supporting a variety of business processes, activities and information. Further, as we pursue our strategy to grow through acquisitions and to pursue new initiatives that improve our operations, we are also expanding and improving our information technologies, resulting in a larger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jc w:val="both"/>
        <w:ind w:right="380"/>
        <w:spacing w:after="0" w:line="311" w:lineRule="auto"/>
        <w:rPr>
          <w:sz w:val="20"/>
          <w:szCs w:val="20"/>
          <w:color w:val="auto"/>
        </w:rPr>
      </w:pPr>
      <w:r>
        <w:rPr>
          <w:rFonts w:ascii="Arial" w:cs="Arial" w:eastAsia="Arial" w:hAnsi="Arial"/>
          <w:sz w:val="16"/>
          <w:szCs w:val="16"/>
          <w:color w:val="auto"/>
        </w:rPr>
        <w:t>technological presence and corresponding exposure to cybersecurity risk. Any disruption in any of these systems, including our customer management system, or the failure of any of these systems to operate as expected, could, depending on the magnitude of the problem, adversely affect our operating results by limiting our capacity to effectively monitor and control our operations and adjust to changing market conditions.</w:t>
      </w:r>
    </w:p>
    <w:p>
      <w:pPr>
        <w:spacing w:after="0" w:line="107"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Additionally, we collect and store sensitive data, including proprietary business information and the proprietary business information of our customers and suppliers, in data centers and on information technology networks, including cloud-based networks. The secure operation of these information technology networks and the processing and maintenance of this information is critical to our business operations and strategy. Despite security measures and business continuity plans, our information technology networks and infrastructure may be vulnerable to damage, disruptions or shutdowns due to attacks by cyber criminals or breaches due to employee error or malfeasance or other disruptions during the process of upgrading or replacing computer software or hardware, power outages, computer viruses, telecommunication or utility failures, terrorist acts or natural disasters or other catastrophic events. Further, the growing use and rapid evolution of technology, including mobile devices, has heightened the risk of unintentional data breaches or leaks. The occurrence of any of these events could compromise our networks, and the information stored there could be accessed, publicly disclosed, lost or stolen. In addition, as security threats continue to evolve, we may need to invest additional resources to protect the security of our systems or to comply with privacy, data security, cybersecurity and data protection laws applicable to our business.</w:t>
      </w:r>
    </w:p>
    <w:p>
      <w:pPr>
        <w:spacing w:after="0" w:line="138" w:lineRule="exact"/>
        <w:rPr>
          <w:sz w:val="20"/>
          <w:szCs w:val="20"/>
          <w:color w:val="auto"/>
        </w:rPr>
      </w:pPr>
    </w:p>
    <w:p>
      <w:pPr>
        <w:ind w:right="360" w:firstLine="374"/>
        <w:spacing w:after="0" w:line="263" w:lineRule="auto"/>
        <w:rPr>
          <w:sz w:val="20"/>
          <w:szCs w:val="20"/>
          <w:color w:val="auto"/>
        </w:rPr>
      </w:pPr>
      <w:r>
        <w:rPr>
          <w:rFonts w:ascii="Arial" w:cs="Arial" w:eastAsia="Arial" w:hAnsi="Arial"/>
          <w:sz w:val="18"/>
          <w:szCs w:val="18"/>
          <w:color w:val="auto"/>
        </w:rPr>
        <w:t>Any failure to effectively prevent, detect and/or recover from any such access, disclosure or other loss of information, or to comply with any such current or future law related thereto, could result in legal claims or proceedings, liability or regulatory penalties under laws protecting the privacy of personal information, disrupt operations, and damage our reputation, which could adversely affect our business.</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key personnel. A loss of key personnel could have a material adverse effect on our business, which could result in a decline in our revenues and profitability.</w:t>
      </w:r>
    </w:p>
    <w:p>
      <w:pPr>
        <w:spacing w:after="0" w:line="62"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Our senior and regional managers have an average of approximately 27 years of industry experience. Our branch managers have extensive knowledge and industry experience as well. Our success is dependent, in part, on the experience and skills of our management team. Competition for top management talent within our industry is generally significant. If we are unable to fill and keep filled all of our senior management positions, or if we lose the services of any key member of our senior management team and are unable to find a suitable replacement in a timely manner, we may be challenged to effectively manage our business and execute our strategy.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128"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Any inability to provide reliable financial reports or prevent fraud could harm our business. We must annually evaluate our internal procedures to satisfy the requirements of Section 404 of SOX, which requires management and auditors to assess the effectiveness of our internal controls. If we fail to remedy or maintain the adequacy of our internal controls, as such standards are modified, supplemented or amended from time to time, we could be subject to regulatory scrutiny, civil or criminal penalties or stockholder litigation.</w:t>
      </w:r>
    </w:p>
    <w:p>
      <w:pPr>
        <w:spacing w:after="0" w:line="150" w:lineRule="exact"/>
        <w:rPr>
          <w:sz w:val="20"/>
          <w:szCs w:val="20"/>
          <w:color w:val="auto"/>
        </w:rPr>
      </w:pPr>
    </w:p>
    <w:p>
      <w:pPr>
        <w:jc w:val="both"/>
        <w:ind w:right="180" w:firstLine="374"/>
        <w:spacing w:after="0" w:line="311" w:lineRule="auto"/>
        <w:rPr>
          <w:sz w:val="20"/>
          <w:szCs w:val="20"/>
          <w:color w:val="auto"/>
        </w:rPr>
      </w:pPr>
      <w:r>
        <w:rPr>
          <w:rFonts w:ascii="Arial" w:cs="Arial" w:eastAsia="Arial" w:hAnsi="Arial"/>
          <w:sz w:val="16"/>
          <w:szCs w:val="16"/>
          <w:color w:val="auto"/>
        </w:rPr>
        <w:t>In addition, failure to maintain effective internal controls could result in financial statements that do not accurately reflect our financial condition or results of operations. There can be no assurance that we will be able to maintain a system of internal controls that fully complies with the requirements of SOX or that our management and independent registered public accounting firm will continue to conclude that our internal controls are effective.</w:t>
      </w:r>
    </w:p>
    <w:p>
      <w:pPr>
        <w:spacing w:after="0" w:line="148" w:lineRule="exact"/>
        <w:rPr>
          <w:sz w:val="20"/>
          <w:szCs w:val="20"/>
          <w:color w:val="auto"/>
        </w:rPr>
      </w:pPr>
    </w:p>
    <w:p>
      <w:pPr>
        <w:ind w:right="420"/>
        <w:spacing w:after="0" w:line="375" w:lineRule="auto"/>
        <w:rPr>
          <w:sz w:val="20"/>
          <w:szCs w:val="20"/>
          <w:color w:val="auto"/>
        </w:rPr>
      </w:pPr>
      <w:r>
        <w:rPr>
          <w:rFonts w:ascii="Arial" w:cs="Arial" w:eastAsia="Arial" w:hAnsi="Arial"/>
          <w:sz w:val="15"/>
          <w:szCs w:val="15"/>
          <w:b w:val="1"/>
          <w:bCs w:val="1"/>
          <w:i w:val="1"/>
          <w:iCs w:val="1"/>
          <w:color w:val="auto"/>
        </w:rPr>
        <w:t>We are exposed to various risks related to legal proceedings or claims that could adversely affect our operating results. The nature of our business exposes us to various liability claims, which may exceed the level of our insurance coverage resulting in us not being fully protected.</w:t>
      </w:r>
    </w:p>
    <w:p>
      <w:pPr>
        <w:ind w:right="180" w:firstLine="374"/>
        <w:spacing w:after="0" w:line="301" w:lineRule="auto"/>
        <w:rPr>
          <w:sz w:val="20"/>
          <w:szCs w:val="20"/>
          <w:color w:val="auto"/>
        </w:rPr>
      </w:pPr>
      <w:r>
        <w:rPr>
          <w:rFonts w:ascii="Arial" w:cs="Arial" w:eastAsia="Arial" w:hAnsi="Arial"/>
          <w:sz w:val="16"/>
          <w:szCs w:val="16"/>
          <w:color w:val="auto"/>
        </w:rPr>
        <w:t>We are a party to lawsuits in the normal course of our business. Litigation in general can be expensive, lengthy and disruptive to normal business operations. Moreover, the results of complex legal proceedings are difficult to predict. Responding to lawsuits brought against us, or legal actions that we may initiate, can often be expensive and time-consuming. Unfavorable outcomes from these claims and/or lawsuits could adversely affect our business, results of operations, or financial condition, and we could incur substantial monetary liability and/or be required to change our business practices.</w:t>
      </w:r>
    </w:p>
    <w:p>
      <w:pPr>
        <w:spacing w:after="0" w:line="115"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Our business exposes us to claims for personal injury, death or property damage resulting from the use of the equipment we rent or sell and from injuries caused in motor vehicle accidents in which our delivery and service personnel are involved and other employee related matters. Additionally, we could be subject to potential litigation associated with compliance with various laws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governmental regulations at the federal, state or local levels, such as those relating to the protection of persons with disabilities, employment, health, safety, security and other regulations under which we operate.</w:t>
      </w:r>
    </w:p>
    <w:p>
      <w:pPr>
        <w:spacing w:after="0" w:line="142" w:lineRule="exact"/>
        <w:rPr>
          <w:sz w:val="20"/>
          <w:szCs w:val="20"/>
          <w:color w:val="auto"/>
        </w:rPr>
      </w:pPr>
    </w:p>
    <w:p>
      <w:pPr>
        <w:ind w:right="60" w:firstLine="374"/>
        <w:spacing w:after="0" w:line="253" w:lineRule="auto"/>
        <w:rPr>
          <w:sz w:val="20"/>
          <w:szCs w:val="20"/>
          <w:color w:val="auto"/>
        </w:rPr>
      </w:pPr>
      <w:r>
        <w:rPr>
          <w:rFonts w:ascii="Arial" w:cs="Arial" w:eastAsia="Arial" w:hAnsi="Arial"/>
          <w:sz w:val="18"/>
          <w:szCs w:val="18"/>
          <w:color w:val="auto"/>
        </w:rPr>
        <w:t>We carry comprehensive insurance, subject to deductibles, at levels we believe are sufficient to cover existing and future claims made during the respective policy periods. However, we may be exposed to multiple claims, and, as a result, we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As of December 31, 2022, we had a network of 120 branch facilities in 29 states in the Pacific Northwest, West Coast, Intermountain, Southwest, Gulf Coast, Southeast, Midwest and Mid-Atlantic regions of the United States. In our facilities, we rent, display and sell equipment, including tools and supplies, and provide maintenance and basic repair work. Of the 120 total facilities, we lease 108 and own 12 of our locations. Our leases typically provide for varying terms and renewal options. The following table provides data on our locations: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State</w:t>
            </w:r>
          </w:p>
        </w:tc>
        <w:tc>
          <w:tcPr>
            <w:tcW w:w="220" w:type="dxa"/>
            <w:vAlign w:val="bottom"/>
          </w:tcPr>
          <w:p>
            <w:pPr>
              <w:spacing w:after="0"/>
              <w:rPr>
                <w:sz w:val="20"/>
                <w:szCs w:val="20"/>
                <w:color w:val="auto"/>
              </w:rPr>
            </w:pPr>
          </w:p>
        </w:tc>
        <w:tc>
          <w:tcPr>
            <w:tcW w:w="17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Branch Count</w:t>
            </w:r>
          </w:p>
        </w:tc>
        <w:tc>
          <w:tcPr>
            <w:tcW w:w="46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w:t>
            </w:r>
          </w:p>
        </w:tc>
        <w:tc>
          <w:tcPr>
            <w:tcW w:w="200" w:type="dxa"/>
            <w:vAlign w:val="bottom"/>
          </w:tcPr>
          <w:p>
            <w:pPr>
              <w:spacing w:after="0"/>
              <w:rPr>
                <w:sz w:val="20"/>
                <w:szCs w:val="20"/>
                <w:color w:val="auto"/>
              </w:rPr>
            </w:pP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Branch Count</w:t>
            </w:r>
          </w:p>
        </w:tc>
      </w:tr>
      <w:tr>
        <w:trPr>
          <w:trHeight w:val="24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Alabama</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Missouri</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Arizona</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Montana</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2</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Arkansas</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2</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Nevada</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79"/>
              </w:rPr>
              <w:t>2</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12</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New Mexico</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1</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Colorado</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5</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North Carolina</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79"/>
              </w:rPr>
              <w:t>7</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Oklahoma</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2</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Florida</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9"/>
              </w:rPr>
              <w:t>12</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Oregon</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79"/>
              </w:rPr>
              <w:t>1</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Georgia</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Pennsylvania</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1</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Idaho</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2</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South Carolina</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79"/>
              </w:rPr>
              <w:t>3</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Illinois</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Tennessee</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7</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Indiana</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3</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Texas</w:t>
            </w:r>
          </w:p>
        </w:tc>
        <w:tc>
          <w:tcPr>
            <w:tcW w:w="188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9"/>
              </w:rPr>
              <w:t>21</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Kentucky</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Utah</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3</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Louisiana</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6</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Virginia</w:t>
            </w:r>
          </w:p>
        </w:tc>
        <w:tc>
          <w:tcPr>
            <w:tcW w:w="188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79"/>
              </w:rPr>
              <w:t>3</w:t>
            </w: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Maryland</w:t>
            </w:r>
          </w:p>
        </w:tc>
        <w:tc>
          <w:tcPr>
            <w:tcW w:w="19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Washington</w:t>
            </w:r>
          </w:p>
        </w:tc>
        <w:tc>
          <w:tcPr>
            <w:tcW w:w="188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2</w:t>
            </w: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Mississippi</w:t>
            </w:r>
          </w:p>
        </w:tc>
        <w:tc>
          <w:tcPr>
            <w:tcW w:w="19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1</w:t>
            </w:r>
          </w:p>
        </w:tc>
        <w:tc>
          <w:tcPr>
            <w:tcW w:w="460" w:type="dxa"/>
            <w:vAlign w:val="bottom"/>
            <w:shd w:val="clear" w:color="auto" w:fill="CFF0FC"/>
          </w:tcPr>
          <w:p>
            <w:pPr>
              <w:spacing w:after="0"/>
              <w:rPr>
                <w:sz w:val="21"/>
                <w:szCs w:val="21"/>
                <w:color w:val="auto"/>
              </w:rPr>
            </w:pPr>
          </w:p>
        </w:tc>
        <w:tc>
          <w:tcPr>
            <w:tcW w:w="3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jc w:val="both"/>
        <w:ind w:right="160" w:firstLine="374"/>
        <w:spacing w:after="0" w:line="263" w:lineRule="auto"/>
        <w:rPr>
          <w:sz w:val="20"/>
          <w:szCs w:val="20"/>
          <w:color w:val="auto"/>
        </w:rPr>
      </w:pPr>
      <w:r>
        <w:rPr>
          <w:rFonts w:ascii="Arial" w:cs="Arial" w:eastAsia="Arial" w:hAnsi="Arial"/>
          <w:sz w:val="18"/>
          <w:szCs w:val="18"/>
          <w:color w:val="auto"/>
        </w:rPr>
        <w:t>Each facility location has a branch manager who is responsible for day-to-day operations. In addition, branch operating facilities are typically staffed with approximately 10 to over 50 people, who may include technicians, salespeople, rental operations staff and parts specialists. While facility offices are typically open five days a week, we provide 24 hour, seven day per week service.</w:t>
      </w:r>
    </w:p>
    <w:p>
      <w:pPr>
        <w:spacing w:after="0" w:line="142"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Our corporate headquarters employs approximately 334 people. Our corporate headquarters facility is on 3.1 acres of company-owned land where we occupy a total of approximately 42,550 square feet.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For information on Company legal proceedings, see Note 13 to our Consolidated Financial Statements included in Part II, Item 8,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2" w:name="page23"/>
    <w:bookmarkEnd w:id="22"/>
    <w:p>
      <w:pPr>
        <w:ind w:left="5300"/>
        <w:spacing w:after="0"/>
        <w:rPr>
          <w:sz w:val="20"/>
          <w:szCs w:val="20"/>
          <w:color w:val="auto"/>
        </w:rPr>
      </w:pPr>
      <w:r>
        <w:rPr>
          <w:rFonts w:ascii="Arial" w:cs="Arial" w:eastAsia="Arial" w:hAnsi="Arial"/>
          <w:sz w:val="18"/>
          <w:szCs w:val="18"/>
          <w:b w:val="1"/>
          <w:bCs w:val="1"/>
          <w:color w:val="auto"/>
        </w:rPr>
        <w:t>PART II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common stock, par value $0.01 per share, trades on the Nasdaq Global Market (“Nasdaq”) under the symbol “HEES.”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As of December 31, 2022, there were 55 stockholders of record of our common stock. This does not include beneficial owners of our common stock whose stock is held in nominee or “street name”.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During the years ended December 31, 2022 and 2021, we paid quarterly cash dividends totaling $1.10 per share in each year, or approximately $39.9 million and $39.7 million, respectively. We intend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For certain information concerning securities authorized for issuance under our equity compensation plan, see Item 12 — Security Ownership of Certain Beneficial Owners and Management and Related Stockholder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The Performance Graph below compares the cumulative five year total stockholder return on H&amp;E Equipment Services, Inc.’s common stock beginning on December 31, 2017 and for each subsequent quarter period end through and including December 31, 2022, with the cumulative returns of the Russell 2000 Index and an industry peer group selected by us. The peer group we selected for the years ended December 31, 2022 and 2021 is comprised of the following companies: URI, Herc Holdings Inc., Toromont Industries, Ltd., Finning International, Inc., and The Ashtead Group, PLC.</w:t>
      </w:r>
    </w:p>
    <w:p>
      <w:pPr>
        <w:spacing w:after="0" w:line="115" w:lineRule="exact"/>
        <w:rPr>
          <w:sz w:val="20"/>
          <w:szCs w:val="20"/>
          <w:color w:val="auto"/>
        </w:rPr>
      </w:pPr>
    </w:p>
    <w:p>
      <w:pPr>
        <w:jc w:val="both"/>
        <w:ind w:right="120" w:firstLine="374"/>
        <w:spacing w:after="0" w:line="263" w:lineRule="auto"/>
        <w:rPr>
          <w:sz w:val="20"/>
          <w:szCs w:val="20"/>
          <w:color w:val="auto"/>
        </w:rPr>
      </w:pPr>
      <w:r>
        <w:rPr>
          <w:rFonts w:ascii="Arial" w:cs="Arial" w:eastAsia="Arial" w:hAnsi="Arial"/>
          <w:sz w:val="18"/>
          <w:szCs w:val="18"/>
          <w:color w:val="auto"/>
        </w:rPr>
        <w:t>The Performance Graph comparison assumes $100 was invested in our common stock and in each of the other indices described above on December 31, 2017. Dividend reinvestment has been assumed and returns have been weighted to reflect relative stock market capitalization. The stock performance shown on the graph below is not necessarily indicative of future price performance.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3" w:right="3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884555</wp:posOffset>
            </wp:positionH>
            <wp:positionV relativeFrom="page">
              <wp:posOffset>226060</wp:posOffset>
            </wp:positionV>
            <wp:extent cx="5984875" cy="4914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984875" cy="491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9"/>
              </w:rPr>
              <w:t>12/31/17</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9"/>
              </w:rPr>
              <w:t>12/31/18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5"/>
              </w:rPr>
              <w:t>12/31/19</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9"/>
              </w:rPr>
              <w:t>12/31/20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9"/>
              </w:rPr>
              <w:t>12/31/21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9"/>
              </w:rPr>
              <w:t>12/31/22</w:t>
            </w:r>
          </w:p>
        </w:tc>
        <w:tc>
          <w:tcPr>
            <w:tcW w:w="100" w:type="dxa"/>
            <w:vAlign w:val="bottom"/>
          </w:tcPr>
          <w:p>
            <w:pPr>
              <w:spacing w:after="0"/>
              <w:rPr>
                <w:sz w:val="15"/>
                <w:szCs w:val="15"/>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H&amp;E Equipment Services, Inc.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shd w:val="clear" w:color="auto" w:fill="CFF0FC"/>
          </w:tcPr>
          <w:p>
            <w:pPr>
              <w:spacing w:after="0"/>
              <w:rPr>
                <w:sz w:val="20"/>
                <w:szCs w:val="20"/>
                <w:color w:val="auto"/>
              </w:rPr>
            </w:pP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Russell 2000 Index</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111.70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153.85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122.41</w:t>
            </w:r>
          </w:p>
        </w:tc>
        <w:tc>
          <w:tcPr>
            <w:tcW w:w="100" w:type="dxa"/>
            <w:vAlign w:val="bottom"/>
          </w:tcPr>
          <w:p>
            <w:pPr>
              <w:spacing w:after="0"/>
              <w:rPr>
                <w:sz w:val="20"/>
                <w:szCs w:val="20"/>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Peer Group</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0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This stock performance information is “furnished” and shall not be deemed to be “soliciting material” or subject to Rule 14A of the Securities Exchange Act of 1934, as amended (the “Exchange Act”), shall not be deemed “filed” for purposes of Section 18 of the Exchange Act or otherwise subject to the liabilities of that section, and shall not be deemed incorporated by reference in any filing under the Securities Act of 1933, as amended, or the Exchange Act, whether made before or after the date of this Annual Report on Form 10-K and irrespective of any general incorporation by reference language in any such filing, except to the extent that we specifically incorporate this information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21" w:lineRule="exact"/>
        <w:rPr>
          <w:sz w:val="20"/>
          <w:szCs w:val="20"/>
          <w:color w:val="auto"/>
        </w:rPr>
      </w:pPr>
    </w:p>
    <w:p>
      <w:pPr>
        <w:jc w:val="both"/>
        <w:ind w:right="440" w:firstLine="374"/>
        <w:spacing w:after="0" w:line="263" w:lineRule="auto"/>
        <w:rPr>
          <w:sz w:val="20"/>
          <w:szCs w:val="20"/>
          <w:color w:val="auto"/>
        </w:rPr>
      </w:pPr>
      <w:r>
        <w:rPr>
          <w:rFonts w:ascii="Arial" w:cs="Arial" w:eastAsia="Arial" w:hAnsi="Arial"/>
          <w:sz w:val="18"/>
          <w:szCs w:val="18"/>
          <w:color w:val="auto"/>
        </w:rPr>
        <w:t>On August 1, 2022, 29,464 shares of non-vested stock that were issued in 2019 vested at $34.98 per share. Certain holders of those vested shares returned an aggregate of 8,651 shares of common stock to the Company during the quarter ended September 30, 2022 as payment for their respective withholding taxes. This resulted in an addition of 8,651 shares to treasury stock.</w:t>
      </w:r>
    </w:p>
    <w:p>
      <w:pPr>
        <w:spacing w:after="0" w:line="75" w:lineRule="exact"/>
        <w:rPr>
          <w:sz w:val="20"/>
          <w:szCs w:val="20"/>
          <w:color w:val="auto"/>
        </w:rPr>
      </w:pPr>
    </w:p>
    <w:p>
      <w:pPr>
        <w:jc w:val="both"/>
        <w:ind w:right="400" w:firstLine="374"/>
        <w:spacing w:after="0" w:line="263" w:lineRule="auto"/>
        <w:rPr>
          <w:sz w:val="20"/>
          <w:szCs w:val="20"/>
          <w:color w:val="auto"/>
        </w:rPr>
      </w:pPr>
      <w:r>
        <w:rPr>
          <w:rFonts w:ascii="Arial" w:cs="Arial" w:eastAsia="Arial" w:hAnsi="Arial"/>
          <w:sz w:val="18"/>
          <w:szCs w:val="18"/>
          <w:color w:val="auto"/>
        </w:rPr>
        <w:t>On August 2, 2022, 32,577 shares of non-vested stock that were issued in 2021 vested at $34.47 per share. Certain holders of those vested shares returned an aggregate of 10,125 shares of common stock to the Company during the quarter ended September 30, 2022 as payment for their respective withholding taxes. This resulted in an addition of 10,125 shares to treasury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ind w:right="400" w:firstLine="374"/>
        <w:spacing w:after="0" w:line="263" w:lineRule="auto"/>
        <w:rPr>
          <w:sz w:val="20"/>
          <w:szCs w:val="20"/>
          <w:color w:val="auto"/>
        </w:rPr>
      </w:pPr>
      <w:r>
        <w:rPr>
          <w:rFonts w:ascii="Arial" w:cs="Arial" w:eastAsia="Arial" w:hAnsi="Arial"/>
          <w:sz w:val="18"/>
          <w:szCs w:val="18"/>
          <w:color w:val="auto"/>
        </w:rPr>
        <w:t>On August 3, 2022, 60,538 shares of non-vested stock that were issued in 2020 vested at $34.65 per share. Certain holders of those vested shares returned an aggregate of 18,340 shares of common stock to the Company during the quarter ended September 30, 2022 as payment for their respective withholding taxes. This resulted in an addition of 18,340 shares to treasury stock.</w:t>
      </w:r>
    </w:p>
    <w:p>
      <w:pPr>
        <w:spacing w:after="0" w:line="75"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On December 12, 2022, 726 shares of non-vested stock that were issued in 2020, 757 shares of non-vested stock that were issued in 2021 and 1,434 shares that were issued in 2022 vested at $45.56 per share. Holders of those 2020, 2021 and 2022 vested shares returned an aggregate of 215 shares, 225 shares and 429 shares, respectively, of common stock to the Company during the quarter ended December 31, 2022 as payment for their respective withholding taxes. This resulted in an addition of 869 shares to treasury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jc w:val="right"/>
        <w:ind w:right="9820"/>
        <w:spacing w:after="0"/>
        <w:rPr>
          <w:sz w:val="20"/>
          <w:szCs w:val="20"/>
          <w:color w:val="auto"/>
        </w:rPr>
      </w:pPr>
      <w:r>
        <w:rPr>
          <w:rFonts w:ascii="Arial" w:cs="Arial" w:eastAsia="Arial" w:hAnsi="Arial"/>
          <w:sz w:val="16"/>
          <w:szCs w:val="16"/>
          <w:b w:val="1"/>
          <w:bCs w:val="1"/>
          <w:color w:val="auto"/>
        </w:rPr>
        <w:t>Item 6. [Reserved]</w:t>
      </w:r>
    </w:p>
    <w:p>
      <w:pPr>
        <w:spacing w:after="0" w:line="144" w:lineRule="exact"/>
        <w:rPr>
          <w:sz w:val="20"/>
          <w:szCs w:val="20"/>
          <w:color w:val="auto"/>
        </w:rPr>
      </w:pPr>
    </w:p>
    <w:p>
      <w:pPr>
        <w:jc w:val="right"/>
        <w:ind w:right="9760"/>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20" w:firstLine="374"/>
        <w:spacing w:after="0" w:line="273" w:lineRule="auto"/>
        <w:rPr>
          <w:sz w:val="20"/>
          <w:szCs w:val="20"/>
          <w:color w:val="auto"/>
        </w:rPr>
      </w:pPr>
      <w:r>
        <w:rPr>
          <w:rFonts w:ascii="Arial" w:cs="Arial" w:eastAsia="Arial" w:hAnsi="Arial"/>
          <w:sz w:val="17"/>
          <w:szCs w:val="17"/>
          <w:color w:val="auto"/>
        </w:rPr>
        <w:t>The following discussion summarizes the financial position of H&amp;E Equipment Services, Inc. and its subsidiaries as of December 31, 2022, and its results of operations for the year ended December 31, 2022, and should be read in conjunction with our consolidated financial statements and the accompanying notes thereto included elsewhere in this Annual Report on Form 10-K. The following discussion contains, in addition to historical information, forward-looking statements that include risks and uncertainties (see discussion of “Forward-Looking Statements” included elsewhere in this Annual Report on Form 10-K). Our actual results may differ materially from those anticipated in these forward-looking statements as a result of certain factors, including those factors set forth under Item 1A—Risk Factors of this Annual Report on Form 10-K.</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20" w:firstLine="374"/>
        <w:spacing w:after="0" w:line="279" w:lineRule="auto"/>
        <w:rPr>
          <w:sz w:val="20"/>
          <w:szCs w:val="20"/>
          <w:color w:val="auto"/>
        </w:rPr>
      </w:pPr>
      <w:r>
        <w:rPr>
          <w:rFonts w:ascii="Arial" w:cs="Arial" w:eastAsia="Arial" w:hAnsi="Arial"/>
          <w:sz w:val="17"/>
          <w:szCs w:val="17"/>
          <w:color w:val="auto"/>
        </w:rPr>
        <w:t>Founded in 1961 through our predecessor companies, we have been in the equipment services business for approximately 61 years and are one of the largest rental equipment companies in the nation.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w:t>
      </w:r>
    </w:p>
    <w:p>
      <w:pPr>
        <w:spacing w:after="0" w:line="62"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H&amp;E serves a diverse set of end markets in many high-growth geographies including branches throughout the Pacific Northwest, West Coast, Intermountain, Southwest, Gulf Coast, Southeast, Midwest and Mid-Atlantic regions. As of December 31, 2022, we operated 120 branch locations across 29 states throughout the United States.</w:t>
      </w:r>
    </w:p>
    <w:p>
      <w:pPr>
        <w:spacing w:after="0" w:line="7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While focusing primarily on equipment rentals, we additionally engage in used equipment sales, new equipment sales, parts sales and repair and maintenance services. The Company’s construction rental fleet is among the industry’s youngest with an equipment mix comprised of aerial work platforms, earthmoving, material handling, and other general and specialty lines. We believe that the operating experience and extensive infrastructure we developed throughout our history as an integrated equipment services company provides us with a competitive advantage to broaden our industry expansion and successfully transition to a pure-play rental company.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spacing w:after="0" w:line="63"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Effective September 17, 2021, the Company sold its Little Rock, Arkansas and Springdale, Arkansas owned-branches. The sale included the land, building, furniture and fixtures, and shop equipment for the two branches and we relinquished the majority of our Arkansas territory distribution rights with equipment manufacturers Komatsu, Wirtgen Group and Takeuchi.</w:t>
      </w:r>
    </w:p>
    <w:p>
      <w:pPr>
        <w:spacing w:after="0" w:line="75"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Effective October 1, 2021, the Company sold its crane business to a wholly-owned subsidiary of The Manitowoc Company, Inc. (“the Crane Sale”). The Crane Sale met the criteria for discontinued operations presentation and as such, the results of operations of the Crane Sale are reported in discontinued operations in the Consolidated Statements of Operations for all periods presented. The financial results and information below are presented on a continuing operations basis and exclude the Crane Sale, unless otherwise noted specifically as discontinued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480" w:firstLine="374"/>
        <w:spacing w:after="0" w:line="277" w:lineRule="auto"/>
        <w:rPr>
          <w:sz w:val="20"/>
          <w:szCs w:val="20"/>
          <w:color w:val="auto"/>
        </w:rPr>
      </w:pPr>
      <w:r>
        <w:rPr>
          <w:rFonts w:ascii="Arial" w:cs="Arial" w:eastAsia="Arial" w:hAnsi="Arial"/>
          <w:sz w:val="18"/>
          <w:szCs w:val="18"/>
          <w:color w:val="auto"/>
        </w:rPr>
        <w:t>Effective October 1, 2022, the Company completed the acquisition of One Source Equipment Rentals, Inc. (“OSR”), a privately-held equipment rentals company with 10 branch locations primarily in the Midwest.</w:t>
      </w:r>
    </w:p>
    <w:p>
      <w:pPr>
        <w:spacing w:after="0" w:line="62"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Effective December 15, 2022, the Company sold its Komatsu distributorship in Louisiana. The sale included a branch location in Kenner, LA, a branch in Shreveport, LA and accompanying new equipment inventory, parts and supplies.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color w:val="auto"/>
        </w:rPr>
        <w:t>We have five reportable segments because we derive our revenues from five business activities: (1) equipment rentals; (2) used equipment sales; (3) new equipment sales; (4) parts sales; and (5) repair and maintenance services. Our primary segment is equipment rentals. These segments are based upon how we allocate resources and assess performance. In addition, we also have non-segmented revenues and costs that relate to equipment support activities.</w:t>
      </w:r>
    </w:p>
    <w:p>
      <w:pPr>
        <w:spacing w:after="0" w:line="40" w:lineRule="exact"/>
        <w:rPr>
          <w:sz w:val="20"/>
          <w:szCs w:val="20"/>
          <w:color w:val="auto"/>
        </w:rPr>
      </w:pPr>
    </w:p>
    <w:p>
      <w:pPr>
        <w:ind w:left="1020" w:right="100" w:hanging="504"/>
        <w:spacing w:after="0" w:line="270"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Equipment Rentals. </w:t>
      </w:r>
      <w:r>
        <w:rPr>
          <w:rFonts w:ascii="Arial" w:cs="Arial" w:eastAsia="Arial" w:hAnsi="Arial"/>
          <w:sz w:val="17"/>
          <w:szCs w:val="17"/>
          <w:color w:val="auto"/>
        </w:rPr>
        <w:t>Our rental operation is our principal focus and we primarily rent our core types of construction and industrial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total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w:t>
      </w:r>
    </w:p>
    <w:p>
      <w:pPr>
        <w:spacing w:after="0" w:line="70" w:lineRule="exact"/>
        <w:rPr>
          <w:rFonts w:ascii="Arial" w:cs="Arial" w:eastAsia="Arial" w:hAnsi="Arial"/>
          <w:sz w:val="17"/>
          <w:szCs w:val="17"/>
          <w:color w:val="auto"/>
        </w:rPr>
      </w:pPr>
    </w:p>
    <w:p>
      <w:pPr>
        <w:ind w:left="1020" w:right="20" w:hanging="504"/>
        <w:spacing w:after="0" w:line="311"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Used Equipment Sales. </w:t>
      </w:r>
      <w:r>
        <w:rPr>
          <w:rFonts w:ascii="Arial" w:cs="Arial" w:eastAsia="Arial" w:hAnsi="Arial"/>
          <w:sz w:val="16"/>
          <w:szCs w:val="16"/>
          <w:color w:val="auto"/>
        </w:rPr>
        <w:t>Our used equipment sales are generated primarily from sales from our rental fleet, as well as from sales of inventoried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that we acquire through trade-ins from our equipment customers. Sales of our rental fleet equipment allow us to manage the size, quality, composition and age of our rental fleet, and provide us with a profitable distribution channel for the disposal of rental equipment.</w:t>
      </w:r>
    </w:p>
    <w:p>
      <w:pPr>
        <w:spacing w:after="0" w:line="39" w:lineRule="exact"/>
        <w:rPr>
          <w:rFonts w:ascii="Arial" w:cs="Arial" w:eastAsia="Arial" w:hAnsi="Arial"/>
          <w:sz w:val="16"/>
          <w:szCs w:val="16"/>
          <w:color w:val="auto"/>
        </w:rPr>
      </w:pPr>
    </w:p>
    <w:p>
      <w:pPr>
        <w:ind w:left="1020" w:right="180" w:hanging="504"/>
        <w:spacing w:after="0" w:line="341"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New Equipment Sales. </w:t>
      </w:r>
      <w:r>
        <w:rPr>
          <w:rFonts w:ascii="Arial" w:cs="Arial" w:eastAsia="Arial" w:hAnsi="Arial"/>
          <w:sz w:val="16"/>
          <w:szCs w:val="16"/>
          <w:color w:val="auto"/>
        </w:rPr>
        <w:t>We sell equipment through a professional sales force. While sales of new equipment are impacted by the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of equipment from the manufacturer, we believe our relationship with some of our key suppliers improves our ability to obtain equipment.</w:t>
      </w:r>
    </w:p>
    <w:p>
      <w:pPr>
        <w:spacing w:after="0" w:line="16" w:lineRule="exact"/>
        <w:rPr>
          <w:rFonts w:ascii="Arial" w:cs="Arial" w:eastAsia="Arial" w:hAnsi="Arial"/>
          <w:sz w:val="16"/>
          <w:szCs w:val="16"/>
          <w:color w:val="auto"/>
        </w:rPr>
      </w:pPr>
    </w:p>
    <w:p>
      <w:pPr>
        <w:ind w:left="1020" w:hanging="504"/>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Our parts business provides parts to our own rental fleet and sells parts for the equipment we sell. In order to provide timely parts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support to our rental fleet as well as our customers, we maintain a parts inventory.</w:t>
      </w:r>
    </w:p>
    <w:p>
      <w:pPr>
        <w:spacing w:after="0" w:line="61" w:lineRule="exact"/>
        <w:rPr>
          <w:rFonts w:ascii="Arial" w:cs="Arial" w:eastAsia="Arial" w:hAnsi="Arial"/>
          <w:sz w:val="18"/>
          <w:szCs w:val="18"/>
          <w:color w:val="auto"/>
        </w:rPr>
      </w:pPr>
    </w:p>
    <w:p>
      <w:pPr>
        <w:jc w:val="both"/>
        <w:ind w:left="1020" w:right="300" w:hanging="504"/>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Our services operation provides maintenance and repair services to our own rental fleet and for our customers’ equipment at our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as well as at our customers’ locations. In addition to repair and maintenance on an as-needed or scheduled basis, we also provide ongoing preventative maintenance services to industrial customers.</w:t>
      </w:r>
    </w:p>
    <w:p>
      <w:pPr>
        <w:spacing w:after="0" w:line="142"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Our non-segmented revenues and costs relate primarily to ancillary charges associated with equipment maintenance and repair services, and are not generally allocated to reportable segments.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additional information about our business segments, see Note 17 to our Consolidated Financial Statements in this Annual Report on Form 10-K.</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 Sources</w:t>
      </w:r>
    </w:p>
    <w:p>
      <w:pPr>
        <w:spacing w:after="0" w:line="117" w:lineRule="exact"/>
        <w:rPr>
          <w:sz w:val="20"/>
          <w:szCs w:val="20"/>
          <w:color w:val="auto"/>
        </w:rPr>
      </w:pPr>
    </w:p>
    <w:p>
      <w:pPr>
        <w:ind w:right="640" w:firstLine="374"/>
        <w:spacing w:after="0" w:line="277" w:lineRule="auto"/>
        <w:rPr>
          <w:sz w:val="20"/>
          <w:szCs w:val="20"/>
          <w:color w:val="auto"/>
        </w:rPr>
      </w:pPr>
      <w:r>
        <w:rPr>
          <w:rFonts w:ascii="Arial" w:cs="Arial" w:eastAsia="Arial" w:hAnsi="Arial"/>
          <w:sz w:val="18"/>
          <w:szCs w:val="18"/>
          <w:color w:val="auto"/>
        </w:rPr>
        <w:t>We generate all of our total revenues from our five business segments and our non-segmented equipment support activities. Equipment rentals accounts for more than half of our total revenues.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20" w:firstLine="374"/>
        <w:spacing w:after="0" w:line="277" w:lineRule="auto"/>
        <w:rPr>
          <w:sz w:val="20"/>
          <w:szCs w:val="20"/>
          <w:color w:val="auto"/>
        </w:rPr>
      </w:pPr>
      <w:r>
        <w:rPr>
          <w:rFonts w:ascii="Arial" w:cs="Arial" w:eastAsia="Arial" w:hAnsi="Arial"/>
          <w:sz w:val="18"/>
          <w:szCs w:val="18"/>
          <w:color w:val="auto"/>
        </w:rPr>
        <w:t>The pie charts below illustrate a breakdown of our revenues and gross profit for the year ended December 31, 2022 by business segment (see Note 17 to our Consolidated Financial Statements for further information regarding our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5080</wp:posOffset>
            </wp:positionV>
            <wp:extent cx="5856605" cy="198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6605" cy="198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and general economic conditions.</w:t>
      </w:r>
    </w:p>
    <w:p>
      <w:pPr>
        <w:spacing w:after="0" w:line="123" w:lineRule="exact"/>
        <w:rPr>
          <w:sz w:val="20"/>
          <w:szCs w:val="20"/>
          <w:color w:val="auto"/>
        </w:rPr>
      </w:pPr>
    </w:p>
    <w:p>
      <w:pPr>
        <w:ind w:left="380"/>
        <w:spacing w:after="0" w:line="256" w:lineRule="auto"/>
        <w:rPr>
          <w:sz w:val="20"/>
          <w:szCs w:val="20"/>
          <w:color w:val="auto"/>
        </w:rPr>
      </w:pPr>
      <w:r>
        <w:rPr>
          <w:rFonts w:ascii="Arial" w:cs="Arial" w:eastAsia="Arial" w:hAnsi="Arial"/>
          <w:sz w:val="18"/>
          <w:szCs w:val="18"/>
          <w:i w:val="1"/>
          <w:iCs w:val="1"/>
          <w:color w:val="auto"/>
        </w:rPr>
        <w:t xml:space="preserve">Equipment Rentals. </w:t>
      </w:r>
      <w:r>
        <w:rPr>
          <w:rFonts w:ascii="Arial" w:cs="Arial" w:eastAsia="Arial" w:hAnsi="Arial"/>
          <w:sz w:val="18"/>
          <w:szCs w:val="18"/>
          <w:color w:val="auto"/>
        </w:rPr>
        <w:t>Our rental operation primarily represents revenues from renting owned equipment of our core types of construction and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We primarily account for these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We have a well-maintained rental fleet and we actively manage the size, quality, age and composition of our rental fleet.</w:t>
      </w:r>
    </w:p>
    <w:p>
      <w:pPr>
        <w:spacing w:after="0" w:line="110" w:lineRule="exact"/>
        <w:rPr>
          <w:sz w:val="20"/>
          <w:szCs w:val="20"/>
          <w:color w:val="auto"/>
        </w:rPr>
      </w:pPr>
    </w:p>
    <w:p>
      <w:pPr>
        <w:ind w:left="380" w:right="140"/>
        <w:spacing w:after="0" w:line="341" w:lineRule="auto"/>
        <w:rPr>
          <w:sz w:val="20"/>
          <w:szCs w:val="20"/>
          <w:color w:val="auto"/>
        </w:rPr>
      </w:pPr>
      <w:r>
        <w:rPr>
          <w:rFonts w:ascii="Arial" w:cs="Arial" w:eastAsia="Arial" w:hAnsi="Arial"/>
          <w:sz w:val="16"/>
          <w:szCs w:val="16"/>
          <w:i w:val="1"/>
          <w:iCs w:val="1"/>
          <w:color w:val="auto"/>
        </w:rPr>
        <w:t xml:space="preserve">Used Equipment Sales. </w:t>
      </w:r>
      <w:r>
        <w:rPr>
          <w:rFonts w:ascii="Arial" w:cs="Arial" w:eastAsia="Arial" w:hAnsi="Arial"/>
          <w:sz w:val="16"/>
          <w:szCs w:val="16"/>
          <w:color w:val="auto"/>
        </w:rPr>
        <w:t>We generate the majority of our used equipment sales revenues by selling equipment from our rental fleet. The remainder of</w:t>
      </w:r>
      <w:r>
        <w:rPr>
          <w:rFonts w:ascii="Arial" w:cs="Arial" w:eastAsia="Arial" w:hAnsi="Arial"/>
          <w:sz w:val="16"/>
          <w:szCs w:val="16"/>
          <w:i w:val="1"/>
          <w:iCs w:val="1"/>
          <w:color w:val="auto"/>
        </w:rPr>
        <w:t xml:space="preserve"> </w:t>
      </w:r>
      <w:r>
        <w:rPr>
          <w:rFonts w:ascii="Arial" w:cs="Arial" w:eastAsia="Arial" w:hAnsi="Arial"/>
          <w:sz w:val="16"/>
          <w:szCs w:val="16"/>
          <w:color w:val="auto"/>
        </w:rPr>
        <w:t>our used equipment sales revenues comes from the sale of inventoried equipment that we acquire through trade-ins from our equipment customers.</w:t>
      </w:r>
    </w:p>
    <w:p>
      <w:pPr>
        <w:spacing w:after="0" w:line="57" w:lineRule="exact"/>
        <w:rPr>
          <w:sz w:val="20"/>
          <w:szCs w:val="20"/>
          <w:color w:val="auto"/>
        </w:rPr>
      </w:pPr>
    </w:p>
    <w:p>
      <w:pPr>
        <w:ind w:left="380" w:right="520"/>
        <w:spacing w:after="0" w:line="277" w:lineRule="auto"/>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Our new equipment sales operation sells new equipment across all of our core categories of equipment, primarily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earthmoving product category.</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We primarily generate revenues from the sale of parts for equipment that we rent or sell.</w:t>
      </w:r>
    </w:p>
    <w:p>
      <w:pPr>
        <w:spacing w:after="0" w:line="144" w:lineRule="exact"/>
        <w:rPr>
          <w:sz w:val="20"/>
          <w:szCs w:val="20"/>
          <w:color w:val="auto"/>
        </w:rPr>
      </w:pPr>
    </w:p>
    <w:p>
      <w:pPr>
        <w:ind w:left="380" w:right="380"/>
        <w:spacing w:after="0" w:line="277"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We primarily derive our services revenues from maintenance and repair services for equipment that we rent or sell and from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equipment.</w:t>
      </w:r>
    </w:p>
    <w:p>
      <w:pPr>
        <w:spacing w:after="0" w:line="102" w:lineRule="exact"/>
        <w:rPr>
          <w:sz w:val="20"/>
          <w:szCs w:val="20"/>
          <w:color w:val="auto"/>
        </w:rPr>
      </w:pPr>
    </w:p>
    <w:p>
      <w:pPr>
        <w:ind w:left="380" w:right="420"/>
        <w:spacing w:after="0" w:line="277" w:lineRule="auto"/>
        <w:rPr>
          <w:sz w:val="20"/>
          <w:szCs w:val="20"/>
          <w:color w:val="auto"/>
        </w:rPr>
      </w:pPr>
      <w:r>
        <w:rPr>
          <w:rFonts w:ascii="Arial" w:cs="Arial" w:eastAsia="Arial" w:hAnsi="Arial"/>
          <w:sz w:val="18"/>
          <w:szCs w:val="18"/>
          <w:color w:val="auto"/>
        </w:rPr>
        <w:t>Our non-segmented revenues for the periods presented in this Annual Report on Form 10-K relate primarily to ancillary charges associated with equipment maintenance and repair services, and are not generally allocated to reportable segments.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Principal Costs and Expenses</w:t>
      </w:r>
    </w:p>
    <w:p>
      <w:pPr>
        <w:spacing w:after="0" w:line="11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Our largest expenses are rental expenses, rental depreciation, the costs associated with the used equipment we sell, the costs to purchase the new equipment we sell, and costs associated with parts sales and services, all of which are included in cost of revenues. For the year ended December 31, 2022, our total cost of revenues was approximately $689.4 million. Our operating expenses consist principally of selling, general and administrative expenses (“SG&amp;A”). For year ended December 31, 2022, our SG&amp;A expenses were $343.8 million. In addition, we have interest expense primarily related to our debt instruments. Operating expenses and all other income and expense items below the gross profit line of our Consolidated Statements of Operations are not generally allocated to our reportable segments.</w:t>
      </w:r>
    </w:p>
    <w:p>
      <w:pPr>
        <w:spacing w:after="0" w:line="123"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We are also subject to federal and state income taxes. Future income tax examinations by state and federal agencies could result in additional income tax expense based on potential outcomes of such matters.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i w:val="1"/>
          <w:iCs w:val="1"/>
          <w:color w:val="auto"/>
        </w:rPr>
        <w:t xml:space="preserve">Rental Depreciation. </w:t>
      </w:r>
      <w:r>
        <w:rPr>
          <w:rFonts w:ascii="Arial" w:cs="Arial" w:eastAsia="Arial" w:hAnsi="Arial"/>
          <w:sz w:val="18"/>
          <w:szCs w:val="18"/>
          <w:color w:val="auto"/>
        </w:rPr>
        <w:t>Depreciation of rental equipment represents the depreciation costs attributable to rental equipment. Estimated useful lives vary</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type of equipment. Generally, we depreciate aerial work platforms over a ten year</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6" w:right="419" w:bottom="1440" w:gutter="0" w:footer="0" w:header="0"/>
        </w:sectPr>
      </w:pPr>
    </w:p>
    <w:bookmarkStart w:id="27" w:name="page28"/>
    <w:bookmarkEnd w:id="27"/>
    <w:p>
      <w:pPr>
        <w:jc w:val="both"/>
        <w:ind w:left="380"/>
        <w:spacing w:after="0" w:line="263" w:lineRule="auto"/>
        <w:rPr>
          <w:sz w:val="20"/>
          <w:szCs w:val="20"/>
          <w:color w:val="auto"/>
        </w:rPr>
      </w:pPr>
      <w:r>
        <w:rPr>
          <w:rFonts w:ascii="Arial" w:cs="Arial" w:eastAsia="Arial" w:hAnsi="Arial"/>
          <w:sz w:val="18"/>
          <w:szCs w:val="18"/>
          <w:color w:val="auto"/>
        </w:rPr>
        <w:t>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spacing w:after="0" w:line="115" w:lineRule="exact"/>
        <w:rPr>
          <w:sz w:val="20"/>
          <w:szCs w:val="20"/>
          <w:color w:val="auto"/>
        </w:rPr>
      </w:pPr>
    </w:p>
    <w:p>
      <w:pPr>
        <w:ind w:left="380" w:right="620"/>
        <w:spacing w:after="0" w:line="307" w:lineRule="auto"/>
        <w:rPr>
          <w:sz w:val="20"/>
          <w:szCs w:val="20"/>
          <w:color w:val="auto"/>
        </w:rPr>
      </w:pPr>
      <w:r>
        <w:rPr>
          <w:rFonts w:ascii="Arial" w:cs="Arial" w:eastAsia="Arial" w:hAnsi="Arial"/>
          <w:sz w:val="17"/>
          <w:szCs w:val="17"/>
          <w:i w:val="1"/>
          <w:iCs w:val="1"/>
          <w:color w:val="auto"/>
        </w:rPr>
        <w:t xml:space="preserve">Rental Expense. </w:t>
      </w:r>
      <w:r>
        <w:rPr>
          <w:rFonts w:ascii="Arial" w:cs="Arial" w:eastAsia="Arial" w:hAnsi="Arial"/>
          <w:sz w:val="17"/>
          <w:szCs w:val="17"/>
          <w:color w:val="auto"/>
        </w:rPr>
        <w:t>Rental expense represents the costs associated with rental equipment, including, among other things, the cost of repairing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our rental equipment, property taxes on our fleet and other miscellaneous costs of owning rental equipment.</w:t>
      </w:r>
    </w:p>
    <w:p>
      <w:pPr>
        <w:spacing w:after="0" w:line="66" w:lineRule="exact"/>
        <w:rPr>
          <w:sz w:val="20"/>
          <w:szCs w:val="20"/>
          <w:color w:val="auto"/>
        </w:rPr>
      </w:pPr>
    </w:p>
    <w:p>
      <w:pPr>
        <w:ind w:left="380" w:right="560"/>
        <w:spacing w:after="0" w:line="307" w:lineRule="auto"/>
        <w:rPr>
          <w:sz w:val="20"/>
          <w:szCs w:val="20"/>
          <w:color w:val="auto"/>
        </w:rPr>
      </w:pPr>
      <w:r>
        <w:rPr>
          <w:rFonts w:ascii="Arial" w:cs="Arial" w:eastAsia="Arial" w:hAnsi="Arial"/>
          <w:sz w:val="17"/>
          <w:szCs w:val="17"/>
          <w:i w:val="1"/>
          <w:iCs w:val="1"/>
          <w:color w:val="auto"/>
        </w:rPr>
        <w:t xml:space="preserve">Rental Other. </w:t>
      </w:r>
      <w:r>
        <w:rPr>
          <w:rFonts w:ascii="Arial" w:cs="Arial" w:eastAsia="Arial" w:hAnsi="Arial"/>
          <w:sz w:val="17"/>
          <w:szCs w:val="17"/>
          <w:color w:val="auto"/>
        </w:rPr>
        <w:t>Rental other expenses consist primarily of equipment support activities that we provide our customers in connection with renting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such as hauling services, damage waiver policies, environmental fees and other recovery fees.</w:t>
      </w:r>
    </w:p>
    <w:p>
      <w:pPr>
        <w:spacing w:after="0" w:line="80" w:lineRule="exact"/>
        <w:rPr>
          <w:sz w:val="20"/>
          <w:szCs w:val="20"/>
          <w:color w:val="auto"/>
        </w:rPr>
      </w:pPr>
    </w:p>
    <w:p>
      <w:pPr>
        <w:ind w:left="380" w:right="140"/>
        <w:spacing w:after="0" w:line="263" w:lineRule="auto"/>
        <w:rPr>
          <w:sz w:val="20"/>
          <w:szCs w:val="20"/>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Cost of used equipment sold consists of the net book value of rental equipment for used equipment sold from our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equipment costs for used equipment we purchase for sale or the trade-in value of used equipment that we obtain from customers in equipment sales transactions.</w:t>
      </w:r>
    </w:p>
    <w:p>
      <w:pPr>
        <w:spacing w:after="0" w:line="115" w:lineRule="exact"/>
        <w:rPr>
          <w:sz w:val="20"/>
          <w:szCs w:val="20"/>
          <w:color w:val="auto"/>
        </w:rPr>
      </w:pPr>
    </w:p>
    <w:p>
      <w:pPr>
        <w:ind w:left="380" w:right="220"/>
        <w:spacing w:after="0" w:line="277" w:lineRule="auto"/>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Cost of new equipment sold primarily consists of the equipment cost of the new equipment that is sold, net of any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given to the customer towards the equipment for trade-ins.</w:t>
      </w:r>
    </w:p>
    <w:p>
      <w:pPr>
        <w:spacing w:after="0" w:line="89"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Cost of parts sales represents costs attributable to the sale of parts used in the maintenance and repair of equipment on-rent by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directly to customers for their owned equipment.</w:t>
      </w:r>
    </w:p>
    <w:p>
      <w:pPr>
        <w:spacing w:after="0" w:line="102" w:lineRule="exact"/>
        <w:rPr>
          <w:sz w:val="20"/>
          <w:szCs w:val="20"/>
          <w:color w:val="auto"/>
        </w:rPr>
      </w:pPr>
    </w:p>
    <w:p>
      <w:pPr>
        <w:ind w:left="380" w:right="220"/>
        <w:spacing w:after="0" w:line="277" w:lineRule="auto"/>
        <w:rPr>
          <w:sz w:val="20"/>
          <w:szCs w:val="20"/>
          <w:color w:val="auto"/>
        </w:rPr>
      </w:pPr>
      <w:r>
        <w:rPr>
          <w:rFonts w:ascii="Arial" w:cs="Arial" w:eastAsia="Arial" w:hAnsi="Arial"/>
          <w:sz w:val="18"/>
          <w:szCs w:val="18"/>
          <w:i w:val="1"/>
          <w:iCs w:val="1"/>
          <w:color w:val="auto"/>
        </w:rPr>
        <w:t xml:space="preserve">Services Support. </w:t>
      </w:r>
      <w:r>
        <w:rPr>
          <w:rFonts w:ascii="Arial" w:cs="Arial" w:eastAsia="Arial" w:hAnsi="Arial"/>
          <w:sz w:val="18"/>
          <w:szCs w:val="18"/>
          <w:color w:val="auto"/>
        </w:rPr>
        <w:t>Cost of services revenues represents costs attributable to service provided for the maintenance and repair of equipment on-rent by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of customer-owned equipment.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non-segmented other expenses include costs associated with ancillary charges associated with equipment maintenance and repair services</w:t>
      </w:r>
      <w:r>
        <w:rPr>
          <w:rFonts w:ascii="Arial" w:cs="Arial" w:eastAsia="Arial" w:hAnsi="Arial"/>
          <w:sz w:val="16"/>
          <w:szCs w:val="16"/>
          <w:i w:val="1"/>
          <w:iCs w:val="1"/>
          <w:color w:val="auto"/>
        </w:rPr>
        <w:t>.</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60" w:firstLine="374"/>
        <w:spacing w:after="0" w:line="259" w:lineRule="auto"/>
        <w:rPr>
          <w:sz w:val="20"/>
          <w:szCs w:val="20"/>
          <w:color w:val="auto"/>
        </w:rPr>
      </w:pPr>
      <w:r>
        <w:rPr>
          <w:rFonts w:ascii="Arial" w:cs="Arial" w:eastAsia="Arial" w:hAnsi="Arial"/>
          <w:sz w:val="18"/>
          <w:szCs w:val="18"/>
          <w:color w:val="auto"/>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Principal Cash Flows</w:t>
      </w:r>
    </w:p>
    <w:p>
      <w:pPr>
        <w:spacing w:after="0" w:line="117"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We generate cash primarily from our operating activities and, historically, we have used cash flows from operating activities and available borrowings under the Credit Facility as the primary sources of funds to purchase inventory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used and new equipment inventories, which may increase or decrease in response to current and expected demand, and the size and timing of our trade accounts payable payment cycles.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Rental Fleet</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 substantial portion of our overall value is in our rental fleet equipment. The net book value of our rental equipment at December 31, 2022 was $1.4 billion, or approximately 61.9% of our total assets. Our rental fleet as of December 31, 2022 consisted of 55,208 units having an original acquisition cost (which we define as the cost originally paid to manufacturers) of approximately $2.4 billion. As of December 31, 2022, our rental fleet composition was as follows (dollars in millions):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ind w:left="380"/>
              <w:spacing w:after="0"/>
              <w:rPr>
                <w:sz w:val="20"/>
                <w:szCs w:val="20"/>
                <w:color w:val="auto"/>
              </w:rPr>
            </w:pPr>
            <w:r>
              <w:rPr>
                <w:rFonts w:ascii="Arial" w:cs="Arial" w:eastAsia="Arial" w:hAnsi="Arial"/>
                <w:sz w:val="14"/>
                <w:szCs w:val="14"/>
                <w:b w:val="1"/>
                <w:bCs w:val="1"/>
                <w:color w:val="auto"/>
              </w:rPr>
              <w:t>% of</w:t>
            </w: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Original</w:t>
            </w:r>
          </w:p>
        </w:tc>
        <w:tc>
          <w:tcPr>
            <w:tcW w:w="200" w:type="dxa"/>
            <w:vAlign w:val="bottom"/>
          </w:tcPr>
          <w:p>
            <w:pPr>
              <w:spacing w:after="0"/>
              <w:rPr>
                <w:sz w:val="14"/>
                <w:szCs w:val="14"/>
                <w:color w:val="auto"/>
              </w:rPr>
            </w:pPr>
          </w:p>
        </w:tc>
        <w:tc>
          <w:tcPr>
            <w:tcW w:w="12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9"/>
              </w:rPr>
              <w:t>% of Original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2"/>
                <w:szCs w:val="12"/>
                <w:color w:val="auto"/>
              </w:rPr>
            </w:pPr>
          </w:p>
        </w:tc>
        <w:tc>
          <w:tcPr>
            <w:tcW w:w="142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12"/>
                <w:szCs w:val="12"/>
                <w:color w:val="auto"/>
              </w:rPr>
            </w:pPr>
          </w:p>
        </w:tc>
        <w:tc>
          <w:tcPr>
            <w:tcW w:w="12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Age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ind w:left="360"/>
              <w:spacing w:after="0"/>
              <w:rPr>
                <w:sz w:val="20"/>
                <w:szCs w:val="20"/>
                <w:color w:val="auto"/>
              </w:rPr>
            </w:pPr>
            <w:r>
              <w:rPr>
                <w:rFonts w:ascii="Arial" w:cs="Arial" w:eastAsia="Arial" w:hAnsi="Arial"/>
                <w:sz w:val="14"/>
                <w:szCs w:val="14"/>
                <w:b w:val="1"/>
                <w:bCs w:val="1"/>
                <w:color w:val="auto"/>
              </w:rPr>
              <w:t>Units</w:t>
            </w: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2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Aerial Work Platforms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25,381</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Earthmoving</w:t>
            </w:r>
          </w:p>
        </w:tc>
        <w:tc>
          <w:tcPr>
            <w:tcW w:w="1000" w:type="dxa"/>
            <w:vAlign w:val="bottom"/>
          </w:tcPr>
          <w:p>
            <w:pPr>
              <w:jc w:val="right"/>
              <w:spacing w:after="0"/>
              <w:rPr>
                <w:sz w:val="20"/>
                <w:szCs w:val="20"/>
                <w:color w:val="auto"/>
              </w:rPr>
            </w:pPr>
            <w:r>
              <w:rPr>
                <w:rFonts w:ascii="Arial" w:cs="Arial" w:eastAsia="Arial" w:hAnsi="Arial"/>
                <w:sz w:val="18"/>
                <w:szCs w:val="18"/>
                <w:color w:val="auto"/>
              </w:rPr>
              <w:t>7,721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27.6 %</w:t>
            </w: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Material Handling Equipment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8,819</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669.0</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28.4 %</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Pr>
          <w:p>
            <w:pPr>
              <w:jc w:val="right"/>
              <w:spacing w:after="0"/>
              <w:rPr>
                <w:sz w:val="20"/>
                <w:szCs w:val="20"/>
                <w:color w:val="auto"/>
              </w:rPr>
            </w:pPr>
            <w:r>
              <w:rPr>
                <w:rFonts w:ascii="Arial" w:cs="Arial" w:eastAsia="Arial" w:hAnsi="Arial"/>
                <w:sz w:val="18"/>
                <w:szCs w:val="18"/>
                <w:color w:val="auto"/>
              </w:rPr>
              <w:t>13,287</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8.8 %</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55,208</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2,358.4</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The mix and age of our rental fleet, as well as our cash flows, are impacted by sales of equipment from the rental fleet, which are influenced by used equipment pricing at the retail and secondary auction market levels, the demand for our rental fleet, the availability of new equipment and the capital expenditures to acquire rental fleet equipment.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we believe our rental fleet is well-maintained.</w:t>
      </w:r>
    </w:p>
    <w:p>
      <w:pPr>
        <w:spacing w:after="0" w:line="124"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The original acquisition cost of our gross rental fleet increased by approximately $498.5 million, or 26.8%, for the year ended December 31, 2022, largely reflective of an increase in rental fleet capital expenditures and our acquisition of OSR. The average age of our rental fleet equipment increased by approximately 3.3 months for the year ended December 31, 2022. Our average rental rates for the year ended December 31, 2022 were approximately 9.2% higher than the year ended December 31, 2021 (see further discussion on rental rates in “Results of Operations” below).</w:t>
      </w:r>
    </w:p>
    <w:p>
      <w:pPr>
        <w:spacing w:after="0" w:line="170"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rental equipment mix among our core product lines for the year ended December 31, 2022 was largely consistent with that of the prior year comparable period as a percentage of total units available for rent and as a percentage of original acquisition cost.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Principal External Factors that Affect our Businesses</w:t>
      </w:r>
    </w:p>
    <w:p>
      <w:pPr>
        <w:spacing w:after="0" w:line="117" w:lineRule="exact"/>
        <w:rPr>
          <w:sz w:val="20"/>
          <w:szCs w:val="20"/>
          <w:color w:val="auto"/>
        </w:rPr>
      </w:pPr>
    </w:p>
    <w:p>
      <w:pPr>
        <w:ind w:right="420" w:firstLine="374"/>
        <w:spacing w:after="0" w:line="307" w:lineRule="auto"/>
        <w:rPr>
          <w:sz w:val="20"/>
          <w:szCs w:val="20"/>
          <w:color w:val="auto"/>
        </w:rPr>
      </w:pPr>
      <w:r>
        <w:rPr>
          <w:rFonts w:ascii="Arial" w:cs="Arial" w:eastAsia="Arial" w:hAnsi="Arial"/>
          <w:sz w:val="17"/>
          <w:szCs w:val="17"/>
          <w:color w:val="auto"/>
        </w:rPr>
        <w:t>We are subject to a number of external factors that may adversely affect our businesses. These factors, and other factors, are discussed below and under the heading “Forward-Looking Statements,” and in Item 1A—Risk Factors in this Annual Report on Form 10-K.</w:t>
      </w:r>
    </w:p>
    <w:p>
      <w:pPr>
        <w:spacing w:after="0" w:line="39" w:lineRule="exact"/>
        <w:rPr>
          <w:sz w:val="20"/>
          <w:szCs w:val="20"/>
          <w:color w:val="auto"/>
        </w:rPr>
      </w:pPr>
    </w:p>
    <w:p>
      <w:pPr>
        <w:ind w:left="1020" w:right="80" w:hanging="504"/>
        <w:spacing w:after="0" w:line="286"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Economic downturns. </w:t>
      </w:r>
      <w:r>
        <w:rPr>
          <w:rFonts w:ascii="Arial" w:cs="Arial" w:eastAsia="Arial" w:hAnsi="Arial"/>
          <w:sz w:val="17"/>
          <w:szCs w:val="17"/>
          <w:color w:val="auto"/>
        </w:rPr>
        <w:t>The demand for our products is dependent on the general economy, the stability of the global credit markets,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in which our customers operate or serve, and other factors. Downturns in the general economy or in the construction and industrial markets, as well as adverse credit market conditions, can cause demand for our products to materially decrease.</w:t>
      </w:r>
    </w:p>
    <w:p>
      <w:pPr>
        <w:spacing w:after="0" w:line="56" w:lineRule="exact"/>
        <w:rPr>
          <w:rFonts w:ascii="Arial" w:cs="Arial" w:eastAsia="Arial" w:hAnsi="Arial"/>
          <w:sz w:val="17"/>
          <w:szCs w:val="17"/>
          <w:color w:val="auto"/>
        </w:rPr>
      </w:pPr>
    </w:p>
    <w:p>
      <w:pPr>
        <w:ind w:left="1020" w:right="60" w:hanging="504"/>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Spending levels by customers. </w:t>
      </w:r>
      <w:r>
        <w:rPr>
          <w:rFonts w:ascii="Arial" w:cs="Arial" w:eastAsia="Arial" w:hAnsi="Arial"/>
          <w:sz w:val="18"/>
          <w:szCs w:val="18"/>
          <w:color w:val="auto"/>
        </w:rPr>
        <w:t>Rentals and sales of equipment to the construction industry and to industrial companies constitute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total revenues. As a result, we depend upon customers in these businesses and their ability and willingness to make capital expenditures to rent or buy specialized equipment. Accordingly, our business is impacted by fluctuations in customers’ spending levels on capital expenditures and by the availability of credit to those customers.</w:t>
      </w:r>
    </w:p>
    <w:p>
      <w:pPr>
        <w:spacing w:after="0" w:line="77" w:lineRule="exact"/>
        <w:rPr>
          <w:rFonts w:ascii="Arial" w:cs="Arial" w:eastAsia="Arial" w:hAnsi="Arial"/>
          <w:sz w:val="18"/>
          <w:szCs w:val="18"/>
          <w:color w:val="auto"/>
        </w:rPr>
      </w:pPr>
    </w:p>
    <w:p>
      <w:pPr>
        <w:ind w:left="1020" w:right="360" w:hanging="504"/>
        <w:spacing w:after="0" w:line="31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Adverse weather. </w:t>
      </w:r>
      <w:r>
        <w:rPr>
          <w:rFonts w:ascii="Arial" w:cs="Arial" w:eastAsia="Arial" w:hAnsi="Arial"/>
          <w:sz w:val="16"/>
          <w:szCs w:val="16"/>
          <w:color w:val="auto"/>
        </w:rPr>
        <w:t>Adverse weather in a geographic region in which we operate may depress demand for equipment in that region. Our</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spacing w:after="0" w:line="39" w:lineRule="exact"/>
        <w:rPr>
          <w:rFonts w:ascii="Arial" w:cs="Arial" w:eastAsia="Arial" w:hAnsi="Arial"/>
          <w:sz w:val="16"/>
          <w:szCs w:val="16"/>
          <w:color w:val="auto"/>
        </w:rPr>
      </w:pPr>
    </w:p>
    <w:p>
      <w:pPr>
        <w:ind w:left="1020" w:right="40" w:hanging="504"/>
        <w:spacing w:after="0" w:line="25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Regional and Industry-Specific Activity and Trends. </w:t>
      </w:r>
      <w:r>
        <w:rPr>
          <w:rFonts w:ascii="Arial" w:cs="Arial" w:eastAsia="Arial" w:hAnsi="Arial"/>
          <w:sz w:val="18"/>
          <w:szCs w:val="18"/>
          <w:color w:val="auto"/>
        </w:rPr>
        <w:t>Expenditures by our customers may be impacted by the overall level of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in the markets and regions in which they operate, the price of oil and other commodities, the price of materials, supply chain disruptions, labor shortages and other general economic trends impacting the industries in which our customers and end users operate. As our customers adjust their activity and spending levels in response to these external factors, our rentals and sales of equipment to those customers will be impacted.</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The application of many accounting principles requires us to make assumptions, estimates and/or judgments that affect the reported amounts of assets, liabilities, revenues and expenses in our consolidated financial statements. We base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9" w:name="page30"/>
    <w:bookmarkEnd w:id="29"/>
    <w:p>
      <w:pPr>
        <w:ind w:right="120"/>
        <w:spacing w:after="0" w:line="255" w:lineRule="auto"/>
        <w:rPr>
          <w:sz w:val="20"/>
          <w:szCs w:val="20"/>
          <w:color w:val="auto"/>
        </w:rPr>
      </w:pPr>
      <w:r>
        <w:rPr>
          <w:rFonts w:ascii="Arial" w:cs="Arial" w:eastAsia="Arial" w:hAnsi="Arial"/>
          <w:sz w:val="18"/>
          <w:szCs w:val="18"/>
          <w:color w:val="auto"/>
        </w:rPr>
        <w:t>estimates and judgments on historical experience and other assumptions that we believe are reasonable under the circumstances. These assumptions, estimates and/or judgments, however, are often subjective and they and our actual results may change based on changing circumstances or changes in our analyses. If actual amounts are ultimately different from our estimates, the revisions are included in our results of operations for the period in which the actual amounts first become known. We believe the following critical accounting policies could potentially produce materially different results if we were to change underlying assumptions, estimates and/or judgments. See also Note 2 to our Consolidated Financial Statements for a summary of our significant accounting policies.</w:t>
      </w:r>
    </w:p>
    <w:p>
      <w:pPr>
        <w:spacing w:after="0" w:line="150"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i w:val="1"/>
          <w:iCs w:val="1"/>
          <w:color w:val="auto"/>
        </w:rPr>
        <w:t xml:space="preserve">Useful Lives of Rental Equipment and Property and Equipment. </w:t>
      </w:r>
      <w:r>
        <w:rPr>
          <w:rFonts w:ascii="Arial" w:cs="Arial" w:eastAsia="Arial" w:hAnsi="Arial"/>
          <w:sz w:val="17"/>
          <w:szCs w:val="17"/>
          <w:color w:val="auto"/>
        </w:rPr>
        <w:t>We depreciate rental equipment and property and equipment over their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useful lives (generally three to ten years), after giving effect to an estimated salvage value ranging from 0% to 25% of cost. The useful life of rental equipment is determined based on our estimate of the period the asset will generate revenues, and the salvage value is determined based on our estimate of the minimum value we could realize from the asset after such period. We periodically review the assumptions utilized in computing rates of depreciation. We may be required to change these estimates based on changes in our industry or other changing circumstances. If these estimates change in the future, we may be required to recognize increased or decreased depreciation expense for these assets.</w:t>
      </w:r>
    </w:p>
    <w:p>
      <w:pPr>
        <w:spacing w:after="0" w:line="149"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The amount of depreciation expense we record is dependent upon the estimated useful lives and the salvage values assigned to each category of rental equipment. Generally, we assign estimated useful lives to our rental fleet ranging from a three-year life, five-year life with a 25% salvage value, seven-year life and a ten-year life. None of the useful lives assumptions have changed during the prior or current period. Depreciation expense on our rental fleet as of December 31, 2022 was approximately $267.4 million. As of December 31, 2022, the estimated depreciation assuming a change in estimated useful lives for each category of equipment by two years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w w:val="95"/>
              </w:rPr>
              <w:t>Impact of 2-year change in useful life on results of operations as of</w:t>
            </w:r>
          </w:p>
        </w:tc>
        <w:tc>
          <w:tcPr>
            <w:tcW w:w="120" w:type="dxa"/>
            <w:vAlign w:val="bottom"/>
          </w:tcPr>
          <w:p>
            <w:pPr>
              <w:spacing w:after="0"/>
              <w:rPr>
                <w:sz w:val="18"/>
                <w:szCs w:val="18"/>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7"/>
              </w:rPr>
              <w:t>Aerial Work</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Earth-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b w:val="1"/>
                <w:bCs w:val="1"/>
                <w:color w:val="auto"/>
              </w:rPr>
              <w:t>Material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December 31, 2022</w:t>
            </w: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center"/>
              <w:ind w:right="63"/>
              <w:spacing w:after="0" w:line="85" w:lineRule="exact"/>
              <w:rPr>
                <w:sz w:val="20"/>
                <w:szCs w:val="20"/>
                <w:color w:val="auto"/>
              </w:rPr>
            </w:pPr>
            <w:r>
              <w:rPr>
                <w:rFonts w:ascii="Arial" w:cs="Arial" w:eastAsia="Arial" w:hAnsi="Arial"/>
                <w:sz w:val="9"/>
                <w:szCs w:val="9"/>
                <w:b w:val="1"/>
                <w:bCs w:val="1"/>
                <w:color w:val="auto"/>
              </w:rPr>
              <w:t>Handling</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Platforms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moving</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Equipment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expense for the year ended December 31, 2022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79,647</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89,764</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Increase of 2 years in useful life</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74,329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 of 2 years in useful life</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103,788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For purposes of the sensitivity analysis above, we elected not to decrease the useful lives of other equipment, which are primarily three-year estimated useful life assets; rather, we have held the depreciation expense constant at the actual amount of depreciation expense. We believe that decreasing the life of the other equipment by two years is an unreasonable estimate and would potentially lead to the decision to expense, rather than capitalize, that portion of the subject asset class. In general terms, a one-year increase in the estimated life across all classes of our rental equipment will give rise to an approximate decrease in our annual depreciation expense of approximately $6.3 million. Additionally, a one-year decrease in the estimated life across all classes of our rental equipment (with the exception of other equipment as discussed above) will give rise to an approximate increase in our annual depreciation expense of approximately $84.0 million.</w:t>
      </w:r>
    </w:p>
    <w:p>
      <w:pPr>
        <w:spacing w:after="0" w:line="152"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color w:val="auto"/>
        </w:rPr>
        <w:t>Another assumption used in our calculation of depreciation expense is the estimated salvage value assigned to our earthmoving equipment. Based on our historical data and recent experience, we have used a 25% factor of the equipment’s original cost to estimate its salvage value. This factor is subjective and subject to change in the future based upon actual results at the time we dispose of the equipment. A change of 5%, either increase or decrease, in the estimated salvage value would result in a change in our annual depreciation expense of approximately $6.5 million.</w:t>
      </w:r>
    </w:p>
    <w:p>
      <w:pPr>
        <w:spacing w:after="0" w:line="143" w:lineRule="exact"/>
        <w:rPr>
          <w:sz w:val="20"/>
          <w:szCs w:val="20"/>
          <w:color w:val="auto"/>
        </w:rPr>
      </w:pPr>
    </w:p>
    <w:p>
      <w:pPr>
        <w:ind w:right="120" w:firstLine="374"/>
        <w:spacing w:after="0" w:line="252" w:lineRule="auto"/>
        <w:rPr>
          <w:sz w:val="20"/>
          <w:szCs w:val="20"/>
          <w:color w:val="auto"/>
        </w:rPr>
      </w:pPr>
      <w:r>
        <w:rPr>
          <w:rFonts w:ascii="Arial" w:cs="Arial" w:eastAsia="Arial" w:hAnsi="Arial"/>
          <w:sz w:val="18"/>
          <w:szCs w:val="18"/>
          <w:i w:val="1"/>
          <w:iCs w:val="1"/>
          <w:color w:val="auto"/>
        </w:rPr>
        <w:t>Acquisition Accounting</w:t>
      </w:r>
      <w:r>
        <w:rPr>
          <w:rFonts w:ascii="Arial" w:cs="Arial" w:eastAsia="Arial" w:hAnsi="Arial"/>
          <w:sz w:val="18"/>
          <w:szCs w:val="18"/>
          <w:color w:val="auto"/>
        </w:rPr>
        <w:t>. We have made a number of acquisitions in the past and we may continue to make additional acquisitions in the future.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based on their respective fair values at the date of acquisition. Long-lived assets (principally rental equipment), goodwill and other intangible assets generally represent the largest component of our acquisitions. Historically, virtually all of the rental equipment that we have acquired through business combinations have been classified as “To be Used,” rather than as “To be Sold.” Rental equipment that we acquire and classify as “To be Used” is recorded at fair value and is valued utilizing either a cost or market approach, or a combination of these methods, depending on the asset being valued and the availability of cost or market data. Goodwill is calculated as the excess of the fair value of consideration transferred over the net of the fair value of the assets acquired and the liabilities assumed. Such fair market value assessments require judgments and estimates that can be affected by various factors over time, which may cause final amounts to differ materially from original estimates. The identification of assets acquired, inputs utilized for determining the fair value of assets acquired and liabilities assumed and applicable fair value methodologies, discussed more below, all include significant judgement. We have not changed our assumption methodologies during the current or prior period.</w:t>
      </w:r>
    </w:p>
    <w:p>
      <w:pPr>
        <w:spacing w:after="0" w:line="158"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In addition to long-lived fixed assets, we also acquire other assets and assume liabilities. These other assets and liabilities typically include, but are not limited to, parts inventory, accounts receivable, accounts payable and other working capital items.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40"/>
        <w:spacing w:after="0" w:line="287" w:lineRule="auto"/>
        <w:rPr>
          <w:sz w:val="20"/>
          <w:szCs w:val="20"/>
          <w:color w:val="auto"/>
        </w:rPr>
      </w:pPr>
      <w:r>
        <w:rPr>
          <w:rFonts w:ascii="Arial" w:cs="Arial" w:eastAsia="Arial" w:hAnsi="Arial"/>
          <w:sz w:val="16"/>
          <w:szCs w:val="16"/>
          <w:color w:val="auto"/>
        </w:rPr>
        <w:t>Because of their short-term nature, the fair values of these assets and liabilities generally approximate the carrying values reflected on the acquired entities balance sheets. However, when appropriate, we adjust these carrying values for factors such as collectability and existence. The intangible assets that we have acquired generally consist primarily of the goodwill recognized. Depending upon the applicable purchase agreement and the particular facts and circumstances of the business acquired, we may identify other intangible assets, such as trade names or trademarks, noncompetition agreements and customer-related intangibles (specifically, customer relationships). A trademark has a fair value equal to the present value of the royalty income attributable to it. The royalty income attributable to a trademark represents the hypothetical cost savings that are derived from owning the trademark instead of paying royalties to license the trademark from another owner. When specifically negotiated by the parties in the applicable purchase agreements, we base the value of noncompetition agreements on the amounts assigned to them in the purchase agreements as these amounts represent the amounts negotiated in an arm’s length transaction. When not negotiated by the parties in the applicable purchase agreements, the fair value of noncompetition agreements is estimated based on an income approach since their values are representative of the current and future revenue and profit erosion protection they provide. Customer relationships are generally valued based on an excess earnings or income approach with consideration to projected cash flows.</w:t>
      </w:r>
    </w:p>
    <w:p>
      <w:pPr>
        <w:spacing w:after="0" w:line="142"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i w:val="1"/>
          <w:iCs w:val="1"/>
          <w:color w:val="auto"/>
        </w:rPr>
        <w:t xml:space="preserve">Evaluation of Goodwill Impairment. </w:t>
      </w:r>
      <w:r>
        <w:rPr>
          <w:rFonts w:ascii="Arial" w:cs="Arial" w:eastAsia="Arial" w:hAnsi="Arial"/>
          <w:sz w:val="18"/>
          <w:szCs w:val="18"/>
          <w:color w:val="auto"/>
        </w:rPr>
        <w:t>We evaluate goodwill for impairment annually or more frequently if triggering events occur or other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indicators arise that would more likely than not reduce the fair value of a reporting unit below its carrying amount. A triggering event analysis and identification may include judgements.</w:t>
      </w:r>
    </w:p>
    <w:p>
      <w:pPr>
        <w:spacing w:after="0" w:line="142"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Application of the goodwill impairment test requires judgment, including: the identification of reporting units; assignment of assets and liabilities to reporting units; assignment of goodwill to reporting units; determination of the fair value of each reporting unit; fair value methodologies and assumptions, and an assumption as to the form of the transaction in which the reporting unit would be acquired by a market participant (either a taxable or nontaxable transaction). Impairment of goodwill is evaluated at the reporting unit level. A reporting unit is defined as an operating segment or one level below an operating segment (i.e., a component). We have determined that each of our operating segments (Equipment Rentals, Used Equipment, New Equipment, Parts, and Services) represents a reporting unit, resulting in five total reporting units.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2022, our goodwill was comprised of the following carrying values (amounts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5"/>
              </w:rPr>
              <w:t>Carrying Value at December</w:t>
            </w:r>
          </w:p>
        </w:tc>
        <w:tc>
          <w:tcPr>
            <w:tcW w:w="100" w:type="dxa"/>
            <w:vAlign w:val="bottom"/>
          </w:tcPr>
          <w:p>
            <w:pPr>
              <w:spacing w:after="0"/>
              <w:rPr>
                <w:sz w:val="14"/>
                <w:szCs w:val="14"/>
                <w:color w:val="auto"/>
              </w:rPr>
            </w:pPr>
          </w:p>
        </w:tc>
      </w:tr>
      <w:tr>
        <w:trPr>
          <w:trHeight w:val="18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Reporting Unit</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r>
      <w:tr>
        <w:trPr>
          <w:trHeight w:val="23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Equipment Rentals </w:t>
            </w:r>
            <w:r>
              <w:rPr>
                <w:rFonts w:ascii="Arial" w:cs="Arial" w:eastAsia="Arial" w:hAnsi="Arial"/>
                <w:sz w:val="14"/>
                <w:szCs w:val="14"/>
                <w:color w:val="auto"/>
              </w:rPr>
              <w:t>(1)</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88,529</w:t>
            </w:r>
          </w:p>
        </w:tc>
        <w:tc>
          <w:tcPr>
            <w:tcW w:w="100" w:type="dxa"/>
            <w:vAlign w:val="bottom"/>
            <w:shd w:val="clear" w:color="auto" w:fill="CFF0FC"/>
          </w:tcPr>
          <w:p>
            <w:pPr>
              <w:spacing w:after="0"/>
              <w:rPr>
                <w:sz w:val="20"/>
                <w:szCs w:val="20"/>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Used Equipment Sales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Equipment Sales</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9000" w:type="dxa"/>
            <w:vAlign w:val="bottom"/>
          </w:tcPr>
          <w:p>
            <w:pPr>
              <w:ind w:left="20"/>
              <w:spacing w:after="0"/>
              <w:rPr>
                <w:sz w:val="20"/>
                <w:szCs w:val="20"/>
                <w:color w:val="auto"/>
              </w:rPr>
            </w:pPr>
            <w:r>
              <w:rPr>
                <w:rFonts w:ascii="Arial" w:cs="Arial" w:eastAsia="Arial" w:hAnsi="Arial"/>
                <w:sz w:val="18"/>
                <w:szCs w:val="18"/>
                <w:color w:val="auto"/>
              </w:rPr>
              <w:t>Parts Sales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r>
      <w:tr>
        <w:trPr>
          <w:trHeight w:val="249"/>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Services Revenues</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00" w:type="dxa"/>
            <w:vAlign w:val="bottom"/>
          </w:tcPr>
          <w:p>
            <w:pPr>
              <w:ind w:left="200"/>
              <w:spacing w:after="0"/>
              <w:rPr>
                <w:sz w:val="20"/>
                <w:szCs w:val="20"/>
                <w:color w:val="auto"/>
              </w:rPr>
            </w:pPr>
            <w:r>
              <w:rPr>
                <w:rFonts w:ascii="Arial" w:cs="Arial" w:eastAsia="Arial" w:hAnsi="Arial"/>
                <w:sz w:val="18"/>
                <w:szCs w:val="18"/>
                <w:color w:val="auto"/>
              </w:rPr>
              <w:t>Total Goodwill</w:t>
            </w:r>
          </w:p>
        </w:tc>
        <w:tc>
          <w:tcPr>
            <w:tcW w:w="64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102,690</w:t>
            </w:r>
          </w:p>
        </w:tc>
        <w:tc>
          <w:tcPr>
            <w:tcW w:w="100" w:type="dxa"/>
            <w:vAlign w:val="bottom"/>
          </w:tcPr>
          <w:p>
            <w:pPr>
              <w:spacing w:after="0"/>
              <w:rPr>
                <w:sz w:val="20"/>
                <w:szCs w:val="20"/>
                <w:color w:val="auto"/>
              </w:rPr>
            </w:pPr>
          </w:p>
        </w:tc>
      </w:tr>
      <w:tr>
        <w:trPr>
          <w:trHeight w:val="20"/>
        </w:trPr>
        <w:tc>
          <w:tcPr>
            <w:tcW w:w="9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 w:lineRule="exact"/>
        <w:rPr>
          <w:sz w:val="20"/>
          <w:szCs w:val="20"/>
          <w:color w:val="auto"/>
        </w:rPr>
      </w:pPr>
    </w:p>
    <w:p>
      <w:pPr>
        <w:jc w:val="both"/>
        <w:ind w:left="900" w:right="60" w:hanging="515"/>
        <w:spacing w:after="0" w:line="243" w:lineRule="auto"/>
        <w:tabs>
          <w:tab w:leader="none" w:pos="9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On October 1, 2021, the Company combined its historical Equipment Rental Component I and Equipment Rental Component II reporting units into one reporting unit, Equipment Rentals. This was driven by the strategic shift in the Company's business that led to discontinued operations presentation. The historical reporting units are mentioned in the below historical goodwill valuation disclosures.</w:t>
      </w:r>
    </w:p>
    <w:p>
      <w:pPr>
        <w:spacing w:after="0" w:line="159"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During 2022, we performed, as of October 1, our annual impairment testing date, a Step 0 qualitative assessment and determined that it was more likely than not that the fair value of each of our reporting units containing goodwill was not less than its carrying value and, therefore, did not perform the prescribed quantitative Step 1 goodwill impairment test. We considered various factors in performing the qualitative test, including macroeconomic conditions, industry and market considerations, the overall financial performance of our reporting units, the Company’s stock price and the excess amount between our reporting unit’s fair value and carrying value as indicated on our most recent quantitative assessment.</w:t>
      </w:r>
    </w:p>
    <w:p>
      <w:pPr>
        <w:spacing w:after="0" w:line="148"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auto"/>
        </w:rPr>
        <w:t>As of October 1, 2021, our annual impairment test date, we performed a Step 1 quantitative assessment of goodwill impairment for all reporting units containing goodwill. For these reporting units, we compared the carrying values of each reporting unit, inclusive of goodwill and definite-lived intangible assets, to its fair value. We estimated the fair value of these reporting units by weighting results from the income approach and the market approach, as further described below. Based on this quantitative test, we determined that our Equipment Rentals, Used Equipment Sales and Parts Sales reporting units were not impaired as of the October 1, 2021 annual impairment testing date as their respective fair values exceeded their respective carrying values by approximately 50%, 98% and 9%, respectively. Based on the excess of fair values over the carrying values, a sensitivity analysis completed on the assumptions utilized would not result in a varying conclusion of the goodwill quantitative assessment.</w:t>
      </w:r>
    </w:p>
    <w:p>
      <w:pPr>
        <w:spacing w:after="0" w:line="140" w:lineRule="exact"/>
        <w:rPr>
          <w:sz w:val="20"/>
          <w:szCs w:val="20"/>
          <w:color w:val="auto"/>
        </w:rPr>
      </w:pPr>
    </w:p>
    <w:p>
      <w:pPr>
        <w:ind w:right="160" w:firstLine="374"/>
        <w:spacing w:after="0" w:line="256" w:lineRule="auto"/>
        <w:rPr>
          <w:sz w:val="20"/>
          <w:szCs w:val="20"/>
          <w:color w:val="auto"/>
        </w:rPr>
      </w:pPr>
      <w:r>
        <w:rPr>
          <w:rFonts w:ascii="Arial" w:cs="Arial" w:eastAsia="Arial" w:hAnsi="Arial"/>
          <w:sz w:val="18"/>
          <w:szCs w:val="18"/>
          <w:color w:val="auto"/>
        </w:rPr>
        <w:t>We additionally performed a Step 1 quantitative assessment of goodwill impairment as of October 1, 2020, our annual impairment test date, for all reporting units containing goodwill. For these reporting units, we compared the carrying values of each reporting unit, inclusive of goodwill and definite-lived intangible assets, to its fair value. We estimated the fair value of these reporting units by weighting results from the income approach and the market approach, as further described below. Based on this quantitative test, we determined that our Equipment Rental Component 1, Used Equipment Sales and Parts Sales reporting units were not impaired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1" w:name="page32"/>
    <w:bookmarkEnd w:id="31"/>
    <w:p>
      <w:pPr>
        <w:jc w:val="both"/>
        <w:ind w:right="240"/>
        <w:spacing w:after="0" w:line="263" w:lineRule="auto"/>
        <w:rPr>
          <w:sz w:val="20"/>
          <w:szCs w:val="20"/>
          <w:color w:val="auto"/>
        </w:rPr>
      </w:pPr>
      <w:r>
        <w:rPr>
          <w:rFonts w:ascii="Arial" w:cs="Arial" w:eastAsia="Arial" w:hAnsi="Arial"/>
          <w:sz w:val="18"/>
          <w:szCs w:val="18"/>
          <w:color w:val="auto"/>
        </w:rPr>
        <w:t>as of the October 1, 2020 annual impairment testing date as their respective fair values exceeded their respective carrying values by approximately 44%, 90% and 33%, respectively. Based on the excessive fair values, a sensitivity analysis completed on the assumptions utilized would not result in a varying conclusion of the goodwill quantitative assessment.</w:t>
      </w:r>
    </w:p>
    <w:p>
      <w:pPr>
        <w:spacing w:after="0" w:line="156"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Based on our evaluation of the impact to our business in the first quarter of 2020 from the COVID-19 pandemic, we identified triggering events requiring an interim impairment test as of March 31, 2020. These triggering events included a deterioration in macroeconomic conditions, declines in business volume in our industry, a decline in our actual revenue and earnings compared with our planned revenue and earnings, and a sustained decrease in our stock price. For the interim impairment test as of March 31, 2020, we determined that our Equipment Rental Component 2 reporting unit had a fair value less than its carrying value, resulting in a $55.7 million impairment charge. The impairment was largely due to Equipment Rental Component 2’s forecasted declines in 2020 rental revenues, which was driven by the decrease in equipment rental demand that began in March 2020 as COVID-19’s impact became more widespread across our geographic footprint, combined with our revenue growth rate and cash flow assumptions as of March 31, 2020, for the remaining forecast period under the income approach, and the decline in the fair value of Equipment Rental Component 2 based on the market approach from declining business enterprise values of comparable companies in our industry, resulting in a decrease in revenue and EBITDA multiples of those companies. The impairment charge is a non-cash item and does not affect our cash flows, liquidity or borrowing capacity under the senior credit facility, and the charge is excluded from our financial results in evaluating our financial covenant under the Credit Facility.</w:t>
      </w:r>
    </w:p>
    <w:p>
      <w:pPr>
        <w:spacing w:after="0" w:line="128"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For purposes of performing the quantitative impairment tests described above, we estimate the fair value of our reporting units by utilizing fair value techniques consistent with the income approach and market approach. When performing the income approach for each reporting unit, we use a discounted cash flow analysis based on our internal projected results of operations, weighted average cost of capital (“WACC”) and terminal value assumptions. Our cash flow projections are based on ten-year financial forecasts developed by management that include revenue projections, capital spending trends, and investment in working capital to support anticipated revenue growth. The WACC is an estimate of the overall after-tax rate of return required by equity and debt holders of a business enterprise and represents the expected cost of new capital likely to be used by market participants. The WACC is used to discount our combined future cash flows. The inputs and variables used in determining the fair value of a reporting unit require management to make certain assumptions regarding the impact of operating and macroeconomic changes, as well as estimates of future cash flows. Our estimates regarding future cash flows are based on historical experience and projections of future operating performance, including revenues, margins and operating expenses. We also make certain forecasts about future economic conditions, interest rates and other market data. Many of the factors used in assessing fair value are outside the control of management, and these assumptions and estimates may change in future periods. Changes in assumptions or estimates could materially affect the estimate of a reporting unit’s fair value, and therefore could affect the likelihood and amount of potential impairment. Under the market approach, we compare the reporting units to selected reasonably similar (or “guideline”) publicly-traded companies. Under this method, valuation multiples are: (i) derived from the operating data of selected guideline companies; (ii) evaluated and adjusted based on the strengths and weaknesses of our reporting unit relative to the selected guideline companies; and (iii) applied to the operating data of our reporting unit to arrive at an indication of value. The application of the market approach results in an estimate of the price reasonably expected to be realized from the sale of the reporting unit.</w:t>
      </w:r>
    </w:p>
    <w:p>
      <w:pPr>
        <w:spacing w:after="0" w:line="131"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i w:val="1"/>
          <w:iCs w:val="1"/>
          <w:color w:val="auto"/>
        </w:rPr>
        <w:t xml:space="preserve">Impairment of Long-lived Assets (Excluding Goodwill). </w:t>
      </w:r>
      <w:r>
        <w:rPr>
          <w:rFonts w:ascii="Arial" w:cs="Arial" w:eastAsia="Arial" w:hAnsi="Arial"/>
          <w:sz w:val="16"/>
          <w:szCs w:val="16"/>
          <w:color w:val="auto"/>
        </w:rPr>
        <w:t>Our long-lived assets principally consist of rental equipment and property and equipment. We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our long-lived assets for impairment whenever events or changes in circumstances indicate that the carrying amount of an asset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asset to its estimated fair value. The determination of future cash flows as well as the estimated fair value of long-lived and intangible assets involves significant estimates and judgment on the part of management. Our estimates and assumptions may prove to be inaccurate due to factors such as changes in economic conditions, changes in our business prospects or other changing circumstances.</w:t>
      </w:r>
    </w:p>
    <w:p>
      <w:pPr>
        <w:spacing w:after="0" w:line="137"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color w:val="auto"/>
        </w:rPr>
        <w:t>In support of our review for indicators of impairment, we perform a review of our long-lived assets at the branch level relative to branch performance and conclude whether indicators of impairment exist associated with our long-lived assets, including our rental and non-rental equipment and right-of-use assets. Based on our most recently completed quarterly reviews, there were no indications of impairment associated with our long-lived assets (excluding goodwill). There were no changes to assumption methodologies during the current or prior period.</w:t>
      </w:r>
    </w:p>
    <w:p>
      <w:pPr>
        <w:spacing w:after="0" w:line="129" w:lineRule="exact"/>
        <w:rPr>
          <w:sz w:val="20"/>
          <w:szCs w:val="20"/>
          <w:color w:val="auto"/>
        </w:rPr>
      </w:pPr>
    </w:p>
    <w:p>
      <w:pPr>
        <w:ind w:right="200" w:firstLine="374"/>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 files a consolidated federal income tax return with its wholly-owned subsidiaries. The Company is a C-Corporation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provisions of the Internal Revenue Code. We utilize the asset and liability approach to measure deferred tax assets and liabilities based on temporary differences existing at each balance sheet date using currently enacted tax rates.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 is recognized as income or expense in the period that includes the enactment date of that tax rate.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2" w:name="page33"/>
    <w:bookmarkEnd w:id="32"/>
    <w:p>
      <w:pPr>
        <w:ind w:right="120" w:firstLine="374"/>
        <w:spacing w:after="0" w:line="259" w:lineRule="auto"/>
        <w:rPr>
          <w:sz w:val="20"/>
          <w:szCs w:val="20"/>
          <w:color w:val="auto"/>
        </w:rPr>
      </w:pPr>
      <w:r>
        <w:rPr>
          <w:rFonts w:ascii="Arial" w:cs="Arial" w:eastAsia="Arial" w:hAnsi="Arial"/>
          <w:sz w:val="18"/>
          <w:szCs w:val="18"/>
          <w:color w:val="auto"/>
        </w:rPr>
        <w:t>The Company recognizes the effect of an income tax position only if it is more likely than not (a likelihood of greater than 50%) that such position will be sustained. Recognized income tax positions are measured at the largest amount that is greater than 50% likely of being realized. Changes in recognition or measurement are reflected in the period in which the change in judgment occurs. The Company recognizes both interest and penalties related to uncertain tax positions in net other income (expense).</w:t>
      </w:r>
    </w:p>
    <w:p>
      <w:pPr>
        <w:spacing w:after="0" w:line="158" w:lineRule="exact"/>
        <w:rPr>
          <w:sz w:val="20"/>
          <w:szCs w:val="20"/>
          <w:color w:val="auto"/>
        </w:rPr>
      </w:pPr>
    </w:p>
    <w:p>
      <w:pPr>
        <w:ind w:right="380" w:firstLine="374"/>
        <w:spacing w:after="0" w:line="286" w:lineRule="auto"/>
        <w:rPr>
          <w:sz w:val="20"/>
          <w:szCs w:val="20"/>
          <w:color w:val="auto"/>
        </w:rPr>
      </w:pPr>
      <w:r>
        <w:rPr>
          <w:rFonts w:ascii="Arial" w:cs="Arial" w:eastAsia="Arial" w:hAnsi="Arial"/>
          <w:sz w:val="17"/>
          <w:szCs w:val="17"/>
          <w:color w:val="auto"/>
        </w:rPr>
        <w:t>Our deferred tax calculation requires management to make certain estimates about future operations. Deferred tax assets are reduced by a valuation allowance when, in the opinion of management, it is more likely than not that some portion or all of the deferred tax assets will not be realized. These estimates involve judgement. There has been no change to the assumption methodology during the current or prior period.</w:t>
      </w:r>
    </w:p>
    <w:p>
      <w:pPr>
        <w:spacing w:after="0" w:line="124"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Our U.S. federal tax returns for 2019 and subsequent years remain subject to examination by tax authorities. We are also subject to examination in various state jurisdictions for 2018 and subsequent years.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380" w:firstLine="374"/>
        <w:spacing w:after="0" w:line="286" w:lineRule="auto"/>
        <w:rPr>
          <w:sz w:val="20"/>
          <w:szCs w:val="20"/>
          <w:color w:val="auto"/>
        </w:rPr>
      </w:pPr>
      <w:r>
        <w:rPr>
          <w:rFonts w:ascii="Arial" w:cs="Arial" w:eastAsia="Arial" w:hAnsi="Arial"/>
          <w:sz w:val="17"/>
          <w:szCs w:val="17"/>
          <w:color w:val="auto"/>
        </w:rPr>
        <w:t>The tables included in the period-to-period comparisons below provide summaries of our revenues and gross profits for our business segments and non-segmented revenues for the years ended December 31, 2022 and 2021. The period-to-period comparisons of our financial results are not necessarily indicative of future results. All financial results and metrics discussed below are on a continuing operations basis.</w:t>
      </w:r>
    </w:p>
    <w:p>
      <w:pPr>
        <w:spacing w:after="0" w:line="83"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As discussed further in Note 2 and Note 3 to our Consolidated Financial Statements, on October 1, 2021, the Company sold its crane business. The results of operations of the Crane Sale are reported in discontinued operations in the Consolidated Statements of Operations for all periods presented. The Consolidated Statements of Cash Flows includes cash flows related to the discontinued operations and accordingly, cash flow amounts for discontinued operations are disclosed in Note 3 “Acquisitions and Dispositions”.</w:t>
      </w:r>
    </w:p>
    <w:p>
      <w:pPr>
        <w:spacing w:after="0" w:line="118" w:lineRule="exact"/>
        <w:rPr>
          <w:sz w:val="20"/>
          <w:szCs w:val="20"/>
          <w:color w:val="auto"/>
        </w:rPr>
      </w:pPr>
    </w:p>
    <w:p>
      <w:pPr>
        <w:ind w:right="300" w:firstLine="37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prior year discussion for the years ended December 31, 2021 and 2020 can be found </w:t>
      </w:r>
      <w:hyperlink r:id="rId60">
        <w:r>
          <w:rPr>
            <w:rFonts w:ascii="Arial" w:cs="Arial" w:eastAsia="Arial" w:hAnsi="Arial"/>
            <w:sz w:val="18"/>
            <w:szCs w:val="18"/>
            <w:u w:val="single" w:color="auto"/>
            <w:color w:val="0000FF"/>
          </w:rPr>
          <w:t>here</w:t>
        </w:r>
      </w:hyperlink>
      <w:r>
        <w:rPr>
          <w:rFonts w:ascii="Arial" w:cs="Arial" w:eastAsia="Arial" w:hAnsi="Arial"/>
          <w:sz w:val="18"/>
          <w:szCs w:val="18"/>
          <w:color w:val="auto"/>
        </w:rPr>
        <w:t>, in Item 7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-182245</wp:posOffset>
            </wp:positionV>
            <wp:extent cx="196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9621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the Year Ended December 31, 2021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Total Dollar</w:t>
            </w:r>
          </w:p>
        </w:tc>
        <w:tc>
          <w:tcPr>
            <w:tcW w:w="14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 Percentage</w:t>
            </w: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Increase</w:t>
            </w:r>
          </w:p>
        </w:tc>
        <w:tc>
          <w:tcPr>
            <w:tcW w:w="14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80" w:type="dxa"/>
            <w:vAlign w:val="bottom"/>
          </w:tcPr>
          <w:p>
            <w:pPr>
              <w:ind w:left="420"/>
              <w:spacing w:after="0"/>
              <w:rPr>
                <w:sz w:val="20"/>
                <w:szCs w:val="20"/>
                <w:color w:val="auto"/>
              </w:rPr>
            </w:pPr>
            <w:r>
              <w:rPr>
                <w:rFonts w:ascii="Arial" w:cs="Arial" w:eastAsia="Arial" w:hAnsi="Arial"/>
                <w:sz w:val="18"/>
                <w:szCs w:val="18"/>
                <w:color w:val="auto"/>
              </w:rPr>
              <w:t>Rentals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847,555</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653,004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194,551</w:t>
            </w:r>
          </w:p>
        </w:tc>
        <w:tc>
          <w:tcPr>
            <w:tcW w:w="18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56"/>
        </w:trPr>
        <w:tc>
          <w:tcPr>
            <w:tcW w:w="5980" w:type="dxa"/>
            <w:vAlign w:val="bottom"/>
          </w:tcPr>
          <w:p>
            <w:pPr>
              <w:ind w:left="420"/>
              <w:spacing w:after="0"/>
              <w:rPr>
                <w:sz w:val="20"/>
                <w:szCs w:val="20"/>
                <w:color w:val="auto"/>
              </w:rPr>
            </w:pPr>
            <w:r>
              <w:rPr>
                <w:rFonts w:ascii="Arial" w:cs="Arial" w:eastAsia="Arial" w:hAnsi="Arial"/>
                <w:sz w:val="18"/>
                <w:szCs w:val="18"/>
                <w:color w:val="auto"/>
              </w:rPr>
              <w:t>Rentals other</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108,487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76,696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31,791</w:t>
            </w:r>
          </w:p>
        </w:tc>
        <w:tc>
          <w:tcPr>
            <w:tcW w:w="180" w:type="dxa"/>
            <w:vAlign w:val="bottom"/>
          </w:tcPr>
          <w:p>
            <w:pPr>
              <w:spacing w:after="0"/>
              <w:rPr>
                <w:sz w:val="22"/>
                <w:szCs w:val="22"/>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24"/>
        </w:trPr>
        <w:tc>
          <w:tcPr>
            <w:tcW w:w="5980" w:type="dxa"/>
            <w:vAlign w:val="bottom"/>
          </w:tcPr>
          <w:p>
            <w:pPr>
              <w:ind w:left="640"/>
              <w:spacing w:after="0"/>
              <w:rPr>
                <w:sz w:val="20"/>
                <w:szCs w:val="20"/>
                <w:color w:val="auto"/>
              </w:rPr>
            </w:pPr>
            <w:r>
              <w:rPr>
                <w:rFonts w:ascii="Arial" w:cs="Arial" w:eastAsia="Arial" w:hAnsi="Arial"/>
                <w:sz w:val="18"/>
                <w:szCs w:val="18"/>
                <w:color w:val="auto"/>
              </w:rPr>
              <w:t>Total equipment rentals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956,042</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729,700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226,342</w:t>
            </w:r>
          </w:p>
        </w:tc>
        <w:tc>
          <w:tcPr>
            <w:tcW w:w="1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9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90,885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135,245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(44,360 )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92,526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92,677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64,646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(977 )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34,226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33,034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w:t>
            </w:r>
          </w:p>
        </w:tc>
        <w:tc>
          <w:tcPr>
            <w:tcW w:w="18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6"/>
        </w:trPr>
        <w:tc>
          <w:tcPr>
            <w:tcW w:w="5980" w:type="dxa"/>
            <w:vAlign w:val="bottom"/>
          </w:tcPr>
          <w:p>
            <w:pPr>
              <w:ind w:left="20"/>
              <w:spacing w:after="0"/>
              <w:rPr>
                <w:sz w:val="20"/>
                <w:szCs w:val="20"/>
                <w:color w:val="auto"/>
              </w:rPr>
            </w:pPr>
            <w:r>
              <w:rPr>
                <w:rFonts w:ascii="Arial" w:cs="Arial" w:eastAsia="Arial" w:hAnsi="Arial"/>
                <w:sz w:val="18"/>
                <w:szCs w:val="18"/>
                <w:color w:val="auto"/>
              </w:rPr>
              <w:t>Non-Segmented other revenues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6"/>
        </w:trPr>
        <w:tc>
          <w:tcPr>
            <w:tcW w:w="59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1,244,518</w:t>
            </w: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1,062,797</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181,721</w:t>
            </w:r>
          </w:p>
        </w:tc>
        <w:tc>
          <w:tcPr>
            <w:tcW w:w="1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2" w:lineRule="exact"/>
        <w:rPr>
          <w:sz w:val="20"/>
          <w:szCs w:val="20"/>
          <w:color w:val="auto"/>
        </w:rPr>
      </w:pPr>
    </w:p>
    <w:p>
      <w:pPr>
        <w:ind w:right="180" w:firstLine="374"/>
        <w:spacing w:after="0" w:line="341"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Our total revenues were $1.2 billion for the year ended December 31, 2022 compared to $1.1 billion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an increase of $181.7 million, or 17.1%. Revenues of all reportable segments and non-segmented other revenues are further discussed below.</w:t>
      </w:r>
    </w:p>
    <w:p>
      <w:pPr>
        <w:spacing w:after="0" w:line="84" w:lineRule="exact"/>
        <w:rPr>
          <w:sz w:val="20"/>
          <w:szCs w:val="20"/>
          <w:color w:val="auto"/>
        </w:rPr>
      </w:pPr>
    </w:p>
    <w:p>
      <w:pPr>
        <w:ind w:right="200" w:firstLine="374"/>
        <w:spacing w:after="0" w:line="286" w:lineRule="auto"/>
        <w:rPr>
          <w:sz w:val="20"/>
          <w:szCs w:val="20"/>
          <w:color w:val="auto"/>
        </w:rPr>
      </w:pPr>
      <w:r>
        <w:rPr>
          <w:rFonts w:ascii="Arial" w:cs="Arial" w:eastAsia="Arial" w:hAnsi="Arial"/>
          <w:sz w:val="17"/>
          <w:szCs w:val="17"/>
          <w:i w:val="1"/>
          <w:iCs w:val="1"/>
          <w:color w:val="auto"/>
        </w:rPr>
        <w:t xml:space="preserve">Equipment Rental Revenues. </w:t>
      </w:r>
      <w:r>
        <w:rPr>
          <w:rFonts w:ascii="Arial" w:cs="Arial" w:eastAsia="Arial" w:hAnsi="Arial"/>
          <w:sz w:val="17"/>
          <w:szCs w:val="17"/>
          <w:color w:val="auto"/>
        </w:rPr>
        <w:t>Our total revenues from equipment rentals for the year ended December 31, 2022 increased $226.3 million, or 31.0%, to</w:t>
      </w:r>
      <w:r>
        <w:rPr>
          <w:rFonts w:ascii="Arial" w:cs="Arial" w:eastAsia="Arial" w:hAnsi="Arial"/>
          <w:sz w:val="17"/>
          <w:szCs w:val="17"/>
          <w:i w:val="1"/>
          <w:iCs w:val="1"/>
          <w:color w:val="auto"/>
        </w:rPr>
        <w:t xml:space="preserve"> </w:t>
      </w:r>
      <w:r>
        <w:rPr>
          <w:rFonts w:ascii="Arial" w:cs="Arial" w:eastAsia="Arial" w:hAnsi="Arial"/>
          <w:sz w:val="17"/>
          <w:szCs w:val="17"/>
          <w:color w:val="auto"/>
        </w:rPr>
        <w:t>$956.0 million from $729.7 million in 2021. The increase in equipment rental revenues was primarily due to our larger fleet, increased rental rates and increased demand as compared to the prior year. See Rentals and Rentals Other below for additional information.</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Rentals: </w:t>
      </w:r>
      <w:r>
        <w:rPr>
          <w:rFonts w:ascii="Arial" w:cs="Arial" w:eastAsia="Arial" w:hAnsi="Arial"/>
          <w:sz w:val="16"/>
          <w:szCs w:val="16"/>
          <w:color w:val="auto"/>
        </w:rPr>
        <w:t>Rental revenues increased $194.6 million, or 29.8%, to $847.6 million for the year ended December 31, 2022 compared to $653.0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2021. Rental revenues from earthmoving equipment increased $62.5 million, material handling rental revenues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$55.4 million, aerial work platform rental revenues increased $43.8 million and rental revenues from other equipment increased $32.9 million as compared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prior period. Our average rental rates, based on the</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33" w:name="page34"/>
    <w:bookmarkEnd w:id="33"/>
    <w:p>
      <w:pPr>
        <w:ind w:right="160"/>
        <w:spacing w:after="0" w:line="273" w:lineRule="auto"/>
        <w:rPr>
          <w:sz w:val="20"/>
          <w:szCs w:val="20"/>
          <w:color w:val="auto"/>
        </w:rPr>
      </w:pPr>
      <w:r>
        <w:rPr>
          <w:rFonts w:ascii="Arial" w:cs="Arial" w:eastAsia="Arial" w:hAnsi="Arial"/>
          <w:sz w:val="17"/>
          <w:szCs w:val="17"/>
          <w:color w:val="auto"/>
        </w:rPr>
        <w:t>American Rental Association’s calculation methodology, for the year ended December 31, 2022 increased 9.2% compared to the year ended December 31, 2021. Rental equipment dollar utilization (annual rental revenues divided by the average original rental fleet equipment costs) for the year ended December 31, 2022 increased 4.1% to 40.9% from 36.8% in 2021. The increase in comparative rental equipment dollar utilization was primarily the result of an increase in rental equipment time utilization and the increase in equipment rental rates as noted above. Rental equipment time utilization as a percentage of original equipment cost was approximately 72.3% for the year ended December 31, 2022 compared to 69.7% in the year ended December 31, 2021, an increase of 2.6%, largely attributable to the increase in demand in the current year.</w:t>
      </w:r>
    </w:p>
    <w:p>
      <w:pPr>
        <w:spacing w:after="0" w:line="149" w:lineRule="exact"/>
        <w:rPr>
          <w:sz w:val="20"/>
          <w:szCs w:val="20"/>
          <w:color w:val="auto"/>
        </w:rPr>
      </w:pPr>
    </w:p>
    <w:p>
      <w:pPr>
        <w:jc w:val="both"/>
        <w:ind w:right="360" w:firstLine="374"/>
        <w:spacing w:after="0" w:line="259" w:lineRule="auto"/>
        <w:rPr>
          <w:sz w:val="20"/>
          <w:szCs w:val="20"/>
          <w:color w:val="auto"/>
        </w:rPr>
      </w:pPr>
      <w:r>
        <w:rPr>
          <w:rFonts w:ascii="Arial" w:cs="Arial" w:eastAsia="Arial" w:hAnsi="Arial"/>
          <w:sz w:val="18"/>
          <w:szCs w:val="18"/>
          <w:i w:val="1"/>
          <w:iCs w:val="1"/>
          <w:color w:val="auto"/>
        </w:rPr>
        <w:t xml:space="preserve">Rentals Other: </w:t>
      </w:r>
      <w:r>
        <w:rPr>
          <w:rFonts w:ascii="Arial" w:cs="Arial" w:eastAsia="Arial" w:hAnsi="Arial"/>
          <w:sz w:val="18"/>
          <w:szCs w:val="18"/>
          <w:color w:val="auto"/>
        </w:rPr>
        <w:t>Our rentals other revenues consist primarily of equipment support activities that we provide to customers in connection with renting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such as hauling charges, damage waiver policies, environmental and other recovery fees. Rental other revenues for the year ended December 31, 2022 were $108.5 million compared to $76.7 million for the year ended December 31, 2021, an increase of $31.8 million, or 41.5%, primarily due to the increase in equipment rental revenues as described above.</w:t>
      </w:r>
    </w:p>
    <w:p>
      <w:pPr>
        <w:spacing w:after="0" w:line="145"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i w:val="1"/>
          <w:iCs w:val="1"/>
          <w:color w:val="auto"/>
        </w:rPr>
        <w:t xml:space="preserve">Used Equipment Sales Revenues. </w:t>
      </w:r>
      <w:r>
        <w:rPr>
          <w:rFonts w:ascii="Arial" w:cs="Arial" w:eastAsia="Arial" w:hAnsi="Arial"/>
          <w:sz w:val="18"/>
          <w:szCs w:val="18"/>
          <w:color w:val="auto"/>
        </w:rPr>
        <w:t>Our used equipment sales for the year ended December 31, 2022 decreased $44.4 million, or 32.8%, to $90.9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$135.2 million in 2021. This decrease is reflective of the increased rental demand and our decision to capitalize on high equipment utilization during the year. Sales of used material handling equipment, aerial work platform equipment and earthmoving equipment decreased $25.0 million, $10.3 million and $8.1 million, respectively.</w:t>
      </w:r>
    </w:p>
    <w:p>
      <w:pPr>
        <w:spacing w:after="0" w:line="145" w:lineRule="exact"/>
        <w:rPr>
          <w:sz w:val="20"/>
          <w:szCs w:val="20"/>
          <w:color w:val="auto"/>
        </w:rPr>
      </w:pPr>
    </w:p>
    <w:p>
      <w:pPr>
        <w:ind w:right="320" w:firstLine="374"/>
        <w:spacing w:after="0" w:line="259" w:lineRule="auto"/>
        <w:rPr>
          <w:sz w:val="20"/>
          <w:szCs w:val="20"/>
          <w:color w:val="auto"/>
        </w:rPr>
      </w:pPr>
      <w:r>
        <w:rPr>
          <w:rFonts w:ascii="Arial" w:cs="Arial" w:eastAsia="Arial" w:hAnsi="Arial"/>
          <w:sz w:val="18"/>
          <w:szCs w:val="18"/>
          <w:i w:val="1"/>
          <w:iCs w:val="1"/>
          <w:color w:val="auto"/>
        </w:rPr>
        <w:t xml:space="preserve">New Equipment Sales Revenues. </w:t>
      </w:r>
      <w:r>
        <w:rPr>
          <w:rFonts w:ascii="Arial" w:cs="Arial" w:eastAsia="Arial" w:hAnsi="Arial"/>
          <w:sz w:val="18"/>
          <w:szCs w:val="18"/>
          <w:color w:val="auto"/>
        </w:rPr>
        <w:t>Our new equipment sales decreased $0.2 million, or 0.2%, to $92.5 million for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$92.7 million for the same period in 2021. This decrease in new equipment sales was driven largely by the decrease in sales of new aerial work platform equipment of $3.0 million. Partially offsetting these decreases was the increase in sales of new other equipment and new material handling equipment of $2.5 million and $0.7 million, respectively.</w:t>
      </w:r>
    </w:p>
    <w:p>
      <w:pPr>
        <w:spacing w:after="0" w:line="158" w:lineRule="exact"/>
        <w:rPr>
          <w:sz w:val="20"/>
          <w:szCs w:val="20"/>
          <w:color w:val="auto"/>
        </w:rPr>
      </w:pPr>
    </w:p>
    <w:p>
      <w:pPr>
        <w:ind w:right="360" w:firstLine="374"/>
        <w:spacing w:after="0" w:line="341" w:lineRule="auto"/>
        <w:rPr>
          <w:sz w:val="20"/>
          <w:szCs w:val="20"/>
          <w:color w:val="auto"/>
        </w:rPr>
      </w:pPr>
      <w:r>
        <w:rPr>
          <w:rFonts w:ascii="Arial" w:cs="Arial" w:eastAsia="Arial" w:hAnsi="Arial"/>
          <w:sz w:val="16"/>
          <w:szCs w:val="16"/>
          <w:i w:val="1"/>
          <w:iCs w:val="1"/>
          <w:color w:val="auto"/>
        </w:rPr>
        <w:t xml:space="preserve">Parts Sales Revenues. </w:t>
      </w:r>
      <w:r>
        <w:rPr>
          <w:rFonts w:ascii="Arial" w:cs="Arial" w:eastAsia="Arial" w:hAnsi="Arial"/>
          <w:sz w:val="16"/>
          <w:szCs w:val="16"/>
          <w:color w:val="auto"/>
        </w:rPr>
        <w:t>Our parts sales revenues decreased $1.0 million, or 1.5%, to $64.6 million for the year ended December 31, 2022 from $65.6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2021. The decrease in parts sales was largely attributable to decreases in parts sales for our earthmoving equipment.</w:t>
      </w:r>
    </w:p>
    <w:p>
      <w:pPr>
        <w:spacing w:after="0" w:line="84"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i w:val="1"/>
          <w:iCs w:val="1"/>
          <w:color w:val="auto"/>
        </w:rPr>
        <w:t xml:space="preserve">Services Revenues. </w:t>
      </w:r>
      <w:r>
        <w:rPr>
          <w:rFonts w:ascii="Arial" w:cs="Arial" w:eastAsia="Arial" w:hAnsi="Arial"/>
          <w:sz w:val="18"/>
          <w:szCs w:val="18"/>
          <w:color w:val="auto"/>
        </w:rPr>
        <w:t>Our services revenues for the year ended December 31, 2022 increased $1.2 million, or 3.6%, to $34.2 million from $33.0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last year. The increase in services revenues was largely attributable to increases in our material handling and earthmoving equipment product lines.</w:t>
      </w:r>
    </w:p>
    <w:p>
      <w:pPr>
        <w:spacing w:after="0" w:line="142"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i w:val="1"/>
          <w:iCs w:val="1"/>
          <w:color w:val="auto"/>
        </w:rPr>
        <w:t xml:space="preserve">Non-Segmented Other Revenues. </w:t>
      </w:r>
      <w:r>
        <w:rPr>
          <w:rFonts w:ascii="Arial" w:cs="Arial" w:eastAsia="Arial" w:hAnsi="Arial"/>
          <w:sz w:val="17"/>
          <w:szCs w:val="17"/>
          <w:color w:val="auto"/>
        </w:rPr>
        <w:t>Our non-segmented other revenues relate to equipment support activities that we provide to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used and new equipment sales and parts and services revenues and are generally not allocated to our reportable segments. For the year ended December 31, 2022, our other revenues were $6.2 million, a decrease of approximately $0.3 million, or 5.0%, from $6.5 million in 2021.</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Gross Profit.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Total Dollar</w:t>
            </w:r>
          </w:p>
        </w:tc>
        <w:tc>
          <w:tcPr>
            <w:tcW w:w="14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 Percentage</w:t>
            </w: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Increase (Decrease)</w:t>
            </w:r>
          </w:p>
        </w:tc>
        <w:tc>
          <w:tcPr>
            <w:tcW w:w="2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(Decrease)</w:t>
            </w:r>
          </w:p>
        </w:tc>
        <w:tc>
          <w:tcPr>
            <w:tcW w:w="1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(in thousands,</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except percentages)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Gross Profit (loss):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80" w:type="dxa"/>
            <w:vAlign w:val="bottom"/>
          </w:tcPr>
          <w:p>
            <w:pPr>
              <w:ind w:left="200"/>
              <w:spacing w:after="0"/>
              <w:rPr>
                <w:sz w:val="20"/>
                <w:szCs w:val="20"/>
                <w:color w:val="auto"/>
              </w:rPr>
            </w:pPr>
            <w:r>
              <w:rPr>
                <w:rFonts w:ascii="Arial" w:cs="Arial" w:eastAsia="Arial" w:hAnsi="Arial"/>
                <w:sz w:val="18"/>
                <w:szCs w:val="18"/>
                <w:color w:val="auto"/>
              </w:rPr>
              <w:t>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451,310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315,867</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135,443</w:t>
            </w:r>
          </w:p>
        </w:tc>
        <w:tc>
          <w:tcPr>
            <w:tcW w:w="18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56"/>
        </w:trPr>
        <w:tc>
          <w:tcPr>
            <w:tcW w:w="5980" w:type="dxa"/>
            <w:vAlign w:val="bottom"/>
          </w:tcPr>
          <w:p>
            <w:pPr>
              <w:ind w:left="200"/>
              <w:spacing w:after="0"/>
              <w:rPr>
                <w:sz w:val="20"/>
                <w:szCs w:val="20"/>
                <w:color w:val="auto"/>
              </w:rPr>
            </w:pPr>
            <w:r>
              <w:rPr>
                <w:rFonts w:ascii="Arial" w:cs="Arial" w:eastAsia="Arial" w:hAnsi="Arial"/>
                <w:sz w:val="18"/>
                <w:szCs w:val="18"/>
                <w:color w:val="auto"/>
              </w:rPr>
              <w:t>Rentals other</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9,171</w:t>
            </w:r>
          </w:p>
        </w:tc>
        <w:tc>
          <w:tcPr>
            <w:tcW w:w="180" w:type="dxa"/>
            <w:vAlign w:val="bottom"/>
          </w:tcPr>
          <w:p>
            <w:pPr>
              <w:spacing w:after="0"/>
              <w:rPr>
                <w:sz w:val="22"/>
                <w:szCs w:val="22"/>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3853.4 %</w:t>
            </w:r>
          </w:p>
        </w:tc>
        <w:tc>
          <w:tcPr>
            <w:tcW w:w="0" w:type="dxa"/>
            <w:vAlign w:val="bottom"/>
          </w:tcPr>
          <w:p>
            <w:pPr>
              <w:spacing w:after="0"/>
              <w:rPr>
                <w:sz w:val="1"/>
                <w:szCs w:val="1"/>
                <w:color w:val="auto"/>
              </w:rPr>
            </w:pPr>
          </w:p>
        </w:tc>
      </w:tr>
      <w:tr>
        <w:trPr>
          <w:trHeight w:val="224"/>
        </w:trPr>
        <w:tc>
          <w:tcPr>
            <w:tcW w:w="5980" w:type="dxa"/>
            <w:vAlign w:val="bottom"/>
          </w:tcPr>
          <w:p>
            <w:pPr>
              <w:ind w:left="200"/>
              <w:spacing w:after="0"/>
              <w:rPr>
                <w:sz w:val="20"/>
                <w:szCs w:val="20"/>
                <w:color w:val="auto"/>
              </w:rPr>
            </w:pPr>
            <w:r>
              <w:rPr>
                <w:rFonts w:ascii="Arial" w:cs="Arial" w:eastAsia="Arial" w:hAnsi="Arial"/>
                <w:sz w:val="18"/>
                <w:szCs w:val="18"/>
                <w:color w:val="auto"/>
              </w:rPr>
              <w:t>Total equipment rentals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460,243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315,629</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144,614</w:t>
            </w:r>
          </w:p>
        </w:tc>
        <w:tc>
          <w:tcPr>
            <w:tcW w:w="1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9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(4,606 )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17,277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59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21,797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56"/>
        </w:trPr>
        <w:tc>
          <w:tcPr>
            <w:tcW w:w="5980" w:type="dxa"/>
            <w:vAlign w:val="bottom"/>
          </w:tcPr>
          <w:p>
            <w:pPr>
              <w:ind w:left="200"/>
              <w:spacing w:after="0"/>
              <w:rPr>
                <w:sz w:val="20"/>
                <w:szCs w:val="20"/>
                <w:color w:val="auto"/>
              </w:rPr>
            </w:pPr>
            <w:r>
              <w:rPr>
                <w:rFonts w:ascii="Arial" w:cs="Arial" w:eastAsia="Arial" w:hAnsi="Arial"/>
                <w:sz w:val="18"/>
                <w:szCs w:val="18"/>
                <w:color w:val="auto"/>
              </w:rPr>
              <w:t>Non-segmented revenues gross loss</w:t>
            </w:r>
          </w:p>
        </w:tc>
        <w:tc>
          <w:tcPr>
            <w:tcW w:w="2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(2,525 )</w:t>
            </w:r>
          </w:p>
        </w:tc>
        <w:tc>
          <w:tcPr>
            <w:tcW w:w="140" w:type="dxa"/>
            <w:vAlign w:val="bottom"/>
          </w:tcPr>
          <w:p>
            <w:pPr>
              <w:spacing w:after="0"/>
              <w:rPr>
                <w:sz w:val="22"/>
                <w:szCs w:val="22"/>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(2,408 )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(2058.1 )%</w:t>
            </w:r>
          </w:p>
        </w:tc>
        <w:tc>
          <w:tcPr>
            <w:tcW w:w="0" w:type="dxa"/>
            <w:vAlign w:val="bottom"/>
          </w:tcPr>
          <w:p>
            <w:pPr>
              <w:spacing w:after="0"/>
              <w:rPr>
                <w:sz w:val="1"/>
                <w:szCs w:val="1"/>
                <w:color w:val="auto"/>
              </w:rPr>
            </w:pPr>
          </w:p>
        </w:tc>
      </w:tr>
      <w:tr>
        <w:trPr>
          <w:trHeight w:val="236"/>
        </w:trPr>
        <w:tc>
          <w:tcPr>
            <w:tcW w:w="5980" w:type="dxa"/>
            <w:vAlign w:val="bottom"/>
          </w:tcPr>
          <w:p>
            <w:pPr>
              <w:ind w:left="38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555,163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415,363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139,800</w:t>
            </w:r>
          </w:p>
        </w:tc>
        <w:tc>
          <w:tcPr>
            <w:tcW w:w="1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2"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i w:val="1"/>
          <w:iCs w:val="1"/>
          <w:color w:val="auto"/>
        </w:rPr>
        <w:t xml:space="preserve">Total Gross Profit. </w:t>
      </w:r>
      <w:r>
        <w:rPr>
          <w:rFonts w:ascii="Arial" w:cs="Arial" w:eastAsia="Arial" w:hAnsi="Arial"/>
          <w:sz w:val="18"/>
          <w:szCs w:val="18"/>
          <w:color w:val="auto"/>
        </w:rPr>
        <w:t>Our total gross profit was $555.2 million for the year ended December 31, 2022 compared to $415.4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an increase of $139.8 million, or 33.7%. Total gross profit margin for the year ended December 31, 2022 was approximately 44.6%, an increase of 5.5% from the 39.1% gross profit margin for the same period in 2021. Gross profit and gross margin for all reportable segments and non-segmented other are further described below.</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34" w:name="page35"/>
    <w:bookmarkEnd w:id="34"/>
    <w:p>
      <w:pPr>
        <w:ind w:right="180" w:firstLine="374"/>
        <w:spacing w:after="0" w:line="259" w:lineRule="auto"/>
        <w:rPr>
          <w:sz w:val="20"/>
          <w:szCs w:val="20"/>
          <w:color w:val="auto"/>
        </w:rPr>
      </w:pPr>
      <w:r>
        <w:rPr>
          <w:rFonts w:ascii="Arial" w:cs="Arial" w:eastAsia="Arial" w:hAnsi="Arial"/>
          <w:sz w:val="18"/>
          <w:szCs w:val="18"/>
          <w:i w:val="1"/>
          <w:iCs w:val="1"/>
          <w:color w:val="auto"/>
        </w:rPr>
        <w:t xml:space="preserve">Equipment Rentals Gross Profit. </w:t>
      </w:r>
      <w:r>
        <w:rPr>
          <w:rFonts w:ascii="Arial" w:cs="Arial" w:eastAsia="Arial" w:hAnsi="Arial"/>
          <w:sz w:val="18"/>
          <w:szCs w:val="18"/>
          <w:color w:val="auto"/>
        </w:rPr>
        <w:t>Our total gross profit from equipment rentals for the year ended December 31, 2022 increased $144.6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45.8%, to approximately $460.2 million from $315.6 million in 2021. Total gross profit margin from equipment rentals for the year ended December 31, 2022 was approximately 48.1% compared to 43.3% for the year ended December 31, 2021, an increase of 4.8%. See Rentals and Rentals Other below for additional information.</w:t>
      </w:r>
    </w:p>
    <w:p>
      <w:pPr>
        <w:spacing w:after="0" w:line="158"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i w:val="1"/>
          <w:iCs w:val="1"/>
          <w:color w:val="auto"/>
        </w:rPr>
        <w:t xml:space="preserve">Rentals: </w:t>
      </w:r>
      <w:r>
        <w:rPr>
          <w:rFonts w:ascii="Arial" w:cs="Arial" w:eastAsia="Arial" w:hAnsi="Arial"/>
          <w:sz w:val="18"/>
          <w:szCs w:val="18"/>
          <w:color w:val="auto"/>
        </w:rPr>
        <w:t>Rental revenue gross profit increased $135.4 million to $451.3 million for the year ended December 31, 2022 compared to $315.9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 The increase in rentals gross profit was the result of a $194.6 million increase in rental revenues for the year ended December 31, 2022 compared to last year, which was partially offset by a $39.6 million increase in rental equipment depreciation expense and a $19.5 million increase in rental expenses. The increase in both depreciation expense and rental expense is primarily due to a larger fleet size in 2022 compared to 2021. Gross profit margin on rentals for the year ended December 31, 2022 was approximately 53.2% compared to 48.4% in 2021, an increase of 4.8%. As a percentage of rental revenues, rental expenses were 15.2% and 16.7% for the years ended December 31, 2022 and 2021, respectively, a decrease of 1.5%. Depreciation expense was 31.5% of rental revenues for the year ended December 31, 2022 compared to 34.9% for the same period in 2021, a decrease of 3.4%.</w:t>
      </w:r>
    </w:p>
    <w:p>
      <w:pPr>
        <w:spacing w:after="0" w:line="156"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i w:val="1"/>
          <w:iCs w:val="1"/>
          <w:color w:val="auto"/>
        </w:rPr>
        <w:t xml:space="preserve">Rentals Other: </w:t>
      </w:r>
      <w:r>
        <w:rPr>
          <w:rFonts w:ascii="Arial" w:cs="Arial" w:eastAsia="Arial" w:hAnsi="Arial"/>
          <w:sz w:val="16"/>
          <w:szCs w:val="16"/>
          <w:color w:val="auto"/>
        </w:rPr>
        <w:t>Our rentals other revenue consists primarily of equipment support activities that we provide to customers in connection with renting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such as hauling charges, damage waiver policies, environmental and other recovery fees. Rental other revenues gross profit for the year ended December 31, 2022 was $8.9 million compared to a gross loss of $0.2 million for the year ended December 31, 2021, an increase of $9.2 million. Gross profit margin was 8.2% for the year ended December 31, 2022 compared to a gross loss margin of 0.3% for the same period last year, an increase of 8.5%.</w:t>
      </w:r>
    </w:p>
    <w:p>
      <w:pPr>
        <w:spacing w:after="0" w:line="115"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i w:val="1"/>
          <w:iCs w:val="1"/>
          <w:color w:val="auto"/>
        </w:rPr>
        <w:t xml:space="preserve">Used Equipment Sales Gross Profit. </w:t>
      </w:r>
      <w:r>
        <w:rPr>
          <w:rFonts w:ascii="Arial" w:cs="Arial" w:eastAsia="Arial" w:hAnsi="Arial"/>
          <w:sz w:val="17"/>
          <w:szCs w:val="17"/>
          <w:color w:val="auto"/>
        </w:rPr>
        <w:t>Our used equipment sales gross profit for the year ended December 31, 2022 decreased $4.6 million, or 9.4%, to</w:t>
      </w:r>
      <w:r>
        <w:rPr>
          <w:rFonts w:ascii="Arial" w:cs="Arial" w:eastAsia="Arial" w:hAnsi="Arial"/>
          <w:sz w:val="17"/>
          <w:szCs w:val="17"/>
          <w:i w:val="1"/>
          <w:iCs w:val="1"/>
          <w:color w:val="auto"/>
        </w:rPr>
        <w:t xml:space="preserve"> </w:t>
      </w:r>
      <w:r>
        <w:rPr>
          <w:rFonts w:ascii="Arial" w:cs="Arial" w:eastAsia="Arial" w:hAnsi="Arial"/>
          <w:sz w:val="17"/>
          <w:szCs w:val="17"/>
          <w:color w:val="auto"/>
        </w:rPr>
        <w:t>$44.3 million compared to $48.9 million in 2021 on decreased total used equipment sales of $44.4 million. Gross profit margin on used equipment sales for the year ended December 31, 2022 was approximately 48.8%, up 12.6% from 36.2% in 2021. The increase in gross profit margin was primarily as a result of higher gross margins across used product lines. Our used equipment sales from the rental fleet, which comprised approximately 92.1% and 94.6% of our used equipment sales for the years ended December 31, 2022 and 2021, respectively, were approximately 207.7% and 161.1% of net book value for the years ended December 31, 2022 and 2021, respectively.</w:t>
      </w:r>
    </w:p>
    <w:p>
      <w:pPr>
        <w:spacing w:after="0" w:line="149"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i w:val="1"/>
          <w:iCs w:val="1"/>
          <w:color w:val="auto"/>
        </w:rPr>
        <w:t xml:space="preserve">New Equipment Sales Gross Profit. </w:t>
      </w:r>
      <w:r>
        <w:rPr>
          <w:rFonts w:ascii="Arial" w:cs="Arial" w:eastAsia="Arial" w:hAnsi="Arial"/>
          <w:sz w:val="18"/>
          <w:szCs w:val="18"/>
          <w:color w:val="auto"/>
        </w:rPr>
        <w:t>Our new equipment sales gross profit for the year ended December 31, 2022 increased approximately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10.5%, to $13.1 million from $11.9 million in 2021, on decreased new equipment sales of $0.2 million. Gross profit margin on new equipment sales for the year ended December 31, 2022 was 14.2%, an increase of 1.4% from 12.8% for the year ended December 31, 2021, primarily as a result of the mix of new equipment sold.</w:t>
      </w:r>
    </w:p>
    <w:p>
      <w:pPr>
        <w:spacing w:after="0" w:line="145"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i w:val="1"/>
          <w:iCs w:val="1"/>
          <w:color w:val="auto"/>
        </w:rPr>
        <w:t xml:space="preserve">Parts Sales Gross Profit. </w:t>
      </w:r>
      <w:r>
        <w:rPr>
          <w:rFonts w:ascii="Arial" w:cs="Arial" w:eastAsia="Arial" w:hAnsi="Arial"/>
          <w:sz w:val="18"/>
          <w:szCs w:val="18"/>
          <w:color w:val="auto"/>
        </w:rPr>
        <w:t>For the year ended December 31, 2022, our parts sales revenue gross profit increased $0.8 million, or 4.4%, to $18.0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$17.3 million for the same period in 2021, on $1.0 million decreased parts revenues. Gross profit margin on parts sales for the year ended December 31, 2022 was 27.9%, an increase of approximately 1.6% from 26.3% in the same period in 2021.</w:t>
      </w:r>
    </w:p>
    <w:p>
      <w:pPr>
        <w:spacing w:after="0" w:line="142" w:lineRule="exact"/>
        <w:rPr>
          <w:sz w:val="20"/>
          <w:szCs w:val="20"/>
          <w:color w:val="auto"/>
        </w:rPr>
      </w:pPr>
    </w:p>
    <w:p>
      <w:pPr>
        <w:jc w:val="both"/>
        <w:ind w:right="140" w:firstLine="374"/>
        <w:spacing w:after="0" w:line="263" w:lineRule="auto"/>
        <w:rPr>
          <w:sz w:val="20"/>
          <w:szCs w:val="20"/>
          <w:color w:val="auto"/>
        </w:rPr>
      </w:pPr>
      <w:r>
        <w:rPr>
          <w:rFonts w:ascii="Arial" w:cs="Arial" w:eastAsia="Arial" w:hAnsi="Arial"/>
          <w:sz w:val="18"/>
          <w:szCs w:val="18"/>
          <w:i w:val="1"/>
          <w:iCs w:val="1"/>
          <w:color w:val="auto"/>
        </w:rPr>
        <w:t xml:space="preserve">Services Revenues Gross Profit. </w:t>
      </w:r>
      <w:r>
        <w:rPr>
          <w:rFonts w:ascii="Arial" w:cs="Arial" w:eastAsia="Arial" w:hAnsi="Arial"/>
          <w:sz w:val="18"/>
          <w:szCs w:val="18"/>
          <w:color w:val="auto"/>
        </w:rPr>
        <w:t>For the year ended December 31, 2022, our services revenues gross profit increased $0.2 million, or 0.9%, to $22.0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$21.8 million for the same period in 2021, on $1.2 million increased service revenues. Gross profit margin on services revenues for the years ended December 31, 2022 and 2021 was 64.3% and 66.0%, respectively, a decrease of 1.7%.</w:t>
      </w:r>
    </w:p>
    <w:p>
      <w:pPr>
        <w:spacing w:after="0" w:line="156" w:lineRule="exact"/>
        <w:rPr>
          <w:sz w:val="20"/>
          <w:szCs w:val="20"/>
          <w:color w:val="auto"/>
        </w:rPr>
      </w:pPr>
    </w:p>
    <w:p>
      <w:pPr>
        <w:ind w:right="300" w:firstLine="374"/>
        <w:spacing w:after="0" w:line="259" w:lineRule="auto"/>
        <w:rPr>
          <w:sz w:val="20"/>
          <w:szCs w:val="20"/>
          <w:color w:val="auto"/>
        </w:rPr>
      </w:pPr>
      <w:r>
        <w:rPr>
          <w:rFonts w:ascii="Arial" w:cs="Arial" w:eastAsia="Arial" w:hAnsi="Arial"/>
          <w:sz w:val="18"/>
          <w:szCs w:val="18"/>
          <w:i w:val="1"/>
          <w:iCs w:val="1"/>
          <w:color w:val="auto"/>
        </w:rPr>
        <w:t xml:space="preserve">Non-Segmented Other Gross Loss. </w:t>
      </w:r>
      <w:r>
        <w:rPr>
          <w:rFonts w:ascii="Arial" w:cs="Arial" w:eastAsia="Arial" w:hAnsi="Arial"/>
          <w:sz w:val="18"/>
          <w:szCs w:val="18"/>
          <w:color w:val="auto"/>
        </w:rPr>
        <w:t>Our non-segmented other revenues relate to equipment support activities that we provide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used and new equipment sales and parts and services revenues and are not generally allocated to our reportable segments. Our non-segmented other gross loss was approximately $2.5 million for the year ended December 31, 2022 compared to a gross loss of $0.1 million for the same period last year, a decrease of $2.4 million.</w:t>
      </w:r>
    </w:p>
    <w:p>
      <w:pPr>
        <w:spacing w:after="0" w:line="145" w:lineRule="exact"/>
        <w:rPr>
          <w:sz w:val="20"/>
          <w:szCs w:val="20"/>
          <w:color w:val="auto"/>
        </w:rPr>
      </w:pPr>
    </w:p>
    <w:p>
      <w:pPr>
        <w:ind w:right="100" w:firstLine="374"/>
        <w:spacing w:after="0" w:line="290"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increased approximately $53.1 million, or 18.2%, to $343.8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2022 compared to $290.8 million for the year ended December 31, 2021. The net increase in SG&amp;A expenses was attributable to several factors. Employee salaries, wages, incentive compensation, payroll taxes and related employee benefits increased $30.0 million, primarily as a result of commission and incentive compensation increases related to increased revenues. Facility expenses, legal and professional fees, insurance expense and fuel and utility expenses increased $5.5 million, $3.9 million, $2.7 million and $1.8 million, respectively. Approximately $18.0 million of incremental SG&amp;A expenses were attributable to branches opened since January 1, 2021 with less than a full year of comparable operations in either or both of the years ended December 31, 2022 and 2021. Additionally included in SG&amp;A expenses is merger and other costs related to our recent acquisitions and dispositions of $0.8 million and $0.7 million, respectively, for the year ended December 31, 2022 and 2021.</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5" w:name="page36"/>
    <w:bookmarkEnd w:id="35"/>
    <w:p>
      <w:pPr>
        <w:ind w:right="680" w:firstLine="374"/>
        <w:spacing w:after="0" w:line="277" w:lineRule="auto"/>
        <w:rPr>
          <w:sz w:val="20"/>
          <w:szCs w:val="20"/>
          <w:color w:val="auto"/>
        </w:rPr>
      </w:pPr>
      <w:r>
        <w:rPr>
          <w:rFonts w:ascii="Arial" w:cs="Arial" w:eastAsia="Arial" w:hAnsi="Arial"/>
          <w:sz w:val="18"/>
          <w:szCs w:val="18"/>
          <w:color w:val="auto"/>
        </w:rPr>
        <w:t>As a percentage of total revenues, SG&amp;A expenses were 27.6% for the year ended December 31, 2022 compared to 27.4% for the year ended December 31, 2021, an increase of approximately 0.2%.</w:t>
      </w:r>
    </w:p>
    <w:p>
      <w:pPr>
        <w:spacing w:after="0" w:line="142"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b w:val="1"/>
          <w:bCs w:val="1"/>
          <w:i w:val="1"/>
          <w:iCs w:val="1"/>
          <w:color w:val="auto"/>
        </w:rPr>
        <w:t xml:space="preserve">Gain on Sales of Property and Equipment, Net. </w:t>
      </w:r>
      <w:r>
        <w:rPr>
          <w:rFonts w:ascii="Arial" w:cs="Arial" w:eastAsia="Arial" w:hAnsi="Arial"/>
          <w:sz w:val="18"/>
          <w:szCs w:val="18"/>
          <w:color w:val="auto"/>
        </w:rPr>
        <w:t>During the year ended December 31, 2022, gain on sales of property and equipment, net amounted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$16.8 million for the period, compared to $7.7 million for the year ended December 31, 2021, an increase of approximately $9.1 million. This increase is primarily due to the Company's sale of our earthmoving distributorship business during the fourth quarter of 2022. For additional information on the sale, see Note 3 to our Consolidated Financial Statements.</w:t>
      </w:r>
    </w:p>
    <w:p>
      <w:pPr>
        <w:spacing w:after="0" w:line="145"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For the year ended December 31, 2022, our net other expenses decreased approximately $3.2 million to $47.4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$50.6 million for the same period in 2021. Interest expense increased approximately $0.3 million to $54.0 million for the year ended December 31, 2022 compared to $53.8 million for the year ended December 31, 2021. Other income, net, increased $3.4 million to $6.6 million for the year ended December 31, 2022 compared to $3.2 million for the year ended December 31, 2021. This increase is primarily due to the Company's sale of our earthmoving distributorship business during the fourth quarter of 2022. For additional information on the sale, see Note 3 to our Consolidated Financial Statements.</w:t>
      </w:r>
    </w:p>
    <w:p>
      <w:pPr>
        <w:spacing w:after="0" w:line="150"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expense of $47.0 million for the year ended December 31, 2022 compared to an income tax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$21.2 million for the year ended December 31, 2021. Our effective income tax rate for the year ended December 31, 2022 was 26.0% compared to 25.9% for the same period last year, an increase of 0.1%. The increase in our effective tax rate is primarily due to the net change in permanent differences in relation to profit before tax.</w:t>
      </w:r>
    </w:p>
    <w:p>
      <w:pPr>
        <w:spacing w:after="0" w:line="158"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Based on available evidence, both positive and negative, we believe it is more likely than not that our federal deferred tax assets at December 31, 2022 are fully realizable through future reversals of existing taxable temporary differences and future taxable income. For the year ended December 31, 2022, we have a $5.9 million valuation allowance for certain state tax credits that may not be realized.</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i w:val="1"/>
          <w:iCs w:val="1"/>
          <w:color w:val="auto"/>
        </w:rPr>
        <w:t xml:space="preserve">Cash Flow from Operating Activities. </w:t>
      </w:r>
      <w:r>
        <w:rPr>
          <w:rFonts w:ascii="Arial" w:cs="Arial" w:eastAsia="Arial" w:hAnsi="Arial"/>
          <w:sz w:val="17"/>
          <w:szCs w:val="17"/>
          <w:color w:val="auto"/>
        </w:rPr>
        <w:t>For the year ended December 31, 2022, the cash provided by our operating activities was $313.2 million. Our</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net income for both continuing and discontinued operations of $132.2 million, when adjusted for non-cash income and expense items, such as depreciation and amortization (including net amortization (accretion) of note discount (premium)), deferred income taxes, non-cash operating lease expense, amortization of finance lease right-of-use assets, provision for losses on accounts receivable, provision for inventory obsolescence, stock-based compensation expense, loss on sale of discontinued operations and net gains on the sale of long-lived assets, provided positive cash flows of $444.3 million. These cash flows from operating activities were positively impacted by a $30.0 million increase in accounts payable. Partially offsetting these positive cash flows were a $75.4 million increase in inventories, a $59.8 million increase in receivables, a $20.5 million decrease in manufacturing flooring plans payable and a $5.5 million decrease in accrued expenses and other liabilities.</w:t>
      </w:r>
    </w:p>
    <w:p>
      <w:pPr>
        <w:spacing w:after="0" w:line="155"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For the year ended December 31, 2021, the cash provided by our operating activities was $259.6 million. Our reported net income for both continuing and discontinued operations of $102.5 million, when adjusted for non-cash income and expense items, such as depreciation and amortization (including net amortization (accretion) of note discount (premium)), deferred income taxes, non-cash operating lease expense, amortization of finance lease right-of-use assets, provision for losses on accounts receivable, provision for inventory obsolescence, stock-based compensation expense, gain on sale of discontinued operations and net gains on the sale of long-lived assets, provided positive cash flows of $316.6 million. These cash flows from operating activities were positively impacted by a $11.3 million increase in manufacturing flooring plans payable, a $11.2 million increase in accounts payable and a $2.9 million decrease in receivables. Partially offsetting these positive cash flows were a $56.6 million increase in inventories and a $14.9 million decrease in accrued expenses and other liabilities. Additionally, prepaid expenses and other assets increased $10.9 million.</w:t>
      </w:r>
    </w:p>
    <w:p>
      <w:pPr>
        <w:spacing w:after="0" w:line="12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i w:val="1"/>
          <w:iCs w:val="1"/>
          <w:color w:val="auto"/>
        </w:rPr>
        <w:t xml:space="preserve">Cash Flow from Investing Activities. </w:t>
      </w:r>
      <w:r>
        <w:rPr>
          <w:rFonts w:ascii="Arial" w:cs="Arial" w:eastAsia="Arial" w:hAnsi="Arial"/>
          <w:sz w:val="16"/>
          <w:szCs w:val="16"/>
          <w:color w:val="auto"/>
        </w:rPr>
        <w:t>For the year ended December 31, 2022, net cash used in our investing activities was approximately $546.5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The acquisition of OSR totaled approximately $135.7 million (net of cash acquired); see additional information on the acquisition in Note 3 to our Consolidated Financial Statements. The purchases of rental and non-rental equipment totaled approximately $515.9 million and proceeds from the sale of rental and non-rental equipment were approximately $107.3 million. A $2.3 million payment related to the sale of discontinued operations was made upon the execution of the final closing statement; see additional information on the Crane Sale in Note 3 to our Consolidated Financial Statements.</w:t>
      </w:r>
    </w:p>
    <w:p>
      <w:pPr>
        <w:spacing w:after="0" w:line="119" w:lineRule="exact"/>
        <w:rPr>
          <w:sz w:val="20"/>
          <w:szCs w:val="20"/>
          <w:color w:val="auto"/>
        </w:rPr>
      </w:pPr>
    </w:p>
    <w:p>
      <w:pPr>
        <w:ind w:right="360" w:firstLine="374"/>
        <w:spacing w:after="0" w:line="259" w:lineRule="auto"/>
        <w:rPr>
          <w:sz w:val="20"/>
          <w:szCs w:val="20"/>
          <w:color w:val="auto"/>
        </w:rPr>
      </w:pPr>
      <w:r>
        <w:rPr>
          <w:rFonts w:ascii="Arial" w:cs="Arial" w:eastAsia="Arial" w:hAnsi="Arial"/>
          <w:sz w:val="18"/>
          <w:szCs w:val="18"/>
          <w:color w:val="auto"/>
        </w:rPr>
        <w:t>For the year ended December 31, 2021, net cash used in our investing activities was approximately $171.0 million. Proceeds from the sale of discontinued operations were $135.9 million; see additional information on the Crane Sale in Note 3 to our Consolidated Financial Statements. The purchases of rental and non-rental equipment totaled approximately $452.7 million and proceeds from the sale of rental and non-rental equipment were approximately $145.8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6" w:name="page37"/>
    <w:bookmarkEnd w:id="36"/>
    <w:p>
      <w:pPr>
        <w:ind w:right="80" w:firstLine="374"/>
        <w:spacing w:after="0" w:line="301" w:lineRule="auto"/>
        <w:rPr>
          <w:sz w:val="20"/>
          <w:szCs w:val="20"/>
          <w:color w:val="auto"/>
        </w:rPr>
      </w:pPr>
      <w:r>
        <w:rPr>
          <w:rFonts w:ascii="Arial" w:cs="Arial" w:eastAsia="Arial" w:hAnsi="Arial"/>
          <w:sz w:val="16"/>
          <w:szCs w:val="16"/>
          <w:i w:val="1"/>
          <w:iCs w:val="1"/>
          <w:color w:val="auto"/>
        </w:rPr>
        <w:t xml:space="preserve">Cash Flow from Financing Activities. </w:t>
      </w:r>
      <w:r>
        <w:rPr>
          <w:rFonts w:ascii="Arial" w:cs="Arial" w:eastAsia="Arial" w:hAnsi="Arial"/>
          <w:sz w:val="16"/>
          <w:szCs w:val="16"/>
          <w:color w:val="auto"/>
        </w:rPr>
        <w:t>For the year ended December 31, 2022, our cash provided by our financing activities was exceeded by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financing activities, resulting in net cash used in our financing activities of $42.7 million. Borrowings and payments offset one another under our Credit Facility for the year ended December 31, 2022. Dividends paid were $39.9 million, or $1.10 per common share, treasury stock purchases were approximately $1.7 million and payments on finance lease obligations were $1.1 million for the year ended December 31, 2022.</w:t>
      </w:r>
    </w:p>
    <w:p>
      <w:pPr>
        <w:spacing w:after="0" w:line="129"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For the year ended December 31, 2021, our cash provided by our financing activities was exceeded by our cash used in financing activities, resulting in net cash used in our financing activities of $42.2 million. Borrowings and payments offset one another under our Credit Facility for the year ended December 31, 2021. Dividends paid were $39.7 million, or $1.10 per common share, treasury stock purchases were approximately $2.1 million and payments on finance lease obligations were $0.2 million for the year ended December 31, 2021. Deferred financing costs paid totaled $0.1 million.</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1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On December 14, 2020, we completed the offering of our Senior Unsecured Notes of $1.25 billion. No principal payments on the Senior Unsecured Notes are due until their scheduled maturity date of December 15, 2028.</w:t>
      </w:r>
    </w:p>
    <w:p>
      <w:pPr>
        <w:spacing w:after="0" w:line="129" w:lineRule="exact"/>
        <w:rPr>
          <w:sz w:val="20"/>
          <w:szCs w:val="20"/>
          <w:color w:val="auto"/>
        </w:rPr>
      </w:pPr>
    </w:p>
    <w:p>
      <w:pPr>
        <w:ind w:right="100" w:firstLine="374"/>
        <w:spacing w:after="0" w:line="291" w:lineRule="auto"/>
        <w:rPr>
          <w:sz w:val="20"/>
          <w:szCs w:val="20"/>
          <w:color w:val="auto"/>
        </w:rPr>
      </w:pPr>
      <w:r>
        <w:rPr>
          <w:rFonts w:ascii="Arial" w:cs="Arial" w:eastAsia="Arial" w:hAnsi="Arial"/>
          <w:sz w:val="16"/>
          <w:szCs w:val="16"/>
          <w:color w:val="auto"/>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additional information regarding our senior unsecured notes, see Note 9 to our Consolidated Financial Statements.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We and our subsidiaries are parties to a $750.0 million Credit Facility with Wells Fargo Capital Finance, LLC as administrative agent, and the lenders named therein. At December 31, 2022, we had no outstanding borrowings under the Credit Facility and we could borrow up to $739.4 million, which with cash and cash equivalents on hand amounted to a liquidity position of $820.7 million. On October 1, 2021, we sold our crane business and the disposition had no impact on our borrowing availability. For further information on the sale of our crane business, see Note 3 to our Consolidated Financial Statements. We did not have any negative impacts to our liquidity position under the Credit Facility as a result of discontinued operations, nor do we have any covenant violations related to the Credit Facility. At February 15, 2023, our liquidity position was $796.6 million, including available borrowings under our Credit Facility net of a $10.6 million outstanding letter of credit.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additional information regarding our senior secured credit facility, see Note 10 to our Consolidated Financial Statements.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Requirements Related to Operations</w:t>
      </w:r>
    </w:p>
    <w:p>
      <w:pPr>
        <w:spacing w:after="0" w:line="11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Our principal sources of liquidity have been from cash provided by operating activities and the sales of used, new and rental fleet equipment, proceeds from the issuance of debt, and borrowings available under the Credit Facility. Our principal uses of cash and cash equivalents historically have been to fund operating activities and working capital (including used and new equipment inventories), purchases of rental fleet equipment and property and equipment, opening new branch locations, fund payments due under facility operating leases and manufacturer flooring plans payable, and to meet debt service requirements. In the future, we may pursue additional strategic acquisitions and seek to open new start-up locations.</w:t>
      </w:r>
    </w:p>
    <w:p>
      <w:pPr>
        <w:spacing w:after="0" w:line="134"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Our gross rental fleet capital expenditures for the year ended December 31, 2022 and for both continuing and discontinued operations for the year ended December 31, 2021 were approximately $507.8 million and $436.8 million, respectively, including $43.3 million and $18.7 million, respectively, of non-cash transfers from inventory to rental fleet. This increase in rental fleet capital expenditures reflects our response to improved rental demand and expansion. Our gross property and equipment capital expenditures for the year ended December 31, 2022 and for both continuing and discontinued operations for the year ended December 31, 2021 were $51.5 million and $34.6 million, respectively.</w:t>
      </w:r>
    </w:p>
    <w:p>
      <w:pPr>
        <w:spacing w:after="0" w:line="124"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To service our debt, we will require a significant amount of cash. Our ability to pay interest and principal on our indebtedness (including the Credit Facility, the Senior Unsecured Notes and our other indebtedness), will depend upon our future operating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37" w:name="page38"/>
    <w:bookmarkEnd w:id="37"/>
    <w:p>
      <w:pPr>
        <w:ind w:right="100"/>
        <w:spacing w:after="0" w:line="270" w:lineRule="auto"/>
        <w:rPr>
          <w:sz w:val="20"/>
          <w:szCs w:val="20"/>
          <w:color w:val="auto"/>
        </w:rPr>
      </w:pPr>
      <w:r>
        <w:rPr>
          <w:rFonts w:ascii="Arial" w:cs="Arial" w:eastAsia="Arial" w:hAnsi="Arial"/>
          <w:sz w:val="17"/>
          <w:szCs w:val="17"/>
          <w:color w:val="auto"/>
        </w:rPr>
        <w:t>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cash equivalents and available borrowings under the Credit Facility will be adequate to meet our future liquidity needs for the foreseeable future. At December 31, 2022, we have cash and cash equivalents on hand of approximately $81.3 million. At December 31, 2022, we had available borrowings of $739.4 million, net of $10.6 million of outstanding letters of credit and at December 31, 2021, we had available borrowings of $741.3 million, net of $8.7 million of outstanding letters of credit. At February 15, 2023, we had $739.4 million of available borrowings under the Credit Facility, net of a $10.6 million of outstanding letters of credit.</w:t>
      </w:r>
    </w:p>
    <w:p>
      <w:pPr>
        <w:spacing w:after="0" w:line="155"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contractual obligations and commercial commitments principally include obligations associated with our outstanding indebtedness and interest payments. We have no off-balance sheet arrangements. In tabular format below, we have disclosed our analysis of material cash requirements from known contractual and other obligations as of December 31,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6"/>
                <w:szCs w:val="16"/>
                <w:color w:val="auto"/>
                <w:w w:val="89"/>
              </w:rPr>
              <w:t>Payments Due by Year</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1"/>
              </w:rPr>
              <w:t>2024-2025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1"/>
              </w:rPr>
              <w:t>2026-2027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tcPr>
          <w:p>
            <w:pPr>
              <w:spacing w:after="0"/>
              <w:rPr>
                <w:sz w:val="19"/>
                <w:szCs w:val="19"/>
                <w:color w:val="auto"/>
              </w:rPr>
            </w:pPr>
          </w:p>
        </w:tc>
      </w:tr>
      <w:tr>
        <w:trPr>
          <w:trHeight w:val="175"/>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(Amounts in thousands)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14"/>
                <w:szCs w:val="14"/>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1,250,000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Interest payments on senior unsecured notes </w:t>
            </w:r>
            <w:r>
              <w:rPr>
                <w:rFonts w:ascii="Arial" w:cs="Arial" w:eastAsia="Arial" w:hAnsi="Arial"/>
                <w:sz w:val="14"/>
                <w:szCs w:val="14"/>
                <w:color w:val="auto"/>
              </w:rPr>
              <w:t>(2)</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290,625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96,875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48,437</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Senior secured credit facility fees </w:t>
            </w:r>
            <w:r>
              <w:rPr>
                <w:rFonts w:ascii="Arial" w:cs="Arial" w:eastAsia="Arial" w:hAnsi="Arial"/>
                <w:sz w:val="14"/>
                <w:szCs w:val="14"/>
                <w:color w:val="auto"/>
              </w:rPr>
              <w:t>(3)</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4"/>
                <w:szCs w:val="14"/>
                <w:color w:val="auto"/>
              </w:rPr>
              <w:t>(4)</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217,691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83,953</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Other lease commitments </w:t>
            </w:r>
            <w:r>
              <w:rPr>
                <w:rFonts w:ascii="Arial" w:cs="Arial" w:eastAsia="Arial" w:hAnsi="Arial"/>
                <w:sz w:val="14"/>
                <w:szCs w:val="14"/>
                <w:color w:val="auto"/>
              </w:rPr>
              <w:t>(5)</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15,726</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14"/>
                <w:szCs w:val="14"/>
                <w:color w:val="auto"/>
              </w:rPr>
              <w:t>(6)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Other long-term obligations </w:t>
            </w:r>
            <w:r>
              <w:rPr>
                <w:rFonts w:ascii="Arial" w:cs="Arial" w:eastAsia="Arial" w:hAnsi="Arial"/>
                <w:sz w:val="14"/>
                <w:szCs w:val="14"/>
                <w:color w:val="auto"/>
              </w:rPr>
              <w:t>(7)</w:t>
            </w: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Total contractual cash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1,789,075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74,815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159,518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155,596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1,399,146</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-187960</wp:posOffset>
            </wp:positionV>
            <wp:extent cx="7683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-187960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0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09" w:lineRule="exact"/>
        <w:rPr>
          <w:sz w:val="20"/>
          <w:szCs w:val="20"/>
          <w:color w:val="auto"/>
        </w:rPr>
      </w:pPr>
    </w:p>
    <w:p>
      <w:pPr>
        <w:ind w:left="1020" w:hanging="500"/>
        <w:spacing w:after="0"/>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See Note 9 to our Consolidated Financial Statements for additional information regarding our Senior Notes.</w:t>
      </w:r>
    </w:p>
    <w:p>
      <w:pPr>
        <w:spacing w:after="0" w:line="1" w:lineRule="exact"/>
        <w:rPr>
          <w:rFonts w:ascii="Arial" w:cs="Arial" w:eastAsia="Arial" w:hAnsi="Arial"/>
          <w:sz w:val="24"/>
          <w:szCs w:val="24"/>
          <w:color w:val="auto"/>
          <w:vertAlign w:val="superscript"/>
        </w:rPr>
      </w:pPr>
    </w:p>
    <w:p>
      <w:pPr>
        <w:ind w:left="1020" w:hanging="500"/>
        <w:spacing w:after="0" w:line="212" w:lineRule="auto"/>
        <w:tabs>
          <w:tab w:leader="none" w:pos="10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Future interest payments are calculated based on the assumption that all of the senior unsecured notes remain outstanding until maturity.</w:t>
      </w:r>
    </w:p>
    <w:p>
      <w:pPr>
        <w:spacing w:after="0" w:line="2" w:lineRule="exact"/>
        <w:rPr>
          <w:rFonts w:ascii="Arial" w:cs="Arial" w:eastAsia="Arial" w:hAnsi="Arial"/>
          <w:sz w:val="21"/>
          <w:szCs w:val="21"/>
          <w:color w:val="auto"/>
          <w:vertAlign w:val="superscript"/>
        </w:rPr>
      </w:pPr>
    </w:p>
    <w:p>
      <w:pPr>
        <w:ind w:left="1020" w:right="40" w:hanging="500"/>
        <w:spacing w:after="0" w:line="213"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This represents fees associated with the unused portion of the senior secured credit facility’s line of credit, and assumes all amounts under the senior secured credit facility remain undrawn.</w:t>
      </w:r>
    </w:p>
    <w:p>
      <w:pPr>
        <w:spacing w:after="0" w:line="1" w:lineRule="exact"/>
        <w:rPr>
          <w:rFonts w:ascii="Arial" w:cs="Arial" w:eastAsia="Arial" w:hAnsi="Arial"/>
          <w:sz w:val="24"/>
          <w:szCs w:val="24"/>
          <w:color w:val="auto"/>
          <w:vertAlign w:val="superscript"/>
        </w:rPr>
      </w:pPr>
    </w:p>
    <w:p>
      <w:pPr>
        <w:ind w:left="1020" w:right="320" w:hanging="500"/>
        <w:spacing w:after="0" w:line="214"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This includes total minimum operating lease rental payments having initial or remaining non-cancelable lease terms longer than one year, including interest.</w:t>
      </w:r>
    </w:p>
    <w:p>
      <w:pPr>
        <w:ind w:left="1020" w:hanging="500"/>
        <w:spacing w:after="0" w:line="187"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Represents total minimum operating lease rental payments for leases executed but not commenced as of December 31, 2022.</w:t>
      </w:r>
    </w:p>
    <w:p>
      <w:pPr>
        <w:spacing w:after="0" w:line="2" w:lineRule="exact"/>
        <w:rPr>
          <w:rFonts w:ascii="Arial" w:cs="Arial" w:eastAsia="Arial" w:hAnsi="Arial"/>
          <w:sz w:val="24"/>
          <w:szCs w:val="24"/>
          <w:color w:val="auto"/>
          <w:vertAlign w:val="superscript"/>
        </w:rPr>
      </w:pPr>
    </w:p>
    <w:p>
      <w:pPr>
        <w:ind w:left="1020" w:right="480" w:hanging="500"/>
        <w:spacing w:after="0" w:line="213"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This includes total minimum finance lease rental payments having initial or remaining non-cancelable lease terms longer than one year, including interest.</w:t>
      </w:r>
    </w:p>
    <w:p>
      <w:pPr>
        <w:spacing w:after="0" w:line="1" w:lineRule="exact"/>
        <w:rPr>
          <w:rFonts w:ascii="Arial" w:cs="Arial" w:eastAsia="Arial" w:hAnsi="Arial"/>
          <w:sz w:val="24"/>
          <w:szCs w:val="24"/>
          <w:color w:val="auto"/>
          <w:vertAlign w:val="superscript"/>
        </w:rPr>
      </w:pPr>
    </w:p>
    <w:p>
      <w:pPr>
        <w:ind w:left="1020" w:right="300" w:hanging="500"/>
        <w:spacing w:after="0" w:line="214" w:lineRule="auto"/>
        <w:tabs>
          <w:tab w:leader="none" w:pos="102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Represents amounts due on manufacturer flooring plans payable, which are used to finance certain purchases of new equipment inventory and rental equipment.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2022, we had standby letters of credit issued under our Credit Facility totaling $10.6 million that expire in May 2023.</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Quarterly Dividend</w:t>
      </w:r>
    </w:p>
    <w:p>
      <w:pPr>
        <w:spacing w:after="0" w:line="121" w:lineRule="exact"/>
        <w:rPr>
          <w:sz w:val="20"/>
          <w:szCs w:val="20"/>
          <w:color w:val="auto"/>
        </w:rPr>
      </w:pPr>
    </w:p>
    <w:p>
      <w:pPr>
        <w:ind w:right="360" w:firstLine="374"/>
        <w:spacing w:after="0" w:line="259" w:lineRule="auto"/>
        <w:rPr>
          <w:sz w:val="20"/>
          <w:szCs w:val="20"/>
          <w:color w:val="auto"/>
        </w:rPr>
      </w:pPr>
      <w:r>
        <w:rPr>
          <w:rFonts w:ascii="Arial" w:cs="Arial" w:eastAsia="Arial" w:hAnsi="Arial"/>
          <w:sz w:val="18"/>
          <w:szCs w:val="18"/>
          <w:color w:val="auto"/>
        </w:rPr>
        <w:t>On each of February 11, 2022, May 12, 2022, August 11, 2022 and November 11, 2022, the Company declared a quarterly dividend of $0.275 per share to stockholders of record, which were paid on March 18, 2022, June 10, 2022, September 9, 2022 and December 9, 2022, respectively, totaling approximately $39.9 million. On February 10, 2023, the Company declared a quarterly dividend of $0.275 per share to stockholders of record as of the close of business on February 24, 2023, which is to be paid on March 10, 2023.</w:t>
      </w:r>
    </w:p>
    <w:p>
      <w:pPr>
        <w:spacing w:after="0" w:line="145" w:lineRule="exact"/>
        <w:rPr>
          <w:sz w:val="20"/>
          <w:szCs w:val="20"/>
          <w:color w:val="auto"/>
        </w:rPr>
      </w:pPr>
    </w:p>
    <w:p>
      <w:pPr>
        <w:ind w:right="180" w:firstLine="374"/>
        <w:spacing w:after="0" w:line="341" w:lineRule="auto"/>
        <w:rPr>
          <w:sz w:val="20"/>
          <w:szCs w:val="20"/>
          <w:color w:val="auto"/>
        </w:rPr>
      </w:pPr>
      <w:r>
        <w:rPr>
          <w:rFonts w:ascii="Arial" w:cs="Arial" w:eastAsia="Arial" w:hAnsi="Arial"/>
          <w:sz w:val="16"/>
          <w:szCs w:val="16"/>
          <w:color w:val="auto"/>
        </w:rPr>
        <w:t>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Acquisitions and Start-up Facilities</w:t>
      </w:r>
    </w:p>
    <w:p>
      <w:pPr>
        <w:spacing w:after="0" w:line="121" w:lineRule="exact"/>
        <w:rPr>
          <w:sz w:val="20"/>
          <w:szCs w:val="20"/>
          <w:color w:val="auto"/>
        </w:rPr>
      </w:pPr>
    </w:p>
    <w:p>
      <w:pPr>
        <w:ind w:right="480" w:firstLine="374"/>
        <w:spacing w:after="0" w:line="263" w:lineRule="auto"/>
        <w:rPr>
          <w:sz w:val="20"/>
          <w:szCs w:val="20"/>
          <w:color w:val="auto"/>
        </w:rPr>
      </w:pPr>
      <w:r>
        <w:rPr>
          <w:rFonts w:ascii="Arial" w:cs="Arial" w:eastAsia="Arial" w:hAnsi="Arial"/>
          <w:sz w:val="18"/>
          <w:szCs w:val="18"/>
          <w:color w:val="auto"/>
        </w:rPr>
        <w:t>We periodically engage in evaluations of potential acquisitions and start-up facilities. We intend to continue to evaluate and pursue, on an opportunistic basis, acquisitions that meet our selection criteria, and we are focused on identifying and acquiring rental companies to complement our existing business, broaden our geographic footprint, and increase our density in existing markets.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8" w:name="page39"/>
    <w:bookmarkEnd w:id="38"/>
    <w:p>
      <w:pPr>
        <w:ind w:right="80" w:firstLine="374"/>
        <w:spacing w:after="0" w:line="255" w:lineRule="auto"/>
        <w:rPr>
          <w:sz w:val="20"/>
          <w:szCs w:val="20"/>
          <w:color w:val="auto"/>
        </w:rPr>
      </w:pPr>
      <w:r>
        <w:rPr>
          <w:rFonts w:ascii="Arial" w:cs="Arial" w:eastAsia="Arial" w:hAnsi="Arial"/>
          <w:sz w:val="18"/>
          <w:szCs w:val="18"/>
          <w:color w:val="auto"/>
        </w:rPr>
        <w:t>Effective January 1, 2018, we completed the acquisition of CEC, a privately-held company focused on non-residential construction equipment rentals serving the greater Denver, Colorado area out of three branch locations. Effective April 1, 2018, we completed the acquisition of Rental Inc., an equipment rental and distribution company with five branch locations in Alabama and Florida. Effective February 1, 2019, we completed the acquisition of WRI, an equipment rental company with six branch locations in Central Texas. Effective October 1, 2022, we completed the acquisition of OSR, an equipment rental company with ten branch locations in the Midwest. See Note 3 to our Consolidated Financial Statements for additional information on these acquisitions.</w:t>
      </w:r>
    </w:p>
    <w:p>
      <w:pPr>
        <w:spacing w:after="0" w:line="164" w:lineRule="exact"/>
        <w:rPr>
          <w:sz w:val="20"/>
          <w:szCs w:val="20"/>
          <w:color w:val="auto"/>
        </w:rPr>
      </w:pPr>
    </w:p>
    <w:p>
      <w:pPr>
        <w:ind w:right="80" w:firstLine="374"/>
        <w:spacing w:after="0" w:line="256" w:lineRule="auto"/>
        <w:rPr>
          <w:sz w:val="20"/>
          <w:szCs w:val="20"/>
          <w:color w:val="auto"/>
        </w:rPr>
      </w:pPr>
      <w:r>
        <w:rPr>
          <w:rFonts w:ascii="Arial" w:cs="Arial" w:eastAsia="Arial" w:hAnsi="Arial"/>
          <w:sz w:val="18"/>
          <w:szCs w:val="18"/>
          <w:color w:val="auto"/>
        </w:rPr>
        <w:t>The success of our growth strategy depends, in part, on selecting strategic acquisition candidates at attractive prices and identifying strategic start-up locations. We expect to face competition for acquisition candidates, which may limit the number of acquisition opportunities and lead to higher acquisition costs. We may not have the financial resources necessary to consummate any acquisitions or to successfully open any new facilities in the future or the ability to obtain the necessary funds on satisfactory terms. For further information regarding our risks related to acquisitions, see Item 1A – Risk Factors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LIBOR plus an applicable margin of 1.25% to 1.75%, depending on the Average Availability (as defined in the Credit Facility), in the case of LIBOR revolving loans.</w:t>
      </w:r>
    </w:p>
    <w:p>
      <w:pPr>
        <w:spacing w:after="0" w:line="158" w:lineRule="exact"/>
        <w:rPr>
          <w:sz w:val="20"/>
          <w:szCs w:val="20"/>
          <w:color w:val="auto"/>
        </w:rPr>
      </w:pPr>
    </w:p>
    <w:p>
      <w:pPr>
        <w:ind w:right="80" w:firstLine="374"/>
        <w:spacing w:after="0" w:line="256" w:lineRule="auto"/>
        <w:rPr>
          <w:sz w:val="20"/>
          <w:szCs w:val="20"/>
          <w:color w:val="auto"/>
        </w:rPr>
      </w:pPr>
      <w:r>
        <w:rPr>
          <w:rFonts w:ascii="Arial" w:cs="Arial" w:eastAsia="Arial" w:hAnsi="Arial"/>
          <w:sz w:val="18"/>
          <w:szCs w:val="18"/>
          <w:color w:val="auto"/>
        </w:rPr>
        <w:t>At December 31, 2022, we had no outstanding borrowings under the Credit Facility. At February 15, 2023, we had no outstanding borrowings, with $739.4 million of available borrowings, net of a $10.6 million of outstanding letters of credit. We did not have significant exposure to changing interest rates as of December 31, 2022 on the fixed-rate senior unsecured notes. Historically, we have not engaged in derivatives or other financial instruments for trading, speculative or hedging purposes, though we may do so from time to time if such instruments are available to us on acceptable terms and prevailing market conditions are accommodating.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Index to consolidated financial statements of H&amp;E Equipment Services, Inc. and Subsidiaries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16 to our Consolidated Financial Statements for summarized quarterly financial data.</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r>
      <w:tr>
        <w:trPr>
          <w:trHeight w:val="182"/>
        </w:trPr>
        <w:tc>
          <w:tcPr>
            <w:tcW w:w="422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FF"/>
                <w:w w:val="91"/>
              </w:rPr>
              <w:t>Report of Independent Registered Public Accounting Firm</w:t>
            </w:r>
          </w:p>
        </w:tc>
        <w:tc>
          <w:tcPr>
            <w:tcW w:w="6340" w:type="dxa"/>
            <w:vAlign w:val="bottom"/>
            <w:gridSpan w:val="5"/>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23"/>
        </w:trPr>
        <w:tc>
          <w:tcPr>
            <w:tcW w:w="10560" w:type="dxa"/>
            <w:vAlign w:val="bottom"/>
            <w:gridSpan w:val="7"/>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75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2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9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366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1056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H&amp;E Equipment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H&amp;E Equipment Services, Inc. (the “Company”) as of December 31, 2022 and 2021, the related consolidated statements of operations, stockholders’ equity, and cash flows for each of the three years in the period ended December 31, 2022, and the related notes and schedule of valuation and qualifying accounts for each of the three years in the period ended December 31, 2022 appearing under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accounting principles generally accepted in the United States of America.</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(“COSO”) and our report dated February 22, 2023 expressed an unqualified opinion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 Valuation of Acquired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3 to the consolidated financial statements, the Company acquired 100% of the equity of One Source Equipment Rentals, Inc. (“OSR”) on October 1, 2022 (the “Acquisition”). The total cash consideration was $136.9 million. Included in the acquisition was rental equipment with a fair value of $102.4 million.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the evaluation of the estimated fair value of the rental equipment acquired in the Acquisition as a critical audit matter because of the significant judgment applied by the Company in determining the valuation approach(es) and underlying assumptions used in such approach(es). Auditing the estimated fair value of the rental equipment was especially challenging because the audit effort involved individuals with specialized knowledge and skills to evaluate the reasonableness of the valuation approach(es) and the significant underlying assumptions used in the cost approach, including trend factors, economic useful lives, minimum percent good factors, and depreciation factors by asset category, and the market approach, including sources of market data and market curves.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57" w:lineRule="exact"/>
        <w:rPr>
          <w:sz w:val="20"/>
          <w:szCs w:val="20"/>
          <w:color w:val="auto"/>
        </w:rPr>
      </w:pPr>
    </w:p>
    <w:p>
      <w:pPr>
        <w:ind w:left="1140" w:hanging="758"/>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Testing the completeness and accuracy of the detail of the rental equipment acquired.</w:t>
      </w:r>
    </w:p>
    <w:p>
      <w:pPr>
        <w:spacing w:after="0" w:line="116" w:lineRule="exact"/>
        <w:rPr>
          <w:rFonts w:ascii="Arial" w:cs="Arial" w:eastAsia="Arial" w:hAnsi="Arial"/>
          <w:sz w:val="18"/>
          <w:szCs w:val="18"/>
          <w:color w:val="auto"/>
        </w:rPr>
      </w:pPr>
    </w:p>
    <w:p>
      <w:pPr>
        <w:ind w:left="1140" w:right="20" w:hanging="758"/>
        <w:spacing w:after="0" w:line="265"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skills in valuation of capital assets to assess the reasonableness of the fair value of the rental equipment acquired by:</w:t>
      </w:r>
    </w:p>
    <w:p>
      <w:pPr>
        <w:spacing w:after="0" w:line="1" w:lineRule="exact"/>
        <w:rPr>
          <w:rFonts w:ascii="Arial" w:cs="Arial" w:eastAsia="Arial" w:hAnsi="Arial"/>
          <w:sz w:val="18"/>
          <w:szCs w:val="18"/>
          <w:color w:val="auto"/>
        </w:rPr>
      </w:pPr>
    </w:p>
    <w:p>
      <w:pPr>
        <w:ind w:left="1140" w:right="1220"/>
        <w:spacing w:after="0" w:line="314" w:lineRule="auto"/>
        <w:rPr>
          <w:rFonts w:ascii="Arial" w:cs="Arial" w:eastAsia="Arial" w:hAnsi="Arial"/>
          <w:sz w:val="18"/>
          <w:szCs w:val="18"/>
          <w:color w:val="auto"/>
        </w:rPr>
      </w:pPr>
      <w:r>
        <w:rPr>
          <w:rFonts w:ascii="Arial" w:cs="Arial" w:eastAsia="Arial" w:hAnsi="Arial"/>
          <w:sz w:val="17"/>
          <w:szCs w:val="17"/>
          <w:color w:val="auto"/>
        </w:rPr>
        <w:t>o Evaluating the appropriateness of the asset category used for rental equipment acquired based on the asset description. o Assessing the reasonableness of the approach used to estimate the fair value the rental equipment.</w:t>
      </w:r>
    </w:p>
    <w:p>
      <w:pPr>
        <w:ind w:left="1500" w:hanging="374"/>
        <w:spacing w:after="0" w:line="260" w:lineRule="auto"/>
        <w:rPr>
          <w:rFonts w:ascii="Arial" w:cs="Arial" w:eastAsia="Arial" w:hAnsi="Arial"/>
          <w:sz w:val="18"/>
          <w:szCs w:val="18"/>
          <w:color w:val="auto"/>
        </w:rPr>
      </w:pPr>
      <w:r>
        <w:rPr>
          <w:rFonts w:ascii="Arial" w:cs="Arial" w:eastAsia="Arial" w:hAnsi="Arial"/>
          <w:sz w:val="18"/>
          <w:szCs w:val="18"/>
          <w:color w:val="auto"/>
        </w:rPr>
        <w:t>o Independently verifying the reasonableness of assumptions used in the cost approach to estimate the fair value of certain rental equipment acquired, including trend factors, economic useful lives, minimum percent good factors, and depreciation factors by asset category.</w:t>
      </w:r>
    </w:p>
    <w:p>
      <w:pPr>
        <w:spacing w:after="0" w:line="1" w:lineRule="exact"/>
        <w:rPr>
          <w:rFonts w:ascii="Arial" w:cs="Arial" w:eastAsia="Arial" w:hAnsi="Arial"/>
          <w:sz w:val="18"/>
          <w:szCs w:val="18"/>
          <w:color w:val="auto"/>
        </w:rPr>
      </w:pPr>
    </w:p>
    <w:p>
      <w:pPr>
        <w:ind w:left="1500" w:hanging="374"/>
        <w:spacing w:after="0" w:line="311" w:lineRule="auto"/>
        <w:rPr>
          <w:rFonts w:ascii="Arial" w:cs="Arial" w:eastAsia="Arial" w:hAnsi="Arial"/>
          <w:sz w:val="18"/>
          <w:szCs w:val="18"/>
          <w:color w:val="auto"/>
        </w:rPr>
      </w:pPr>
      <w:r>
        <w:rPr>
          <w:rFonts w:ascii="Arial" w:cs="Arial" w:eastAsia="Arial" w:hAnsi="Arial"/>
          <w:sz w:val="16"/>
          <w:szCs w:val="16"/>
          <w:color w:val="auto"/>
        </w:rPr>
        <w:t>o Assessing the reasonableness of the sources of market data utilized within the market approach to estimate the fair value of certain rental equipment acquired, reviewing the methodology used in applying market curves to value certain classes of assets and independently developing comparable measurements to determine if the estimated fair values appear to be within a reasonable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33"/>
        </w:trPr>
        <w:tc>
          <w:tcPr>
            <w:tcW w:w="7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(Amounts in</w:t>
            </w:r>
          </w:p>
        </w:tc>
        <w:tc>
          <w:tcPr>
            <w:tcW w:w="1860" w:type="dxa"/>
            <w:vAlign w:val="bottom"/>
            <w:gridSpan w:val="3"/>
          </w:tcPr>
          <w:p>
            <w:pPr>
              <w:jc w:val="right"/>
              <w:ind w:right="691"/>
              <w:spacing w:after="0" w:line="133" w:lineRule="exact"/>
              <w:rPr>
                <w:sz w:val="20"/>
                <w:szCs w:val="20"/>
                <w:color w:val="auto"/>
              </w:rPr>
            </w:pPr>
            <w:r>
              <w:rPr>
                <w:rFonts w:ascii="Arial" w:cs="Arial" w:eastAsia="Arial" w:hAnsi="Arial"/>
                <w:sz w:val="14"/>
                <w:szCs w:val="14"/>
                <w:b w:val="1"/>
                <w:bCs w:val="1"/>
                <w:color w:val="auto"/>
                <w:w w:val="86"/>
              </w:rPr>
              <w:t>thousands, except</w:t>
            </w:r>
          </w:p>
        </w:tc>
        <w:tc>
          <w:tcPr>
            <w:tcW w:w="100" w:type="dxa"/>
            <w:vAlign w:val="bottom"/>
          </w:tcPr>
          <w:p>
            <w:pPr>
              <w:spacing w:after="0"/>
              <w:rPr>
                <w:sz w:val="11"/>
                <w:szCs w:val="11"/>
                <w:color w:val="auto"/>
              </w:rPr>
            </w:pPr>
          </w:p>
        </w:tc>
      </w:t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share and per share amounts)</w:t>
            </w:r>
          </w:p>
        </w:tc>
      </w:tr>
      <w:tr>
        <w:trPr>
          <w:trHeight w:val="243"/>
        </w:trPr>
        <w:tc>
          <w:tcPr>
            <w:tcW w:w="7700" w:type="dxa"/>
            <w:vAlign w:val="bottom"/>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81,330</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357,296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Receivables, net of allowance for doubtful accounts of $6,637 and $4,178,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225,294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157,226</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Inventories, net of reserves for obsolescence of $54 and $73,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107,842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75,299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Rental equipment, net of accumulated depreciation of $884,740 and $722,646,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1,418,951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1,116,456</w:t>
            </w: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 of $177,017 and</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$161,913,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112,281</w:t>
            </w: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right-of-use assets, net of accumulated amortization of $51,419 and $36,884,</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164,566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151,222</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right-of-use assets, net of accumulated amortization of $105</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w w:val="98"/>
              </w:rPr>
              <w:t>Deferred financing costs, net of accumulated amortization of $16,518 and $15,818,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net of accumulated amortization of $19,369 and $14,709,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24,991</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10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2,291,699</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2,080,447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0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129,482</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95,604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Manufacturer flooring plans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 payable and other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77,142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63,908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w w:val="91"/>
              </w:rPr>
              <w:t>Senior unsecured notes, net of unaccreted discount of $6,979 and $8,151 and deferred financing costs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of $1,612 and $1,882,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1,241,409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1,239,967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169,069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155,303</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271,162</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1,890,657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1,777,065</w:t>
            </w:r>
          </w:p>
        </w:tc>
        <w:tc>
          <w:tcPr>
            <w:tcW w:w="100" w:type="dxa"/>
            <w:vAlign w:val="bottom"/>
          </w:tcPr>
          <w:p>
            <w:pPr>
              <w:spacing w:after="0"/>
              <w:rPr>
                <w:sz w:val="20"/>
                <w:szCs w:val="20"/>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25,000,000 shares authorized; no shares issued</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w w:val="93"/>
              </w:rPr>
              <w:t>Common stock, $0.01 par value, 175,000,000 shares authorized; 40,567,876 and 40,353,299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issued at December 31, 2022 and December 31, 2021, respectively, and 36,309,321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36,141,667 shares outstanding at December 31, 2022 and December 31, 2021,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251,901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244,638</w:t>
            </w: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w w:val="92"/>
              </w:rPr>
              <w:t>Treasury stock at cost, 4,258,555 and 4,211,632 shares of common stock held at December 31, 2022</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and December 31, 2021, respectively</w:t>
            </w:r>
          </w:p>
        </w:tc>
        <w:tc>
          <w:tcPr>
            <w:tcW w:w="380" w:type="dxa"/>
            <w:vAlign w:val="bottom"/>
          </w:tcPr>
          <w:p>
            <w:pPr>
              <w:spacing w:after="0"/>
              <w:rPr>
                <w:sz w:val="20"/>
                <w:szCs w:val="20"/>
                <w:color w:val="auto"/>
              </w:rPr>
            </w:pPr>
          </w:p>
        </w:tc>
        <w:tc>
          <w:tcPr>
            <w:tcW w:w="1480" w:type="dxa"/>
            <w:vAlign w:val="bottom"/>
            <w:gridSpan w:val="2"/>
          </w:tcPr>
          <w:p>
            <w:pPr>
              <w:jc w:val="right"/>
              <w:ind w:right="128"/>
              <w:spacing w:after="0"/>
              <w:rPr>
                <w:sz w:val="20"/>
                <w:szCs w:val="20"/>
                <w:color w:val="auto"/>
              </w:rPr>
            </w:pPr>
            <w:r>
              <w:rPr>
                <w:rFonts w:ascii="Arial" w:cs="Arial" w:eastAsia="Arial" w:hAnsi="Arial"/>
                <w:sz w:val="18"/>
                <w:szCs w:val="18"/>
                <w:color w:val="auto"/>
              </w:rPr>
              <w:t>(69,964 )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(68,294 )</w:t>
            </w: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401,042</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303,382</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2,291,699</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2,080,447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-3715385</wp:posOffset>
            </wp:positionV>
            <wp:extent cx="1241425"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414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-2011680</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87"/>
              </w:rPr>
              <w:t>thousands, except per</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74"/>
              </w:rPr>
              <w:t>share</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956,042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729,700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644,445</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Used equipment sales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135,245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139,769</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92,677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113,708</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Parts sales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65,881</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33,034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35,989</w:t>
            </w:r>
          </w:p>
        </w:tc>
        <w:tc>
          <w:tcPr>
            <w:tcW w:w="100" w:type="dxa"/>
            <w:vAlign w:val="bottom"/>
          </w:tcPr>
          <w:p>
            <w:pPr>
              <w:spacing w:after="0"/>
              <w:rPr>
                <w:sz w:val="20"/>
                <w:szCs w:val="20"/>
                <w:color w:val="auto"/>
              </w:rPr>
            </w:pPr>
          </w:p>
        </w:tc>
      </w:tr>
      <w:tr>
        <w:trPr>
          <w:trHeight w:val="24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1,244,518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1,062,797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1,006,975</w:t>
            </w:r>
          </w:p>
        </w:tc>
        <w:tc>
          <w:tcPr>
            <w:tcW w:w="100" w:type="dxa"/>
            <w:vAlign w:val="bottom"/>
          </w:tcPr>
          <w:p>
            <w:pPr>
              <w:spacing w:after="0"/>
              <w:rPr>
                <w:sz w:val="20"/>
                <w:szCs w:val="20"/>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Rental depreciation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267,395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227,772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225,424</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Rental expense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128,850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97,604</w:t>
            </w:r>
          </w:p>
        </w:tc>
        <w:tc>
          <w:tcPr>
            <w:tcW w:w="100" w:type="dxa"/>
            <w:vAlign w:val="bottom"/>
            <w:shd w:val="clear" w:color="auto" w:fill="CFF0FC"/>
          </w:tcPr>
          <w:p>
            <w:pPr>
              <w:spacing w:after="0"/>
              <w:rPr>
                <w:sz w:val="21"/>
                <w:szCs w:val="21"/>
                <w:color w:val="auto"/>
              </w:rPr>
            </w:pPr>
          </w:p>
        </w:tc>
      </w:tr>
      <w:tr>
        <w:trPr>
          <w:trHeight w:val="243"/>
        </w:trPr>
        <w:tc>
          <w:tcPr>
            <w:tcW w:w="6600" w:type="dxa"/>
            <w:vAlign w:val="bottom"/>
          </w:tcPr>
          <w:p>
            <w:pPr>
              <w:ind w:left="200"/>
              <w:spacing w:after="0"/>
              <w:rPr>
                <w:sz w:val="20"/>
                <w:szCs w:val="20"/>
                <w:color w:val="auto"/>
              </w:rPr>
            </w:pPr>
            <w:r>
              <w:rPr>
                <w:rFonts w:ascii="Arial" w:cs="Arial" w:eastAsia="Arial" w:hAnsi="Arial"/>
                <w:sz w:val="18"/>
                <w:szCs w:val="18"/>
                <w:color w:val="auto"/>
              </w:rPr>
              <w:t>Rental 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99,554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63,909</w:t>
            </w:r>
          </w:p>
        </w:tc>
        <w:tc>
          <w:tcPr>
            <w:tcW w:w="100" w:type="dxa"/>
            <w:vAlign w:val="bottom"/>
          </w:tcPr>
          <w:p>
            <w:pPr>
              <w:spacing w:after="0"/>
              <w:rPr>
                <w:sz w:val="21"/>
                <w:szCs w:val="21"/>
                <w:color w:val="auto"/>
              </w:rPr>
            </w:pPr>
          </w:p>
        </w:tc>
      </w:tr>
      <w:tr>
        <w:trPr>
          <w:trHeight w:val="236"/>
        </w:trPr>
        <w:tc>
          <w:tcPr>
            <w:tcW w:w="6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495,799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386,937</w:t>
            </w:r>
          </w:p>
        </w:tc>
        <w:tc>
          <w:tcPr>
            <w:tcW w:w="100" w:type="dxa"/>
            <w:vAlign w:val="bottom"/>
            <w:shd w:val="clear" w:color="auto" w:fill="CFF0FC"/>
          </w:tcPr>
          <w:p>
            <w:pPr>
              <w:spacing w:after="0"/>
              <w:rPr>
                <w:sz w:val="20"/>
                <w:szCs w:val="20"/>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46,569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86,323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94,799</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New equipment sales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79,430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80,822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101,501</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46,611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48,346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48,131</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Services revenues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100" w:type="dxa"/>
            <w:vAlign w:val="bottom"/>
            <w:shd w:val="clear" w:color="auto" w:fill="CFF0FC"/>
          </w:tcPr>
          <w:p>
            <w:pPr>
              <w:spacing w:after="0"/>
              <w:rPr>
                <w:sz w:val="21"/>
                <w:szCs w:val="21"/>
                <w:color w:val="auto"/>
              </w:rPr>
            </w:pPr>
          </w:p>
        </w:tc>
      </w:tr>
      <w:tr>
        <w:trPr>
          <w:trHeight w:val="243"/>
        </w:trPr>
        <w:tc>
          <w:tcPr>
            <w:tcW w:w="6600" w:type="dxa"/>
            <w:vAlign w:val="bottom"/>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21"/>
                <w:szCs w:val="21"/>
                <w:color w:val="auto"/>
              </w:rPr>
            </w:pPr>
          </w:p>
        </w:tc>
      </w:tr>
      <w:tr>
        <w:trPr>
          <w:trHeight w:val="236"/>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689,355</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647,434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6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555,163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415,363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357,063</w:t>
            </w:r>
          </w:p>
        </w:tc>
        <w:tc>
          <w:tcPr>
            <w:tcW w:w="100" w:type="dxa"/>
            <w:vAlign w:val="bottom"/>
          </w:tcPr>
          <w:p>
            <w:pPr>
              <w:spacing w:after="0"/>
              <w:rPr>
                <w:sz w:val="19"/>
                <w:szCs w:val="19"/>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343,845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290,791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266,397</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320" w:type="dxa"/>
            <w:vAlign w:val="bottom"/>
          </w:tcPr>
          <w:p>
            <w:pPr>
              <w:spacing w:after="0"/>
              <w:rPr>
                <w:sz w:val="20"/>
                <w:szCs w:val="20"/>
                <w:color w:val="auto"/>
              </w:rPr>
            </w:pPr>
          </w:p>
        </w:tc>
        <w:tc>
          <w:tcPr>
            <w:tcW w:w="13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55,664</w:t>
            </w:r>
          </w:p>
        </w:tc>
        <w:tc>
          <w:tcPr>
            <w:tcW w:w="100" w:type="dxa"/>
            <w:vAlign w:val="bottom"/>
          </w:tcPr>
          <w:p>
            <w:pPr>
              <w:spacing w:after="0"/>
              <w:rPr>
                <w:sz w:val="20"/>
                <w:szCs w:val="20"/>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Gain from sales of property and equipment, net</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0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228,154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132,320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43,412</w:t>
            </w:r>
          </w:p>
        </w:tc>
        <w:tc>
          <w:tcPr>
            <w:tcW w:w="100" w:type="dxa"/>
            <w:vAlign w:val="bottom"/>
          </w:tcPr>
          <w:p>
            <w:pPr>
              <w:spacing w:after="0"/>
              <w:rPr>
                <w:sz w:val="20"/>
                <w:szCs w:val="20"/>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320" w:type="dxa"/>
            <w:vAlign w:val="bottom"/>
            <w:gridSpan w:val="2"/>
          </w:tcPr>
          <w:p>
            <w:pPr>
              <w:jc w:val="right"/>
              <w:ind w:right="136"/>
              <w:spacing w:after="0"/>
              <w:rPr>
                <w:sz w:val="20"/>
                <w:szCs w:val="20"/>
                <w:color w:val="auto"/>
              </w:rPr>
            </w:pPr>
            <w:r>
              <w:rPr>
                <w:rFonts w:ascii="Arial" w:cs="Arial" w:eastAsia="Arial" w:hAnsi="Arial"/>
                <w:sz w:val="18"/>
                <w:szCs w:val="18"/>
                <w:color w:val="auto"/>
              </w:rPr>
              <w:t>(54,033 )</w:t>
            </w:r>
          </w:p>
        </w:tc>
        <w:tc>
          <w:tcPr>
            <w:tcW w:w="300" w:type="dxa"/>
            <w:vAlign w:val="bottom"/>
          </w:tcPr>
          <w:p>
            <w:pPr>
              <w:spacing w:after="0"/>
              <w:rPr>
                <w:sz w:val="20"/>
                <w:szCs w:val="20"/>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(53,758 )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(61,790 )</w:t>
            </w: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(44,630 )</w:t>
            </w:r>
          </w:p>
        </w:tc>
      </w:tr>
      <w:tr>
        <w:trPr>
          <w:trHeight w:val="243"/>
        </w:trPr>
        <w:tc>
          <w:tcPr>
            <w:tcW w:w="66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r>
      <w:tr>
        <w:trPr>
          <w:trHeight w:val="236"/>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(47,424</w:t>
            </w: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(50,596</w:t>
            </w:r>
          </w:p>
        </w:tc>
        <w:tc>
          <w:tcPr>
            <w:tcW w:w="26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Income (loss) from operations before provision (benefit) for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180,730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(59,824 )</w:t>
            </w: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(13,428 )</w:t>
            </w: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00" w:type="dxa"/>
            <w:vAlign w:val="bottom"/>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133,694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(46,396 )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Income (loss) from discontinued operations before provision (benefit) for income taxes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(2,049 )</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55,948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18,438</w:t>
            </w:r>
          </w:p>
        </w:tc>
        <w:tc>
          <w:tcPr>
            <w:tcW w:w="100" w:type="dxa"/>
            <w:vAlign w:val="bottom"/>
            <w:shd w:val="clear" w:color="auto" w:fill="CFF0FC"/>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320" w:type="dxa"/>
            <w:vAlign w:val="bottom"/>
            <w:gridSpan w:val="2"/>
          </w:tcPr>
          <w:p>
            <w:pPr>
              <w:jc w:val="right"/>
              <w:ind w:right="136"/>
              <w:spacing w:after="0"/>
              <w:rPr>
                <w:sz w:val="20"/>
                <w:szCs w:val="20"/>
                <w:color w:val="auto"/>
              </w:rPr>
            </w:pPr>
            <w:r>
              <w:rPr>
                <w:rFonts w:ascii="Arial" w:cs="Arial" w:eastAsia="Arial" w:hAnsi="Arial"/>
                <w:sz w:val="18"/>
                <w:szCs w:val="18"/>
                <w:color w:val="auto"/>
              </w:rPr>
              <w:t>(525 )</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1"/>
                <w:szCs w:val="21"/>
                <w:color w:val="auto"/>
              </w:rPr>
            </w:pPr>
          </w:p>
        </w:tc>
      </w:tr>
      <w:tr>
        <w:trPr>
          <w:trHeight w:val="281"/>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41,976</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0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76"/>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132,170</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102,540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28"/>
        </w:trPr>
        <w:tc>
          <w:tcPr>
            <w:tcW w:w="6600" w:type="dxa"/>
            <w:vAlign w:val="bottom"/>
          </w:tcPr>
          <w:p>
            <w:pPr>
              <w:ind w:left="554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-5607685</wp:posOffset>
            </wp:positionV>
            <wp:extent cx="7683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-5607685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-5607685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-3724275</wp:posOffset>
            </wp:positionV>
            <wp:extent cx="7683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-3724275</wp:posOffset>
            </wp:positionV>
            <wp:extent cx="6858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-3724275</wp:posOffset>
            </wp:positionV>
            <wp:extent cx="6858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-3098800</wp:posOffset>
            </wp:positionV>
            <wp:extent cx="7683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-3098800</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-2148840</wp:posOffset>
            </wp:positionV>
            <wp:extent cx="76835"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-2148840</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-1831975</wp:posOffset>
            </wp:positionV>
            <wp:extent cx="7683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-1831975</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-864235</wp:posOffset>
            </wp:positionV>
            <wp:extent cx="7683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-847090</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-521970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3300"/>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OPERATIONS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from continuing operations per common share:</w:t>
            </w: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600" w:type="dxa"/>
            <w:vAlign w:val="bottom"/>
          </w:tcPr>
          <w:p>
            <w:pPr>
              <w:ind w:left="380"/>
              <w:spacing w:after="0"/>
              <w:rPr>
                <w:sz w:val="20"/>
                <w:szCs w:val="20"/>
                <w:color w:val="auto"/>
              </w:rPr>
            </w:pPr>
            <w:r>
              <w:rPr>
                <w:rFonts w:ascii="Arial" w:cs="Arial" w:eastAsia="Arial" w:hAnsi="Arial"/>
                <w:sz w:val="18"/>
                <w:szCs w:val="18"/>
                <w:color w:val="auto"/>
              </w:rPr>
              <w:t>Basic</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21"/>
                <w:szCs w:val="21"/>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6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shd w:val="clear" w:color="auto" w:fill="CFF0FC"/>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 per common share: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FF0FC"/>
          </w:tcPr>
          <w:p>
            <w:pPr>
              <w:jc w:val="right"/>
              <w:ind w:right="65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(0.04 )</w:t>
            </w:r>
          </w:p>
        </w:tc>
        <w:tc>
          <w:tcPr>
            <w:tcW w:w="800" w:type="dxa"/>
            <w:vAlign w:val="bottom"/>
            <w:shd w:val="clear" w:color="auto" w:fill="CFF0FC"/>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23"/>
                <w:szCs w:val="23"/>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(0.04 )</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common share:</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600" w:type="dxa"/>
            <w:vAlign w:val="bottom"/>
          </w:tcPr>
          <w:p>
            <w:pPr>
              <w:ind w:left="380"/>
              <w:spacing w:after="0"/>
              <w:rPr>
                <w:sz w:val="20"/>
                <w:szCs w:val="20"/>
                <w:color w:val="auto"/>
              </w:rPr>
            </w:pPr>
            <w:r>
              <w:rPr>
                <w:rFonts w:ascii="Arial" w:cs="Arial" w:eastAsia="Arial" w:hAnsi="Arial"/>
                <w:sz w:val="18"/>
                <w:szCs w:val="18"/>
                <w:color w:val="auto"/>
              </w:rPr>
              <w:t>Basic</w:t>
            </w: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1"/>
                <w:szCs w:val="21"/>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(0.91 )</w:t>
            </w:r>
          </w:p>
        </w:tc>
      </w:tr>
      <w:tr>
        <w:trPr>
          <w:trHeight w:val="20"/>
        </w:trPr>
        <w:tc>
          <w:tcPr>
            <w:tcW w:w="6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shd w:val="clear" w:color="auto" w:fill="CFF0FC"/>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9"/>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35,943</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36,261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36,089</w:t>
            </w:r>
          </w:p>
        </w:tc>
        <w:tc>
          <w:tcPr>
            <w:tcW w:w="2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36,451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Dividends declared per common share outstanding</w:t>
            </w: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top w:val="single" w:sz="8" w:color="auto"/>
              <w:bottom w:val="single" w:sz="8" w:color="auto"/>
            </w:tcBorders>
            <w:shd w:val="clear" w:color="auto" w:fill="CFF0FC"/>
          </w:tcPr>
          <w:p>
            <w:pPr>
              <w:jc w:val="right"/>
              <w:ind w:right="61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-1746250</wp:posOffset>
            </wp:positionV>
            <wp:extent cx="208915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89150" cy="17970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-1412240</wp:posOffset>
            </wp:positionV>
            <wp:extent cx="208915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89150" cy="20574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-718820</wp:posOffset>
            </wp:positionV>
            <wp:extent cx="208915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89150" cy="17970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-384810</wp:posOffset>
            </wp:positionV>
            <wp:extent cx="208915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89150" cy="20574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Issued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December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39,921,838</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235,844</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(64,783</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136,060</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Cash dividends declared on common stock ($1.10 per share)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(39,579 )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(39,579 )</w:t>
            </w:r>
          </w:p>
        </w:tc>
        <w:tc>
          <w:tcPr>
            <w:tcW w:w="0" w:type="dxa"/>
            <w:vAlign w:val="bottom"/>
          </w:tcPr>
          <w:p>
            <w:pPr>
              <w:spacing w:after="0"/>
              <w:rPr>
                <w:sz w:val="1"/>
                <w:szCs w:val="1"/>
                <w:color w:val="auto"/>
              </w:rPr>
            </w:pPr>
          </w:p>
        </w:tc>
      </w:tr>
      <w:tr>
        <w:trPr>
          <w:trHeight w:val="215"/>
        </w:trPr>
        <w:tc>
          <w:tcPr>
            <w:tcW w:w="4680" w:type="dxa"/>
            <w:vAlign w:val="bottom"/>
          </w:tcPr>
          <w:p>
            <w:pPr>
              <w:ind w:left="200"/>
              <w:spacing w:after="0"/>
              <w:rPr>
                <w:sz w:val="20"/>
                <w:szCs w:val="20"/>
                <w:color w:val="auto"/>
              </w:rPr>
            </w:pPr>
            <w:r>
              <w:rPr>
                <w:rFonts w:ascii="Arial" w:cs="Arial" w:eastAsia="Arial" w:hAnsi="Arial"/>
                <w:sz w:val="18"/>
                <w:szCs w:val="18"/>
                <w:color w:val="auto"/>
                <w:w w:val="99"/>
              </w:rPr>
              <w:t>Issuances of non-vested restricted common stock, net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restricted stock forfeitures</w:t>
            </w:r>
          </w:p>
        </w:tc>
        <w:tc>
          <w:tcPr>
            <w:tcW w:w="1080" w:type="dxa"/>
            <w:vAlign w:val="bottom"/>
          </w:tcPr>
          <w:p>
            <w:pPr>
              <w:jc w:val="right"/>
              <w:spacing w:after="0"/>
              <w:rPr>
                <w:sz w:val="20"/>
                <w:szCs w:val="20"/>
                <w:color w:val="auto"/>
              </w:rPr>
            </w:pPr>
            <w:r>
              <w:rPr>
                <w:rFonts w:ascii="Arial" w:cs="Arial" w:eastAsia="Arial" w:hAnsi="Arial"/>
                <w:sz w:val="18"/>
                <w:szCs w:val="18"/>
                <w:color w:val="auto"/>
              </w:rPr>
              <w:t>320,873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Repurchases of 76,407 shares of restricted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(1,405 )</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(1,405 )</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(32,667 )</w:t>
            </w:r>
          </w:p>
        </w:tc>
        <w:tc>
          <w:tcPr>
            <w:tcW w:w="1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(32,667 )</w:t>
            </w: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December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40,242,711</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240,206</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(66,188</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63,814</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Cash dividends declared on common stock ($1.10 per share)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(39,719 )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(39,719 )</w:t>
            </w:r>
          </w:p>
        </w:tc>
        <w:tc>
          <w:tcPr>
            <w:tcW w:w="0" w:type="dxa"/>
            <w:vAlign w:val="bottom"/>
          </w:tcPr>
          <w:p>
            <w:pPr>
              <w:spacing w:after="0"/>
              <w:rPr>
                <w:sz w:val="1"/>
                <w:szCs w:val="1"/>
                <w:color w:val="auto"/>
              </w:rPr>
            </w:pPr>
          </w:p>
        </w:tc>
      </w:tr>
      <w:tr>
        <w:trPr>
          <w:trHeight w:val="215"/>
        </w:trPr>
        <w:tc>
          <w:tcPr>
            <w:tcW w:w="4680" w:type="dxa"/>
            <w:vAlign w:val="bottom"/>
          </w:tcPr>
          <w:p>
            <w:pPr>
              <w:ind w:left="200"/>
              <w:spacing w:after="0"/>
              <w:rPr>
                <w:sz w:val="20"/>
                <w:szCs w:val="20"/>
                <w:color w:val="auto"/>
              </w:rPr>
            </w:pPr>
            <w:r>
              <w:rPr>
                <w:rFonts w:ascii="Arial" w:cs="Arial" w:eastAsia="Arial" w:hAnsi="Arial"/>
                <w:sz w:val="18"/>
                <w:szCs w:val="18"/>
                <w:color w:val="auto"/>
                <w:w w:val="99"/>
              </w:rPr>
              <w:t>Issuances of non-vested restricted common stock, net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restricted stock forfeitures</w:t>
            </w:r>
          </w:p>
        </w:tc>
        <w:tc>
          <w:tcPr>
            <w:tcW w:w="1080" w:type="dxa"/>
            <w:vAlign w:val="bottom"/>
          </w:tcPr>
          <w:p>
            <w:pPr>
              <w:jc w:val="right"/>
              <w:spacing w:after="0"/>
              <w:rPr>
                <w:sz w:val="20"/>
                <w:szCs w:val="20"/>
                <w:color w:val="auto"/>
              </w:rPr>
            </w:pPr>
            <w:r>
              <w:rPr>
                <w:rFonts w:ascii="Arial" w:cs="Arial" w:eastAsia="Arial" w:hAnsi="Arial"/>
                <w:sz w:val="18"/>
                <w:szCs w:val="18"/>
                <w:color w:val="auto"/>
              </w:rPr>
              <w:t>110,588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Repurchases of 61,476 shares of restricted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(2,106 )</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(2,106 )</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40,353,299</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244,638</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(68,294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126,635</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Cash dividends declared on common stock ($1.10 per share)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(40,105 )</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(40,105 )</w:t>
            </w:r>
          </w:p>
        </w:tc>
        <w:tc>
          <w:tcPr>
            <w:tcW w:w="0" w:type="dxa"/>
            <w:vAlign w:val="bottom"/>
          </w:tcPr>
          <w:p>
            <w:pPr>
              <w:spacing w:after="0"/>
              <w:rPr>
                <w:sz w:val="1"/>
                <w:szCs w:val="1"/>
                <w:color w:val="auto"/>
              </w:rPr>
            </w:pPr>
          </w:p>
        </w:tc>
      </w:tr>
      <w:tr>
        <w:trPr>
          <w:trHeight w:val="215"/>
        </w:trPr>
        <w:tc>
          <w:tcPr>
            <w:tcW w:w="4680" w:type="dxa"/>
            <w:vAlign w:val="bottom"/>
          </w:tcPr>
          <w:p>
            <w:pPr>
              <w:ind w:left="200"/>
              <w:spacing w:after="0"/>
              <w:rPr>
                <w:sz w:val="20"/>
                <w:szCs w:val="20"/>
                <w:color w:val="auto"/>
              </w:rPr>
            </w:pPr>
            <w:r>
              <w:rPr>
                <w:rFonts w:ascii="Arial" w:cs="Arial" w:eastAsia="Arial" w:hAnsi="Arial"/>
                <w:sz w:val="18"/>
                <w:szCs w:val="18"/>
                <w:color w:val="auto"/>
                <w:w w:val="99"/>
              </w:rPr>
              <w:t>Issuances of non-vested restricted common stock, net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restricted stock forfeitures</w:t>
            </w:r>
          </w:p>
        </w:tc>
        <w:tc>
          <w:tcPr>
            <w:tcW w:w="1080" w:type="dxa"/>
            <w:vAlign w:val="bottom"/>
          </w:tcPr>
          <w:p>
            <w:pPr>
              <w:jc w:val="right"/>
              <w:spacing w:after="0"/>
              <w:rPr>
                <w:sz w:val="20"/>
                <w:szCs w:val="20"/>
                <w:color w:val="auto"/>
              </w:rPr>
            </w:pPr>
            <w:r>
              <w:rPr>
                <w:rFonts w:ascii="Arial" w:cs="Arial" w:eastAsia="Arial" w:hAnsi="Arial"/>
                <w:sz w:val="18"/>
                <w:szCs w:val="18"/>
                <w:color w:val="auto"/>
              </w:rPr>
              <w:t>214,577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Repurchases of 46,923 shares of restricted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(1,670 )</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(1,670 )</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132,170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132,170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Balances at December 31,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40,567,876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251,901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(69,964</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218,700</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401,042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80"/>
              </w:rPr>
              <w:t>(Amounts 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132,170</w:t>
            </w:r>
          </w:p>
        </w:tc>
        <w:tc>
          <w:tcPr>
            <w:tcW w:w="12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102,540</w:t>
            </w:r>
          </w:p>
        </w:tc>
        <w:tc>
          <w:tcPr>
            <w:tcW w:w="10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(32,667 )</w:t>
            </w:r>
          </w:p>
        </w:tc>
      </w:tr>
      <w:tr>
        <w:trPr>
          <w:trHeight w:val="221"/>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w:t>
            </w: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2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by operating activities: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29,359</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of rental equipment</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267,395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231,492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233,809</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Accretion of note discount, net of premium amortization</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Amortization of finance lease right-of-use assets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Provision for inventory obsolescence</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(9,116 )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(gain) on sale of discontinued operations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(42,072 )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Impairment of goodwill</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61,994</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early extinguishment of debt</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44,630</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Gain from sales of property and equipment, net</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(16,836 )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(7,797 )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(10,966 )</w:t>
            </w: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from sales of rental equipment, net</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(43,397 )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(50,756 )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(47,728 )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Receivables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(59,768 )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9,328</w:t>
            </w:r>
          </w:p>
        </w:tc>
        <w:tc>
          <w:tcPr>
            <w:tcW w:w="100" w:type="dxa"/>
            <w:vAlign w:val="bottom"/>
            <w:shd w:val="clear" w:color="auto" w:fill="CFF0FC"/>
          </w:tcPr>
          <w:p>
            <w:pPr>
              <w:spacing w:after="0"/>
              <w:rPr>
                <w:sz w:val="21"/>
                <w:szCs w:val="21"/>
                <w:color w:val="auto"/>
              </w:rPr>
            </w:pPr>
          </w:p>
        </w:tc>
      </w:tr>
      <w:tr>
        <w:trPr>
          <w:trHeight w:val="236"/>
        </w:trPr>
        <w:tc>
          <w:tcPr>
            <w:tcW w:w="5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(75,375 )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(56,535 )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(9,521 )</w:t>
            </w:r>
          </w:p>
        </w:tc>
      </w:tr>
      <w:tr>
        <w:trPr>
          <w:trHeight w:val="249"/>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(10,923 )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(117 )</w:t>
            </w:r>
          </w:p>
        </w:tc>
      </w:tr>
      <w:tr>
        <w:trPr>
          <w:trHeight w:val="236"/>
        </w:trPr>
        <w:tc>
          <w:tcPr>
            <w:tcW w:w="5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31,042</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Manufacturer flooring plans payable</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(20,502 )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(15,586 )</w:t>
            </w:r>
          </w:p>
        </w:tc>
      </w:tr>
      <w:tr>
        <w:trPr>
          <w:trHeight w:val="236"/>
        </w:trPr>
        <w:tc>
          <w:tcPr>
            <w:tcW w:w="5220" w:type="dxa"/>
            <w:vAlign w:val="bottom"/>
          </w:tcPr>
          <w:p>
            <w:pPr>
              <w:ind w:left="380"/>
              <w:spacing w:after="0"/>
              <w:rPr>
                <w:sz w:val="20"/>
                <w:szCs w:val="20"/>
                <w:color w:val="auto"/>
              </w:rPr>
            </w:pPr>
            <w:r>
              <w:rPr>
                <w:rFonts w:ascii="Arial" w:cs="Arial" w:eastAsia="Arial" w:hAnsi="Arial"/>
                <w:sz w:val="18"/>
                <w:szCs w:val="18"/>
                <w:color w:val="auto"/>
              </w:rPr>
              <w:t>Accrued expenses payable and other liabilities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(5,453 )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(14,907 )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(23,238 )</w:t>
            </w:r>
          </w:p>
        </w:tc>
      </w:tr>
      <w:tr>
        <w:trPr>
          <w:trHeight w:val="249"/>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compensation payable</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(2,098 )</w:t>
            </w:r>
          </w:p>
        </w:tc>
      </w:tr>
      <w:tr>
        <w:trPr>
          <w:trHeight w:val="236"/>
        </w:trPr>
        <w:tc>
          <w:tcPr>
            <w:tcW w:w="522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313,238</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259,572</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286,016</w:t>
            </w:r>
          </w:p>
        </w:tc>
        <w:tc>
          <w:tcPr>
            <w:tcW w:w="100" w:type="dxa"/>
            <w:vAlign w:val="bottom"/>
            <w:tcBorders>
              <w:top w:val="single" w:sz="8" w:color="CFF0FC"/>
            </w:tcBorders>
          </w:tcPr>
          <w:p>
            <w:pPr>
              <w:spacing w:after="0"/>
              <w:rPr>
                <w:sz w:val="20"/>
                <w:szCs w:val="20"/>
                <w:color w:val="auto"/>
              </w:rPr>
            </w:pP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(135,710 )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Closing adjustment on sale of discontinued operations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(2,256 )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Proceeds from the sale of discontinued operations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(51,452 )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(34,622 )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(18,664 )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Purchases of rental equipment</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(464,434 )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(418,082 )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(116,363 )</w:t>
            </w: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14,524</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200"/>
              <w:spacing w:after="0"/>
              <w:rPr>
                <w:sz w:val="20"/>
                <w:szCs w:val="20"/>
                <w:color w:val="auto"/>
              </w:rPr>
            </w:pPr>
            <w:r>
              <w:rPr>
                <w:rFonts w:ascii="Arial" w:cs="Arial" w:eastAsia="Arial" w:hAnsi="Arial"/>
                <w:sz w:val="18"/>
                <w:szCs w:val="18"/>
                <w:color w:val="auto"/>
              </w:rPr>
              <w:t>Proceeds from sales of rental equipment</w:t>
            </w:r>
          </w:p>
        </w:tc>
        <w:tc>
          <w:tcPr>
            <w:tcW w:w="1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141,594</w:t>
            </w:r>
          </w:p>
        </w:tc>
        <w:tc>
          <w:tcPr>
            <w:tcW w:w="100" w:type="dxa"/>
            <w:vAlign w:val="bottom"/>
          </w:tcPr>
          <w:p>
            <w:pPr>
              <w:spacing w:after="0"/>
              <w:rPr>
                <w:sz w:val="21"/>
                <w:szCs w:val="21"/>
                <w:color w:val="auto"/>
              </w:rPr>
            </w:pPr>
          </w:p>
        </w:tc>
      </w:tr>
      <w:tr>
        <w:trPr>
          <w:trHeight w:val="236"/>
        </w:trPr>
        <w:tc>
          <w:tcPr>
            <w:tcW w:w="5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(546,537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treasury stock</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(1,670 )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(2,106 )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(1,405 )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Borrowings on senior secured credit facility</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1,278,182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1,694,055</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senior secured credit facility</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(1,278,182 )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(1,417,770 )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(1,910,934 )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Principal payments on senior unsecured notes due 2025</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(950,000 )</w:t>
            </w: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Costs paid to tender and redeem senior unsecured notes due 2025</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(40,944 )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Proceeds from issuance of senior unsecured notes due 2028</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financing costs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(11,404 )</w:t>
            </w:r>
          </w:p>
        </w:tc>
      </w:tr>
      <w:tr>
        <w:trPr>
          <w:trHeight w:val="236"/>
        </w:trPr>
        <w:tc>
          <w:tcPr>
            <w:tcW w:w="52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(39,856 )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(39,748 )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(39,595 )</w:t>
            </w: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finance lease obligations</w:t>
            </w: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(245 )</w:t>
            </w:r>
          </w:p>
        </w:tc>
      </w:tr>
      <w:tr>
        <w:trPr>
          <w:trHeight w:val="20"/>
        </w:trPr>
        <w:tc>
          <w:tcPr>
            <w:tcW w:w="52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(42,667 )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(42,183 )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(10,472 )</w:t>
            </w: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3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(275,966</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46,414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296,635</w:t>
            </w:r>
          </w:p>
        </w:tc>
        <w:tc>
          <w:tcPr>
            <w:tcW w:w="100" w:type="dxa"/>
            <w:vAlign w:val="bottom"/>
            <w:shd w:val="clear" w:color="auto" w:fill="CFF0FC"/>
          </w:tcPr>
          <w:p>
            <w:pPr>
              <w:spacing w:after="0"/>
              <w:rPr>
                <w:sz w:val="20"/>
                <w:szCs w:val="20"/>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1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tcPr>
          <w:p>
            <w:pPr>
              <w:spacing w:after="0"/>
              <w:rPr>
                <w:sz w:val="21"/>
                <w:szCs w:val="21"/>
                <w:color w:val="auto"/>
              </w:rPr>
            </w:pPr>
          </w:p>
        </w:tc>
      </w:tr>
      <w:tr>
        <w:trPr>
          <w:trHeight w:val="276"/>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year</w:t>
            </w:r>
          </w:p>
        </w:tc>
        <w:tc>
          <w:tcPr>
            <w:tcW w:w="1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357,296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90"/>
        </w:trPr>
        <w:tc>
          <w:tcPr>
            <w:tcW w:w="5220" w:type="dxa"/>
            <w:vAlign w:val="bottom"/>
          </w:tcPr>
          <w:p>
            <w:pPr>
              <w:spacing w:after="0"/>
              <w:rPr>
                <w:sz w:val="24"/>
                <w:szCs w:val="24"/>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-4383405</wp:posOffset>
            </wp:positionV>
            <wp:extent cx="7683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-4383405</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-4383405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-2816225</wp:posOffset>
            </wp:positionV>
            <wp:extent cx="76835"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-2816225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-1266825</wp:posOffset>
            </wp:positionV>
            <wp:extent cx="768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-1266825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-624205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-607060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-624205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-607060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113"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(Amounts in thousands)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920" w:type="dxa"/>
            <w:vAlign w:val="bottom"/>
          </w:tcPr>
          <w:p>
            <w:pPr>
              <w:ind w:left="200"/>
              <w:spacing w:after="0"/>
              <w:rPr>
                <w:sz w:val="20"/>
                <w:szCs w:val="20"/>
                <w:color w:val="auto"/>
              </w:rPr>
            </w:pPr>
            <w:r>
              <w:rPr>
                <w:rFonts w:ascii="Arial" w:cs="Arial" w:eastAsia="Arial" w:hAnsi="Arial"/>
                <w:sz w:val="18"/>
                <w:szCs w:val="18"/>
                <w:color w:val="auto"/>
              </w:rPr>
              <w:t>Accrued acquisition purchase price consideration</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asset purchases: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920" w:type="dxa"/>
            <w:vAlign w:val="bottom"/>
          </w:tcPr>
          <w:p>
            <w:pPr>
              <w:ind w:left="380"/>
              <w:spacing w:after="0"/>
              <w:rPr>
                <w:sz w:val="20"/>
                <w:szCs w:val="20"/>
                <w:color w:val="auto"/>
              </w:rPr>
            </w:pPr>
            <w:r>
              <w:rPr>
                <w:rFonts w:ascii="Arial" w:cs="Arial" w:eastAsia="Arial" w:hAnsi="Arial"/>
                <w:sz w:val="18"/>
                <w:szCs w:val="18"/>
                <w:color w:val="auto"/>
              </w:rPr>
              <w:t>Assets transferred from inventory to rental fleet</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43,321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18,669</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22,384</w:t>
            </w:r>
          </w:p>
        </w:tc>
        <w:tc>
          <w:tcPr>
            <w:tcW w:w="100" w:type="dxa"/>
            <w:vAlign w:val="bottom"/>
          </w:tcPr>
          <w:p>
            <w:pPr>
              <w:spacing w:after="0"/>
              <w:rPr>
                <w:sz w:val="20"/>
                <w:szCs w:val="20"/>
                <w:color w:val="auto"/>
              </w:rPr>
            </w:pPr>
          </w:p>
        </w:tc>
      </w:tr>
      <w:tr>
        <w:trPr>
          <w:trHeight w:val="221"/>
        </w:trPr>
        <w:tc>
          <w:tcPr>
            <w:tcW w:w="5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property and equipment included in accrued</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9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expenses payable and other liabilities</w:t>
            </w:r>
          </w:p>
        </w:tc>
        <w:tc>
          <w:tcPr>
            <w:tcW w:w="100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(1,213 )</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(429 )</w:t>
            </w:r>
          </w:p>
        </w:tc>
      </w:tr>
      <w:tr>
        <w:trPr>
          <w:trHeight w:val="215"/>
        </w:trPr>
        <w:tc>
          <w:tcPr>
            <w:tcW w:w="5920" w:type="dxa"/>
            <w:vAlign w:val="bottom"/>
          </w:tcPr>
          <w:p>
            <w:pPr>
              <w:ind w:left="380"/>
              <w:spacing w:after="0"/>
              <w:rPr>
                <w:sz w:val="20"/>
                <w:szCs w:val="20"/>
                <w:color w:val="auto"/>
              </w:rPr>
            </w:pPr>
            <w:r>
              <w:rPr>
                <w:rFonts w:ascii="Arial" w:cs="Arial" w:eastAsia="Arial" w:hAnsi="Arial"/>
                <w:sz w:val="18"/>
                <w:szCs w:val="18"/>
                <w:color w:val="auto"/>
              </w:rPr>
              <w:t>Operating lease assets obtained in exchange for new</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20" w:type="dxa"/>
            <w:vAlign w:val="bottom"/>
          </w:tcPr>
          <w:p>
            <w:pPr>
              <w:ind w:left="60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27,880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13,565</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18,372</w:t>
            </w:r>
          </w:p>
        </w:tc>
        <w:tc>
          <w:tcPr>
            <w:tcW w:w="100" w:type="dxa"/>
            <w:vAlign w:val="bottom"/>
          </w:tcPr>
          <w:p>
            <w:pPr>
              <w:spacing w:after="0"/>
              <w:rPr>
                <w:sz w:val="20"/>
                <w:szCs w:val="20"/>
                <w:color w:val="auto"/>
              </w:rPr>
            </w:pPr>
          </w:p>
        </w:tc>
      </w:tr>
      <w:tr>
        <w:trPr>
          <w:trHeight w:val="24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920" w:type="dxa"/>
            <w:vAlign w:val="bottom"/>
          </w:tcPr>
          <w:p>
            <w:pPr>
              <w:ind w:left="200"/>
              <w:spacing w:after="0"/>
              <w:rPr>
                <w:sz w:val="20"/>
                <w:szCs w:val="20"/>
                <w:color w:val="auto"/>
              </w:rPr>
            </w:pPr>
            <w:r>
              <w:rPr>
                <w:rFonts w:ascii="Arial" w:cs="Arial" w:eastAsia="Arial" w:hAnsi="Arial"/>
                <w:sz w:val="18"/>
                <w:szCs w:val="18"/>
                <w:color w:val="auto"/>
              </w:rPr>
              <w:t>Cash paid during the year for:</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w:t>
            </w:r>
          </w:p>
        </w:tc>
        <w:tc>
          <w:tcPr>
            <w:tcW w:w="100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51,828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51,748</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76,547</w:t>
            </w:r>
          </w:p>
        </w:tc>
        <w:tc>
          <w:tcPr>
            <w:tcW w:w="100" w:type="dxa"/>
            <w:vAlign w:val="bottom"/>
            <w:shd w:val="clear" w:color="auto" w:fill="CFF0FC"/>
          </w:tcPr>
          <w:p>
            <w:pPr>
              <w:spacing w:after="0"/>
              <w:rPr>
                <w:sz w:val="21"/>
                <w:szCs w:val="21"/>
                <w:color w:val="auto"/>
              </w:rPr>
            </w:pPr>
          </w:p>
        </w:tc>
      </w:tr>
      <w:tr>
        <w:trPr>
          <w:trHeight w:val="230"/>
        </w:trPr>
        <w:tc>
          <w:tcPr>
            <w:tcW w:w="5920" w:type="dxa"/>
            <w:vAlign w:val="bottom"/>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4,810</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(223 )</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3260"/>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21" w:lineRule="exact"/>
        <w:rPr>
          <w:sz w:val="20"/>
          <w:szCs w:val="20"/>
          <w:color w:val="auto"/>
        </w:rPr>
      </w:pPr>
    </w:p>
    <w:p>
      <w:pPr>
        <w:ind w:right="300" w:firstLine="374"/>
        <w:spacing w:after="0" w:line="301" w:lineRule="auto"/>
        <w:rPr>
          <w:sz w:val="20"/>
          <w:szCs w:val="20"/>
          <w:color w:val="auto"/>
        </w:rPr>
      </w:pPr>
      <w:r>
        <w:rPr>
          <w:rFonts w:ascii="Arial" w:cs="Arial" w:eastAsia="Arial" w:hAnsi="Arial"/>
          <w:sz w:val="16"/>
          <w:szCs w:val="16"/>
          <w:color w:val="auto"/>
        </w:rPr>
        <w:t>Founded in 1961, H&amp;E Equipment Services, Inc. (or “the Company”, “we”, “us”, or “our”) is one of the largest rental equipment companies in the nation, serving customers across 29 states. The Company’s fleet is versatile with an equipment mix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spacing w:after="0" w:line="260"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Our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w:t>
      </w:r>
    </w:p>
    <w:p>
      <w:pPr>
        <w:spacing w:after="0" w:line="145"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On October 1, 2021, the Company sold its crane business (the “Crane Sale”). The results of operations of the Crane Sale are reported in discontinued operations in the Consolidated Statements of Operations for all periods presented and the related assets and liabilities associated with discontinued operations are classified as held for sale in the Consolidated Balance Sheet at December 31, 2020. The Consolidated Statements of Cash Flows includes cash flows related to the discontinued operations and accordingly, cash flow amounts for discontinued operations are disclosed in Note 3 “Acquisitions and Dispositions”. All results and information in the consolidated financial statements are presented as continuing operations and exclude the Crane Sale unless otherwise noted specifically as discontinued operations. For additional information, refer to Note 3.</w:t>
      </w:r>
    </w:p>
    <w:p>
      <w:pPr>
        <w:spacing w:after="0" w:line="149"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All significant intercompany accounts and transactions have been eliminated in these consolidated financial statements. Business combinations are included in the consolidated financial statements from their respective dates of acquisition.</w:t>
      </w:r>
    </w:p>
    <w:p>
      <w:pPr>
        <w:spacing w:after="0" w:line="129" w:lineRule="exact"/>
        <w:rPr>
          <w:sz w:val="20"/>
          <w:szCs w:val="20"/>
          <w:color w:val="auto"/>
        </w:rPr>
      </w:pPr>
    </w:p>
    <w:p>
      <w:pPr>
        <w:ind w:right="380" w:firstLine="374"/>
        <w:spacing w:after="0" w:line="307" w:lineRule="auto"/>
        <w:rPr>
          <w:sz w:val="20"/>
          <w:szCs w:val="20"/>
          <w:color w:val="auto"/>
        </w:rPr>
      </w:pPr>
      <w:r>
        <w:rPr>
          <w:rFonts w:ascii="Arial" w:cs="Arial" w:eastAsia="Arial" w:hAnsi="Arial"/>
          <w:sz w:val="17"/>
          <w:szCs w:val="17"/>
          <w:color w:val="auto"/>
        </w:rPr>
        <w:t>The nature of our business is such that short-term obligations are typically met by cash flows generated from long-term assets. Consequently, and consistent with industry practice, the accompanying consolidated balance sheets are presented on an unclassified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consolidated financial statements. Actual results may differ materially from those estimates. We review our estimates on an ongoing basis based on information currently available, and changes in facts and circumstances may cause us to revise these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Certain reclassifications have been made to prior period amounts in the Consolidated Statements of Operations to conform to the current period presentation. These reclassifications did not have a material impact on previously reported amounts.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We recognize revenue in accordance with two different Financial Accounting Standards Board (“FASB”) Accounting Standards Codification (“ASC”) standards: 1) Topic 606 and 2) Topic 842.</w:t>
      </w:r>
    </w:p>
    <w:p>
      <w:pPr>
        <w:spacing w:after="0" w:line="142"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color w:val="auto"/>
        </w:rPr>
        <w:t>Under Topic 606, Revenue from Contracts with Customers, revenue is recognized when control of the promised goods or services is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ind w:right="100" w:firstLine="374"/>
        <w:spacing w:after="0" w:line="301" w:lineRule="auto"/>
        <w:rPr>
          <w:sz w:val="20"/>
          <w:szCs w:val="20"/>
          <w:color w:val="auto"/>
        </w:rPr>
      </w:pPr>
      <w:r>
        <w:rPr>
          <w:rFonts w:ascii="Arial" w:cs="Arial" w:eastAsia="Arial" w:hAnsi="Arial"/>
          <w:sz w:val="16"/>
          <w:szCs w:val="16"/>
          <w:color w:val="auto"/>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spacing w:after="0" w:line="129"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tables below summarize our revenues as presented in our Consolidated Statements of Operations for the years ended December 31, 2022, 2021 and 2020 by revenue type and by the applicable accounting standard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December 31, 2022</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auto"/>
              </w:rPr>
              <w:t>Topic 842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Topic 606</w:t>
            </w:r>
          </w:p>
        </w:tc>
        <w:tc>
          <w:tcPr>
            <w:tcW w:w="360" w:type="dxa"/>
            <w:vAlign w:val="bottom"/>
          </w:tcPr>
          <w:p>
            <w:pPr>
              <w:spacing w:after="0"/>
              <w:rPr>
                <w:sz w:val="19"/>
                <w:szCs w:val="19"/>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Rental Revenues: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Owned equipment rentals</w:t>
            </w:r>
          </w:p>
        </w:tc>
        <w:tc>
          <w:tcPr>
            <w:tcW w:w="2020" w:type="dxa"/>
            <w:vAlign w:val="bottom"/>
            <w:shd w:val="clear" w:color="auto" w:fill="CFF0FC"/>
          </w:tcPr>
          <w:p>
            <w:pPr>
              <w:spacing w:after="0"/>
              <w:rPr>
                <w:sz w:val="21"/>
                <w:szCs w:val="21"/>
                <w:color w:val="auto"/>
              </w:rPr>
            </w:pP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814,423</w:t>
            </w:r>
          </w:p>
        </w:tc>
        <w:tc>
          <w:tcPr>
            <w:tcW w:w="120" w:type="dxa"/>
            <w:vAlign w:val="bottom"/>
            <w:shd w:val="clear" w:color="auto" w:fill="CCEC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C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814,829</w:t>
            </w:r>
          </w:p>
        </w:tc>
        <w:tc>
          <w:tcPr>
            <w:tcW w:w="100" w:type="dxa"/>
            <w:vAlign w:val="bottom"/>
            <w:shd w:val="clear" w:color="auto" w:fill="CCECFF"/>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Arial" w:cs="Arial" w:eastAsia="Arial" w:hAnsi="Arial"/>
                <w:sz w:val="18"/>
                <w:szCs w:val="18"/>
                <w:color w:val="auto"/>
              </w:rPr>
              <w:t>Re-rent revenue</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32,726</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Ancillary and other rental revenues:</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Arial" w:cs="Arial" w:eastAsia="Arial" w:hAnsi="Arial"/>
                <w:sz w:val="18"/>
                <w:szCs w:val="18"/>
                <w:color w:val="auto"/>
              </w:rPr>
              <w:t>Delivery and pick-up</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56,303</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52,184</w:t>
            </w: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ancillary rental revenues</w:t>
            </w:r>
          </w:p>
        </w:tc>
        <w:tc>
          <w:tcPr>
            <w:tcW w:w="20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52,184</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56,303</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108,487</w:t>
            </w:r>
          </w:p>
        </w:tc>
        <w:tc>
          <w:tcPr>
            <w:tcW w:w="100" w:type="dxa"/>
            <w:vAlign w:val="bottom"/>
            <w:tcBorders>
              <w:top w:val="single" w:sz="8" w:color="CFF0FC"/>
            </w:tcBorders>
          </w:tcPr>
          <w:p>
            <w:pPr>
              <w:spacing w:after="0"/>
              <w:rPr>
                <w:sz w:val="20"/>
                <w:szCs w:val="20"/>
                <w:color w:val="auto"/>
              </w:rPr>
            </w:pPr>
          </w:p>
        </w:tc>
      </w:tr>
      <w:tr>
        <w:trPr>
          <w:trHeight w:val="236"/>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equipment rental revenues</w:t>
            </w:r>
          </w:p>
        </w:tc>
        <w:tc>
          <w:tcPr>
            <w:tcW w:w="2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899,333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56,709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Used equipment sales</w:t>
            </w: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90,885</w:t>
            </w:r>
          </w:p>
        </w:tc>
        <w:tc>
          <w:tcPr>
            <w:tcW w:w="100" w:type="dxa"/>
            <w:vAlign w:val="bottom"/>
          </w:tcPr>
          <w:p>
            <w:pPr>
              <w:spacing w:after="0"/>
              <w:rPr>
                <w:sz w:val="19"/>
                <w:szCs w:val="19"/>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equipment sales</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92,526</w:t>
            </w: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Parts sales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64,646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64,646</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Services revenues</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34,226</w:t>
            </w:r>
          </w:p>
        </w:tc>
        <w:tc>
          <w:tcPr>
            <w:tcW w:w="100" w:type="dxa"/>
            <w:vAlign w:val="bottom"/>
            <w:shd w:val="clear" w:color="auto" w:fill="CFF0FC"/>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1"/>
                <w:szCs w:val="21"/>
                <w:color w:val="auto"/>
              </w:rPr>
            </w:pPr>
          </w:p>
        </w:tc>
      </w:tr>
      <w:tr>
        <w:trPr>
          <w:trHeight w:val="276"/>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0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899,333</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345,185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1,244,518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45"/>
        </w:trPr>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December 31, 2021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auto"/>
              </w:rPr>
              <w:t>Topic 842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Topic 606</w:t>
            </w:r>
          </w:p>
        </w:tc>
        <w:tc>
          <w:tcPr>
            <w:tcW w:w="360" w:type="dxa"/>
            <w:vAlign w:val="bottom"/>
          </w:tcPr>
          <w:p>
            <w:pPr>
              <w:spacing w:after="0"/>
              <w:rPr>
                <w:sz w:val="19"/>
                <w:szCs w:val="19"/>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Rental Revenues: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Owned equipment rentals</w:t>
            </w:r>
          </w:p>
        </w:tc>
        <w:tc>
          <w:tcPr>
            <w:tcW w:w="2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617,831</w:t>
            </w:r>
          </w:p>
        </w:tc>
        <w:tc>
          <w:tcPr>
            <w:tcW w:w="5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618,185</w:t>
            </w: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Arial" w:cs="Arial" w:eastAsia="Arial" w:hAnsi="Arial"/>
                <w:sz w:val="18"/>
                <w:szCs w:val="18"/>
                <w:color w:val="auto"/>
              </w:rPr>
              <w:t>Re-rent revenue</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34,819</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Ancillary and other rental revenues:</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Pr>
          <w:p>
            <w:pPr>
              <w:ind w:left="200"/>
              <w:spacing w:after="0"/>
              <w:rPr>
                <w:sz w:val="20"/>
                <w:szCs w:val="20"/>
                <w:color w:val="auto"/>
              </w:rPr>
            </w:pPr>
            <w:r>
              <w:rPr>
                <w:rFonts w:ascii="Arial" w:cs="Arial" w:eastAsia="Arial" w:hAnsi="Arial"/>
                <w:sz w:val="18"/>
                <w:szCs w:val="18"/>
                <w:color w:val="auto"/>
              </w:rPr>
              <w:t>Delivery and pick-up</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40,523</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36,173</w:t>
            </w: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ancillary rental revenues</w:t>
            </w:r>
          </w:p>
        </w:tc>
        <w:tc>
          <w:tcPr>
            <w:tcW w:w="20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36,173</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40,523</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76,696</w:t>
            </w:r>
          </w:p>
        </w:tc>
        <w:tc>
          <w:tcPr>
            <w:tcW w:w="100" w:type="dxa"/>
            <w:vAlign w:val="bottom"/>
            <w:tcBorders>
              <w:top w:val="single" w:sz="8" w:color="CFF0FC"/>
            </w:tcBorders>
          </w:tcPr>
          <w:p>
            <w:pPr>
              <w:spacing w:after="0"/>
              <w:rPr>
                <w:sz w:val="20"/>
                <w:szCs w:val="20"/>
                <w:color w:val="auto"/>
              </w:rPr>
            </w:pPr>
          </w:p>
        </w:tc>
      </w:tr>
      <w:tr>
        <w:trPr>
          <w:trHeight w:val="236"/>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equipment rental revenues</w:t>
            </w:r>
          </w:p>
        </w:tc>
        <w:tc>
          <w:tcPr>
            <w:tcW w:w="2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688,823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Used equipment sales</w:t>
            </w: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135,245</w:t>
            </w:r>
          </w:p>
        </w:tc>
        <w:tc>
          <w:tcPr>
            <w:tcW w:w="100" w:type="dxa"/>
            <w:vAlign w:val="bottom"/>
          </w:tcPr>
          <w:p>
            <w:pPr>
              <w:spacing w:after="0"/>
              <w:rPr>
                <w:sz w:val="19"/>
                <w:szCs w:val="19"/>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equipment sales</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92,677</w:t>
            </w:r>
          </w:p>
        </w:tc>
        <w:tc>
          <w:tcPr>
            <w:tcW w:w="100" w:type="dxa"/>
            <w:vAlign w:val="bottom"/>
            <w:shd w:val="clear" w:color="auto" w:fill="CFF0FC"/>
          </w:tcPr>
          <w:p>
            <w:pPr>
              <w:spacing w:after="0"/>
              <w:rPr>
                <w:sz w:val="21"/>
                <w:szCs w:val="2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Parts sales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65,623</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Services revenues</w:t>
            </w:r>
          </w:p>
        </w:tc>
        <w:tc>
          <w:tcPr>
            <w:tcW w:w="2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33,034</w:t>
            </w:r>
          </w:p>
        </w:tc>
        <w:tc>
          <w:tcPr>
            <w:tcW w:w="100" w:type="dxa"/>
            <w:vAlign w:val="bottom"/>
            <w:shd w:val="clear" w:color="auto" w:fill="CFF0FC"/>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1"/>
                <w:szCs w:val="21"/>
                <w:color w:val="auto"/>
              </w:rPr>
            </w:pPr>
          </w:p>
        </w:tc>
      </w:tr>
      <w:tr>
        <w:trPr>
          <w:trHeight w:val="276"/>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0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688,823</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373,974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1,062,797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95"/>
        </w:trPr>
        <w:tc>
          <w:tcPr>
            <w:tcW w:w="4080" w:type="dxa"/>
            <w:vAlign w:val="bottom"/>
          </w:tcPr>
          <w:p>
            <w:pPr>
              <w:spacing w:after="0"/>
              <w:rPr>
                <w:sz w:val="24"/>
                <w:szCs w:val="24"/>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-4588510</wp:posOffset>
            </wp:positionV>
            <wp:extent cx="7683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-4588510</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-4588510</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-4263390</wp:posOffset>
            </wp:positionV>
            <wp:extent cx="7683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-4263390</wp:posOffset>
            </wp:positionV>
            <wp:extent cx="6858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-4263390</wp:posOffset>
            </wp:positionV>
            <wp:extent cx="685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-3321685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-3304540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-3321685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-3304540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-3321685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-1823085</wp:posOffset>
            </wp:positionV>
            <wp:extent cx="7683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-1823085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-1497965</wp:posOffset>
            </wp:positionV>
            <wp:extent cx="76835"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-1497965</wp:posOffset>
            </wp:positionV>
            <wp:extent cx="685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-555625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-538480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-555625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-538480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-555625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2020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auto"/>
              </w:rPr>
              <w:t>Topic 842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Topic 606</w:t>
            </w:r>
          </w:p>
        </w:tc>
        <w:tc>
          <w:tcPr>
            <w:tcW w:w="360" w:type="dxa"/>
            <w:vAlign w:val="bottom"/>
          </w:tcPr>
          <w:p>
            <w:pPr>
              <w:spacing w:after="0"/>
              <w:rPr>
                <w:sz w:val="19"/>
                <w:szCs w:val="19"/>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100" w:type="dxa"/>
            <w:vAlign w:val="bottom"/>
          </w:tcPr>
          <w:p>
            <w:pPr>
              <w:ind w:left="20"/>
              <w:spacing w:after="0"/>
              <w:rPr>
                <w:sz w:val="20"/>
                <w:szCs w:val="20"/>
                <w:color w:val="auto"/>
              </w:rPr>
            </w:pPr>
            <w:r>
              <w:rPr>
                <w:rFonts w:ascii="Arial" w:cs="Arial" w:eastAsia="Arial" w:hAnsi="Arial"/>
                <w:sz w:val="18"/>
                <w:szCs w:val="18"/>
                <w:color w:val="auto"/>
              </w:rPr>
              <w:t>Rental Revenues: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Owned equipment rentals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557,166</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557,637</w:t>
            </w:r>
          </w:p>
        </w:tc>
        <w:tc>
          <w:tcPr>
            <w:tcW w:w="100" w:type="dxa"/>
            <w:vAlign w:val="bottom"/>
            <w:shd w:val="clear" w:color="auto" w:fill="CFF0FC"/>
          </w:tcPr>
          <w:p>
            <w:pPr>
              <w:spacing w:after="0"/>
              <w:rPr>
                <w:sz w:val="21"/>
                <w:szCs w:val="21"/>
                <w:color w:val="auto"/>
              </w:rPr>
            </w:pPr>
          </w:p>
        </w:tc>
      </w:tr>
      <w:tr>
        <w:trPr>
          <w:trHeight w:val="236"/>
        </w:trPr>
        <w:tc>
          <w:tcPr>
            <w:tcW w:w="6100" w:type="dxa"/>
            <w:vAlign w:val="bottom"/>
          </w:tcPr>
          <w:p>
            <w:pPr>
              <w:ind w:left="200"/>
              <w:spacing w:after="0"/>
              <w:rPr>
                <w:sz w:val="20"/>
                <w:szCs w:val="20"/>
                <w:color w:val="auto"/>
              </w:rPr>
            </w:pPr>
            <w:r>
              <w:rPr>
                <w:rFonts w:ascii="Arial" w:cs="Arial" w:eastAsia="Arial" w:hAnsi="Arial"/>
                <w:sz w:val="18"/>
                <w:szCs w:val="18"/>
                <w:color w:val="auto"/>
              </w:rPr>
              <w:t>Re-rent revenue</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23,507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23,507</w:t>
            </w:r>
          </w:p>
        </w:tc>
        <w:tc>
          <w:tcPr>
            <w:tcW w:w="100" w:type="dxa"/>
            <w:vAlign w:val="bottom"/>
          </w:tcPr>
          <w:p>
            <w:pPr>
              <w:spacing w:after="0"/>
              <w:rPr>
                <w:sz w:val="20"/>
                <w:szCs w:val="20"/>
                <w:color w:val="auto"/>
              </w:rPr>
            </w:pPr>
          </w:p>
        </w:tc>
      </w:tr>
      <w:tr>
        <w:trPr>
          <w:trHeight w:val="24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Ancillary and other rental revenues: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100" w:type="dxa"/>
            <w:vAlign w:val="bottom"/>
          </w:tcPr>
          <w:p>
            <w:pPr>
              <w:ind w:left="200"/>
              <w:spacing w:after="0"/>
              <w:rPr>
                <w:sz w:val="20"/>
                <w:szCs w:val="20"/>
                <w:color w:val="auto"/>
              </w:rPr>
            </w:pPr>
            <w:r>
              <w:rPr>
                <w:rFonts w:ascii="Arial" w:cs="Arial" w:eastAsia="Arial" w:hAnsi="Arial"/>
                <w:sz w:val="18"/>
                <w:szCs w:val="18"/>
                <w:color w:val="auto"/>
              </w:rPr>
              <w:t>Delivery and pick-up</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35,793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35,793</w:t>
            </w:r>
          </w:p>
        </w:tc>
        <w:tc>
          <w:tcPr>
            <w:tcW w:w="100" w:type="dxa"/>
            <w:vAlign w:val="bottom"/>
          </w:tcPr>
          <w:p>
            <w:pPr>
              <w:spacing w:after="0"/>
              <w:rPr>
                <w:sz w:val="20"/>
                <w:szCs w:val="20"/>
                <w:color w:val="auto"/>
              </w:rPr>
            </w:pP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27,508</w:t>
            </w:r>
          </w:p>
        </w:tc>
        <w:tc>
          <w:tcPr>
            <w:tcW w:w="100" w:type="dxa"/>
            <w:vAlign w:val="bottom"/>
            <w:shd w:val="clear" w:color="auto" w:fill="CFF0FC"/>
          </w:tcPr>
          <w:p>
            <w:pPr>
              <w:spacing w:after="0"/>
              <w:rPr>
                <w:sz w:val="21"/>
                <w:szCs w:val="21"/>
                <w:color w:val="auto"/>
              </w:rPr>
            </w:pPr>
          </w:p>
        </w:tc>
      </w:tr>
      <w:tr>
        <w:trPr>
          <w:trHeight w:val="236"/>
        </w:trPr>
        <w:tc>
          <w:tcPr>
            <w:tcW w:w="6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ancillary rental revenues</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27,508</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35,793</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63,301</w:t>
            </w:r>
          </w:p>
        </w:tc>
        <w:tc>
          <w:tcPr>
            <w:tcW w:w="100" w:type="dxa"/>
            <w:vAlign w:val="bottom"/>
            <w:tcBorders>
              <w:top w:val="single" w:sz="8" w:color="CFF0FC"/>
            </w:tcBorders>
          </w:tcPr>
          <w:p>
            <w:pPr>
              <w:spacing w:after="0"/>
              <w:rPr>
                <w:sz w:val="20"/>
                <w:szCs w:val="20"/>
                <w:color w:val="auto"/>
              </w:rPr>
            </w:pPr>
          </w:p>
        </w:tc>
      </w:tr>
      <w:tr>
        <w:trPr>
          <w:trHeight w:val="23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equipment rental revenues</w:t>
            </w: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608,181</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644,445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Used equipment sales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139,769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139,769</w:t>
            </w:r>
          </w:p>
        </w:tc>
        <w:tc>
          <w:tcPr>
            <w:tcW w:w="100" w:type="dxa"/>
            <w:vAlign w:val="bottom"/>
          </w:tcPr>
          <w:p>
            <w:pPr>
              <w:spacing w:after="0"/>
              <w:rPr>
                <w:sz w:val="19"/>
                <w:szCs w:val="19"/>
                <w:color w:val="auto"/>
              </w:rPr>
            </w:pPr>
          </w:p>
        </w:tc>
      </w:tr>
      <w:tr>
        <w:trPr>
          <w:trHeight w:val="24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equipment sales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113,708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113,708</w:t>
            </w:r>
          </w:p>
        </w:tc>
        <w:tc>
          <w:tcPr>
            <w:tcW w:w="100" w:type="dxa"/>
            <w:vAlign w:val="bottom"/>
            <w:shd w:val="clear" w:color="auto" w:fill="CFF0FC"/>
          </w:tcPr>
          <w:p>
            <w:pPr>
              <w:spacing w:after="0"/>
              <w:rPr>
                <w:sz w:val="21"/>
                <w:szCs w:val="21"/>
                <w:color w:val="auto"/>
              </w:rPr>
            </w:pPr>
          </w:p>
        </w:tc>
      </w:tr>
      <w:tr>
        <w:trPr>
          <w:trHeight w:val="236"/>
        </w:trPr>
        <w:tc>
          <w:tcPr>
            <w:tcW w:w="6100" w:type="dxa"/>
            <w:vAlign w:val="bottom"/>
          </w:tcPr>
          <w:p>
            <w:pPr>
              <w:ind w:left="20"/>
              <w:spacing w:after="0"/>
              <w:rPr>
                <w:sz w:val="20"/>
                <w:szCs w:val="20"/>
                <w:color w:val="auto"/>
              </w:rPr>
            </w:pPr>
            <w:r>
              <w:rPr>
                <w:rFonts w:ascii="Arial" w:cs="Arial" w:eastAsia="Arial" w:hAnsi="Arial"/>
                <w:sz w:val="18"/>
                <w:szCs w:val="18"/>
                <w:color w:val="auto"/>
              </w:rPr>
              <w:t>Parts sales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65,881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65,881</w:t>
            </w:r>
          </w:p>
        </w:tc>
        <w:tc>
          <w:tcPr>
            <w:tcW w:w="100" w:type="dxa"/>
            <w:vAlign w:val="bottom"/>
          </w:tcPr>
          <w:p>
            <w:pPr>
              <w:spacing w:after="0"/>
              <w:rPr>
                <w:sz w:val="20"/>
                <w:szCs w:val="20"/>
                <w:color w:val="auto"/>
              </w:rPr>
            </w:pPr>
          </w:p>
        </w:tc>
      </w:tr>
      <w:tr>
        <w:trPr>
          <w:trHeight w:val="249"/>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Services revenues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35,989</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21"/>
                <w:szCs w:val="21"/>
                <w:color w:val="auto"/>
              </w:rPr>
            </w:pPr>
          </w:p>
        </w:tc>
      </w:tr>
      <w:tr>
        <w:trPr>
          <w:trHeight w:val="276"/>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608,181</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398,794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-1292225</wp:posOffset>
            </wp:positionV>
            <wp:extent cx="7683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-1292225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-967105</wp:posOffset>
            </wp:positionV>
            <wp:extent cx="76835"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-967105</wp:posOffset>
            </wp:positionV>
            <wp:extent cx="6858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380" w:firstLine="374"/>
        <w:spacing w:after="0" w:line="311" w:lineRule="auto"/>
        <w:rPr>
          <w:sz w:val="20"/>
          <w:szCs w:val="20"/>
          <w:color w:val="auto"/>
        </w:rPr>
      </w:pPr>
      <w:r>
        <w:rPr>
          <w:rFonts w:ascii="Arial" w:cs="Arial" w:eastAsia="Arial" w:hAnsi="Arial"/>
          <w:sz w:val="16"/>
          <w:szCs w:val="16"/>
          <w:color w:val="auto"/>
        </w:rPr>
        <w:t>Revenues by reporting segment are presented in Note 17, using the revenue captions reflected in our Consolidated Statements of Operations. We believe that the disaggregation of our revenues from contracts to customers as reflected above, coupled with further discussion below and the reporting segment in Note 17, depicts how the nature, amount, timing and uncertainty of our revenues and cash flows are affected by economic factors.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Lease revenues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Topic 842</w:t>
      </w:r>
    </w:p>
    <w:p>
      <w:pPr>
        <w:spacing w:after="0" w:line="117" w:lineRule="exact"/>
        <w:rPr>
          <w:sz w:val="20"/>
          <w:szCs w:val="20"/>
          <w:color w:val="auto"/>
        </w:rPr>
      </w:pPr>
    </w:p>
    <w:p>
      <w:pPr>
        <w:ind w:left="300" w:right="40" w:firstLine="460"/>
        <w:spacing w:after="0" w:line="288" w:lineRule="auto"/>
        <w:rPr>
          <w:sz w:val="20"/>
          <w:szCs w:val="20"/>
          <w:color w:val="auto"/>
        </w:rPr>
      </w:pPr>
      <w:r>
        <w:rPr>
          <w:rFonts w:ascii="Arial" w:cs="Arial" w:eastAsia="Arial" w:hAnsi="Arial"/>
          <w:sz w:val="16"/>
          <w:szCs w:val="16"/>
          <w:i w:val="1"/>
          <w:iCs w:val="1"/>
          <w:color w:val="auto"/>
        </w:rPr>
        <w:t>Owned equipment rentals</w:t>
      </w:r>
      <w:r>
        <w:rPr>
          <w:rFonts w:ascii="Arial" w:cs="Arial" w:eastAsia="Arial" w:hAnsi="Arial"/>
          <w:sz w:val="16"/>
          <w:szCs w:val="16"/>
          <w:color w:val="auto"/>
        </w:rPr>
        <w:t>: Owned equipment rentals represent revenues from renting equipment. We account for these rental contracts as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Our equipment is generally rented for short periods of time (less than a year). Because the rental contracts can extend across multiple reporting periods, we record unbilled rental revenues and deferred rental revenues at the end of reporting periods so rental revenues earned is appropriately stated for the periods presented. The lease terms are included in our contracts, and the determination of whether our contracts contain leases generally does not require significant assumptions or judgments. In some cases, a rental contract may contain a rental purchase option, whereby the customer has an option to purchase the rented equipment at the end of the term for a specified price. Revenues related to the rental contract will be accounted for as an operating lease as the option to purchase is not reasonably certain to be exercised. Lessees do not provide residual value guarantees on rented equipment.</w:t>
      </w:r>
    </w:p>
    <w:p>
      <w:pPr>
        <w:spacing w:after="0" w:line="143" w:lineRule="exact"/>
        <w:rPr>
          <w:sz w:val="20"/>
          <w:szCs w:val="20"/>
          <w:color w:val="auto"/>
        </w:rPr>
      </w:pPr>
    </w:p>
    <w:p>
      <w:pPr>
        <w:ind w:left="300" w:right="340" w:firstLine="460"/>
        <w:spacing w:after="0" w:line="341" w:lineRule="auto"/>
        <w:rPr>
          <w:sz w:val="20"/>
          <w:szCs w:val="20"/>
          <w:color w:val="auto"/>
        </w:rPr>
      </w:pPr>
      <w:r>
        <w:rPr>
          <w:rFonts w:ascii="Arial" w:cs="Arial" w:eastAsia="Arial" w:hAnsi="Arial"/>
          <w:sz w:val="16"/>
          <w:szCs w:val="16"/>
          <w:i w:val="1"/>
          <w:iCs w:val="1"/>
          <w:color w:val="auto"/>
        </w:rPr>
        <w:t>Re-rent revenue</w:t>
      </w:r>
      <w:r>
        <w:rPr>
          <w:rFonts w:ascii="Arial" w:cs="Arial" w:eastAsia="Arial" w:hAnsi="Arial"/>
          <w:sz w:val="16"/>
          <w:szCs w:val="16"/>
          <w:color w:val="auto"/>
        </w:rPr>
        <w:t>: Re-rent revenue reflects revenues from equipment that we rent from vendors and then rent to our customers. We account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such rentals as subleases. The accounting for re-rent revenue is the same as the accounting for owned equipment rentals described above.</w:t>
      </w:r>
    </w:p>
    <w:p>
      <w:pPr>
        <w:spacing w:after="0" w:line="84" w:lineRule="exact"/>
        <w:rPr>
          <w:sz w:val="20"/>
          <w:szCs w:val="20"/>
          <w:color w:val="auto"/>
        </w:rPr>
      </w:pPr>
    </w:p>
    <w:p>
      <w:pPr>
        <w:ind w:left="300" w:firstLine="460"/>
        <w:spacing w:after="0" w:line="256" w:lineRule="auto"/>
        <w:rPr>
          <w:sz w:val="20"/>
          <w:szCs w:val="20"/>
          <w:color w:val="auto"/>
        </w:rPr>
      </w:pPr>
      <w:r>
        <w:rPr>
          <w:rFonts w:ascii="Arial" w:cs="Arial" w:eastAsia="Arial" w:hAnsi="Arial"/>
          <w:sz w:val="18"/>
          <w:szCs w:val="18"/>
          <w:i w:val="1"/>
          <w:iCs w:val="1"/>
          <w:color w:val="auto"/>
        </w:rPr>
        <w:t>Other equipment rental revenue</w:t>
      </w:r>
      <w:r>
        <w:rPr>
          <w:rFonts w:ascii="Arial" w:cs="Arial" w:eastAsia="Arial" w:hAnsi="Arial"/>
          <w:sz w:val="18"/>
          <w:szCs w:val="18"/>
          <w:color w:val="auto"/>
        </w:rPr>
        <w:t>: Other equipment rental revenue is primarily comprised of (i) revenue from customers who purchase insurance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against potential damages or loss to the equipment they rent, (ii) environmental charges associated with the rental of equipment, and (iii) fuel recovery fees charged to customers. Fuel consumption charges are recognized upon return of the rental equipment when fuel consumption by the customer, if any, can be measured. Income from environmental fees and damage waiver insurance policies are recognized when earned over the period the equipment is rented.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Revenues from contracts with customers (Topic 606)</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Substantially all of our revenues under Topic 606 are recognized at a point-in-time rather than over time.</w:t>
      </w:r>
    </w:p>
    <w:p>
      <w:pPr>
        <w:spacing w:after="0" w:line="184" w:lineRule="exact"/>
        <w:rPr>
          <w:sz w:val="20"/>
          <w:szCs w:val="20"/>
          <w:color w:val="auto"/>
        </w:rPr>
      </w:pPr>
    </w:p>
    <w:p>
      <w:pPr>
        <w:ind w:left="380" w:right="180" w:firstLine="374"/>
        <w:spacing w:after="0" w:line="301" w:lineRule="auto"/>
        <w:rPr>
          <w:sz w:val="20"/>
          <w:szCs w:val="20"/>
          <w:color w:val="auto"/>
        </w:rPr>
      </w:pPr>
      <w:r>
        <w:rPr>
          <w:rFonts w:ascii="Arial" w:cs="Arial" w:eastAsia="Arial" w:hAnsi="Arial"/>
          <w:sz w:val="16"/>
          <w:szCs w:val="16"/>
          <w:i w:val="1"/>
          <w:iCs w:val="1"/>
          <w:color w:val="auto"/>
        </w:rPr>
        <w:t xml:space="preserve">Owned equipment rentals: </w:t>
      </w:r>
      <w:r>
        <w:rPr>
          <w:rFonts w:ascii="Arial" w:cs="Arial" w:eastAsia="Arial" w:hAnsi="Arial"/>
          <w:sz w:val="16"/>
          <w:szCs w:val="16"/>
          <w:color w:val="auto"/>
        </w:rPr>
        <w:t>An insignificant portion of our total equipment rental revenues are recognized pursuant to Topic 606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Topic 842. These revenues represent services performed by us in connection with the rental of equipment and are comprised of customer training fees on rented equipment and setup and configuration services on rental equipment. Revenues for these services are recognized upon completion of such services. See discussion above regarding rental revenues recognized pursuant to Topic 842.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50" w:name="page51"/>
    <w:bookmarkEnd w:id="50"/>
    <w:p>
      <w:pPr>
        <w:ind w:left="760"/>
        <w:spacing w:after="0"/>
        <w:rPr>
          <w:sz w:val="20"/>
          <w:szCs w:val="20"/>
          <w:color w:val="auto"/>
        </w:rPr>
      </w:pPr>
      <w:r>
        <w:rPr>
          <w:rFonts w:ascii="Arial" w:cs="Arial" w:eastAsia="Arial" w:hAnsi="Arial"/>
          <w:sz w:val="18"/>
          <w:szCs w:val="18"/>
          <w:i w:val="1"/>
          <w:iCs w:val="1"/>
          <w:color w:val="auto"/>
        </w:rPr>
        <w:t>Delivery and pick-up</w:t>
      </w:r>
      <w:r>
        <w:rPr>
          <w:rFonts w:ascii="Arial" w:cs="Arial" w:eastAsia="Arial" w:hAnsi="Arial"/>
          <w:sz w:val="18"/>
          <w:szCs w:val="18"/>
          <w:color w:val="auto"/>
        </w:rPr>
        <w:t>: Delivery and pick-up revenue associated with renting equipment is recognized when the service is performed.</w:t>
      </w:r>
    </w:p>
    <w:p>
      <w:pPr>
        <w:spacing w:after="0" w:line="198" w:lineRule="exact"/>
        <w:rPr>
          <w:sz w:val="20"/>
          <w:szCs w:val="20"/>
          <w:color w:val="auto"/>
        </w:rPr>
      </w:pPr>
    </w:p>
    <w:p>
      <w:pPr>
        <w:ind w:left="380" w:firstLine="374"/>
        <w:spacing w:after="0" w:line="277" w:lineRule="auto"/>
        <w:rPr>
          <w:sz w:val="20"/>
          <w:szCs w:val="20"/>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Revenues from the sales of used equipment are recognized at the time of delivery to, or pick-up by, the customer,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customer obtains control of the promised good.</w:t>
      </w:r>
    </w:p>
    <w:p>
      <w:pPr>
        <w:spacing w:after="0" w:line="129" w:lineRule="exact"/>
        <w:rPr>
          <w:sz w:val="20"/>
          <w:szCs w:val="20"/>
          <w:color w:val="auto"/>
        </w:rPr>
      </w:pPr>
    </w:p>
    <w:p>
      <w:pPr>
        <w:ind w:left="380" w:right="80" w:firstLine="374"/>
        <w:spacing w:after="0" w:line="277" w:lineRule="auto"/>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Revenues from the sales of new equipment are recognized at the time of delivery to, or pick-up by, the customer,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customer obtains control of the promised good.</w:t>
      </w:r>
    </w:p>
    <w:p>
      <w:pPr>
        <w:spacing w:after="0" w:line="129" w:lineRule="exact"/>
        <w:rPr>
          <w:sz w:val="20"/>
          <w:szCs w:val="20"/>
          <w:color w:val="auto"/>
        </w:rPr>
      </w:pPr>
    </w:p>
    <w:p>
      <w:pPr>
        <w:ind w:left="380" w:right="160" w:firstLine="374"/>
        <w:spacing w:after="0" w:line="286" w:lineRule="auto"/>
        <w:rPr>
          <w:sz w:val="20"/>
          <w:szCs w:val="20"/>
          <w:color w:val="auto"/>
        </w:rPr>
      </w:pPr>
      <w:r>
        <w:rPr>
          <w:rFonts w:ascii="Arial" w:cs="Arial" w:eastAsia="Arial" w:hAnsi="Arial"/>
          <w:sz w:val="17"/>
          <w:szCs w:val="17"/>
          <w:i w:val="1"/>
          <w:iCs w:val="1"/>
          <w:color w:val="auto"/>
        </w:rPr>
        <w:t xml:space="preserve">Parts sales: </w:t>
      </w:r>
      <w:r>
        <w:rPr>
          <w:rFonts w:ascii="Arial" w:cs="Arial" w:eastAsia="Arial" w:hAnsi="Arial"/>
          <w:sz w:val="17"/>
          <w:szCs w:val="17"/>
          <w:color w:val="auto"/>
        </w:rPr>
        <w:t>Revenues from the sales of equipment parts are recognized at the time of pick-up by the customer for parts counter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For parts that are shipped to a customer, we made an accounting policy election permitted by Topic 606 to treat such shipping activities as fulfillment costs, which results in the fees for shipping activities being included in the parts sales transaction price.</w:t>
      </w:r>
    </w:p>
    <w:p>
      <w:pPr>
        <w:spacing w:after="0" w:line="137" w:lineRule="exact"/>
        <w:rPr>
          <w:sz w:val="20"/>
          <w:szCs w:val="20"/>
          <w:color w:val="auto"/>
        </w:rPr>
      </w:pPr>
    </w:p>
    <w:p>
      <w:pPr>
        <w:ind w:left="380" w:right="280" w:firstLine="374"/>
        <w:spacing w:after="0" w:line="263" w:lineRule="auto"/>
        <w:rPr>
          <w:sz w:val="20"/>
          <w:szCs w:val="20"/>
          <w:color w:val="auto"/>
        </w:rPr>
      </w:pPr>
      <w:r>
        <w:rPr>
          <w:rFonts w:ascii="Arial" w:cs="Arial" w:eastAsia="Arial" w:hAnsi="Arial"/>
          <w:sz w:val="18"/>
          <w:szCs w:val="18"/>
          <w:i w:val="1"/>
          <w:iCs w:val="1"/>
          <w:color w:val="auto"/>
        </w:rPr>
        <w:t xml:space="preserve">Services revenues: </w:t>
      </w:r>
      <w:r>
        <w:rPr>
          <w:rFonts w:ascii="Arial" w:cs="Arial" w:eastAsia="Arial" w:hAnsi="Arial"/>
          <w:sz w:val="18"/>
          <w:szCs w:val="18"/>
          <w:color w:val="auto"/>
        </w:rPr>
        <w:t>We derive our services primarily from maintenance and repair services to customers for equipment that we rent or sell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customers owned equipment. We recognize services revenues at the time such services are completed, which is when the customer obtains control of the promised service.</w:t>
      </w:r>
    </w:p>
    <w:p>
      <w:pPr>
        <w:spacing w:after="0" w:line="142" w:lineRule="exact"/>
        <w:rPr>
          <w:sz w:val="20"/>
          <w:szCs w:val="20"/>
          <w:color w:val="auto"/>
        </w:rPr>
      </w:pPr>
    </w:p>
    <w:p>
      <w:pPr>
        <w:ind w:left="380" w:right="140" w:firstLine="374"/>
        <w:spacing w:after="0" w:line="277" w:lineRule="auto"/>
        <w:rPr>
          <w:sz w:val="20"/>
          <w:szCs w:val="20"/>
          <w:color w:val="auto"/>
        </w:rPr>
      </w:pPr>
      <w:r>
        <w:rPr>
          <w:rFonts w:ascii="Arial" w:cs="Arial" w:eastAsia="Arial" w:hAnsi="Arial"/>
          <w:sz w:val="18"/>
          <w:szCs w:val="18"/>
          <w:i w:val="1"/>
          <w:iCs w:val="1"/>
          <w:color w:val="auto"/>
        </w:rPr>
        <w:t>Other revenues</w:t>
      </w:r>
      <w:r>
        <w:rPr>
          <w:rFonts w:ascii="Arial" w:cs="Arial" w:eastAsia="Arial" w:hAnsi="Arial"/>
          <w:sz w:val="18"/>
          <w:szCs w:val="18"/>
          <w:color w:val="auto"/>
        </w:rPr>
        <w:t>: Other non-segmented revenues relate to equipment support activities that we provide to customers in connection with used and</w:t>
      </w:r>
      <w:r>
        <w:rPr>
          <w:rFonts w:ascii="Arial" w:cs="Arial" w:eastAsia="Arial" w:hAnsi="Arial"/>
          <w:sz w:val="18"/>
          <w:szCs w:val="18"/>
          <w:i w:val="1"/>
          <w:iCs w:val="1"/>
          <w:color w:val="auto"/>
        </w:rPr>
        <w:t xml:space="preserve"> </w:t>
      </w:r>
      <w:r>
        <w:rPr>
          <w:rFonts w:ascii="Arial" w:cs="Arial" w:eastAsia="Arial" w:hAnsi="Arial"/>
          <w:sz w:val="18"/>
          <w:szCs w:val="18"/>
          <w:color w:val="auto"/>
        </w:rPr>
        <w:t>new equipment sales and parts and services revenues and are not generally allocated to reportable segments.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Receivables and contract assets and liabilities</w:t>
      </w:r>
    </w:p>
    <w:p>
      <w:pPr>
        <w:spacing w:after="0" w:line="117"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manage credit risk associated with our accounts receivables at the customer level. Because the same customers typically generate the revenues that are accounted for under both Topic 606 and Topic 842, the discussions below on credit risk and our allowances for doubtful accounts address our total revenues from Topic 606 and Topic 842.</w:t>
      </w:r>
    </w:p>
    <w:p>
      <w:pPr>
        <w:spacing w:after="0" w:line="142"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We believe concentration of credit risk with respect to our receivables is limited because our customer base is comprised of a large number of geographically diverse customers. Our largest customer accounted for less than two percent of total revenues for the years ended December 31, 2022, 2021 and 2020. No single customer accounted for more than 10% of our revenues on an overall or segment basis for any of the three years ended December 31, 2022. We manage credit risk through credit approvals, credit limits and other monitoring procedures.</w:t>
      </w:r>
    </w:p>
    <w:p>
      <w:pPr>
        <w:spacing w:after="0" w:line="143"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our rental operations, which as discussed above is accounted for under Topic 842 and as of December 31, 2022 represents 77% of our total revenues and an approximate corresponding percentage of our receivables, net and associated allowance for doubtful accounts. We perform credit evaluations of customers and establish credit limits based on reviews of our customers’ current credit information and payment histories. We believe our credit risk is somewhat 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the years ended December 31, 2022, 2021 and 2020 was approximately 0.3%, 0.2% and 0.4%, respectively.</w:t>
      </w:r>
    </w:p>
    <w:p>
      <w:pPr>
        <w:spacing w:after="0" w:line="128"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years ended December 31, 2022, 2021 or 2020 that was included in the contract liability balance as of the beginning of such periods.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460" w:firstLine="374"/>
        <w:spacing w:after="0" w:line="263" w:lineRule="auto"/>
        <w:rPr>
          <w:sz w:val="20"/>
          <w:szCs w:val="20"/>
          <w:color w:val="auto"/>
        </w:rPr>
      </w:pPr>
      <w:r>
        <w:rPr>
          <w:rFonts w:ascii="Arial" w:cs="Arial" w:eastAsia="Arial" w:hAnsi="Arial"/>
          <w:sz w:val="18"/>
          <w:szCs w:val="18"/>
          <w:color w:val="auto"/>
        </w:rPr>
        <w:t>Most of our Topic 606 revenue is recognized at a point-in-time, rather than over time. Accordingly, in any particular period, we do not generally recognize a significant amount of revenue from performance obligations satisfied (or partially satisfied) in previous periods, and the amount of such revenue recognized during the years ended December 31, 2022, 2021 and 2020 was not material.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51" w:name="page52"/>
    <w:bookmarkEnd w:id="51"/>
    <w:p>
      <w:pPr>
        <w:ind w:left="380"/>
        <w:spacing w:after="0"/>
        <w:rPr>
          <w:sz w:val="20"/>
          <w:szCs w:val="20"/>
          <w:color w:val="auto"/>
        </w:rPr>
      </w:pPr>
      <w:r>
        <w:rPr>
          <w:rFonts w:ascii="Arial" w:cs="Arial" w:eastAsia="Arial" w:hAnsi="Arial"/>
          <w:sz w:val="18"/>
          <w:szCs w:val="18"/>
          <w:b w:val="1"/>
          <w:bCs w:val="1"/>
          <w:i w:val="1"/>
          <w:iCs w:val="1"/>
          <w:color w:val="auto"/>
        </w:rPr>
        <w:t>Payment terms</w:t>
      </w:r>
    </w:p>
    <w:p>
      <w:pPr>
        <w:spacing w:after="0" w:line="117" w:lineRule="exact"/>
        <w:rPr>
          <w:sz w:val="20"/>
          <w:szCs w:val="20"/>
          <w:color w:val="auto"/>
        </w:rPr>
      </w:pPr>
    </w:p>
    <w:p>
      <w:pPr>
        <w:ind w:right="200" w:firstLine="374"/>
        <w:spacing w:after="0" w:line="279" w:lineRule="auto"/>
        <w:rPr>
          <w:sz w:val="20"/>
          <w:szCs w:val="20"/>
          <w:color w:val="auto"/>
        </w:rPr>
      </w:pPr>
      <w:r>
        <w:rPr>
          <w:rFonts w:ascii="Arial" w:cs="Arial" w:eastAsia="Arial" w:hAnsi="Arial"/>
          <w:sz w:val="17"/>
          <w:szCs w:val="17"/>
          <w:color w:val="auto"/>
        </w:rPr>
        <w:t>Our Topic 606 revenues do not include material amounts of variable consideration. Our payment terms are typically net 30 days, but can vary by the type and location of our customer and the products or services offered. The time between invoicing and when payment is due is not significant. Our contracts do not generally include a significant financing component. Our contracts with customers do not generally result in significant obligations associated with returns, refunds or warranties. See above for a discussion of how we manage credit risk.</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Sales tax amounts collected from customers are recorded on a net basis.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We do not recognize any assets associated with the incremental costs of obtaining a contract with a customer (for example, a sales commission) that we expect to recover. Most of our revenue is recognized at a point-in-time or over a period of one year or less, and we use the practical expedient that allows us to recognize the incremental costs of obtaining a contract as an expense when incurred if the amortization period of the asset that we otherwise would have recognized is one year or less.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estimates and judgments</w:t>
      </w:r>
    </w:p>
    <w:p>
      <w:pPr>
        <w:spacing w:after="0" w:line="117" w:lineRule="exact"/>
        <w:rPr>
          <w:sz w:val="20"/>
          <w:szCs w:val="20"/>
          <w:color w:val="auto"/>
        </w:rPr>
      </w:pPr>
    </w:p>
    <w:p>
      <w:pPr>
        <w:jc w:val="both"/>
        <w:ind w:right="40" w:firstLine="374"/>
        <w:spacing w:after="0" w:line="296" w:lineRule="auto"/>
        <w:rPr>
          <w:sz w:val="20"/>
          <w:szCs w:val="20"/>
          <w:color w:val="auto"/>
        </w:rPr>
      </w:pPr>
      <w:r>
        <w:rPr>
          <w:rFonts w:ascii="Arial" w:cs="Arial" w:eastAsia="Arial" w:hAnsi="Arial"/>
          <w:sz w:val="16"/>
          <w:szCs w:val="16"/>
          <w:color w:val="auto"/>
        </w:rPr>
        <w:t>Our revenues accounted for under Topic 606 generally do not require significant estimates or judgments as the transaction price is generally fixed and stated on our contracts. Our contracts generally do not include multiple performance obligations, and accordingly do not generally require estimates of the standalone selling price for each performance obligation. Also, our revenues do not include material amounts of variable consideration. Substantially all of our revenues are recognized at a point-in-time and the timing of the satisfaction of the applicable performance obligations is readily determinable. As noted above, our Topic 606 revenues are generally recognized at the time of delivery to, or pick-up by, the customer.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200" w:firstLine="374"/>
        <w:spacing w:after="0" w:line="296" w:lineRule="auto"/>
        <w:rPr>
          <w:sz w:val="20"/>
          <w:szCs w:val="20"/>
          <w:color w:val="auto"/>
        </w:rPr>
      </w:pPr>
      <w:r>
        <w:rPr>
          <w:rFonts w:ascii="Arial" w:cs="Arial" w:eastAsia="Arial" w:hAnsi="Arial"/>
          <w:sz w:val="16"/>
          <w:szCs w:val="16"/>
          <w:color w:val="auto"/>
        </w:rPr>
        <w:t>In determining whether a group of assets which has been disposed of (or is to be disposed of) should be presented as discontinued operations, the Company analyzes whether the group of assets being disposed of represents a component of the entity. A component typically has historic operations and cash flows that are clearly distinguishable for both operations and financial reporting purposes. In addition, the Company considers whether the disposal represents a strategic shift that has or will have a major effect on the Company’s operations and financial results. This strategic shift could include a disposal of a major geographical area, a major line of business, a major equity method investment, or other major parts of an entity.</w:t>
      </w:r>
    </w:p>
    <w:p>
      <w:pPr>
        <w:spacing w:after="0" w:line="133"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The Company reports financial results for discontinued operations separately from continuing operations to distinguish the financial impact of disposal transactions from ongoing operations. The assets and liabilities of a discontinued operation held for sale, other than goodwill, are measured at the lower of its carrying amount or fair value less cost to sell. When a portion of a reporting unit that constitutes a business is to be disposed of, the goodwill associated with that business is included in the carrying amount of the business based on the relative fair values of the business to be disposed of and the portion of the reporting unit that will be retained. See Note 3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w:t>
      </w:r>
    </w:p>
    <w:p>
      <w:pPr>
        <w:spacing w:after="0" w:line="121"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The Company considers assets to be held for sale when management, with appropriate authority, approves and commits to a formal plan to sell the assets at a price reasonable in relation to their estimated fair value, the assets are available for immediate sale in their present condition, the sale of the assets is probable and expected to be completed in one year and it is unlikely that significant changes will be made to the plan. Upon designation as held for sale, the Company records the assets at the lower of their carrying value or their estimated fair value, reduced for the cost to dispose the assets, and ceases to record depreciation and amortization expenses on the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and cash equivalents include cash on hand and highly liquid investments with an original maturity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We measure inventory at the lower of cost or net realizable value; where net realizable value is considered to be estimated selling price in the ordinary course of business, less reasonably predictable costs of completion, disposal and transportation. For used and new equipment inventories, cost is determined by specific-identification. For inventories of parts and supplies, cost is determined by using average cost.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Rental Equipment</w:t>
      </w:r>
    </w:p>
    <w:p>
      <w:pPr>
        <w:spacing w:after="0" w:line="121"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The rental equipment we purchase is stated at cost and is depreciated over the estimated useful life of the equipment using the straight-line method and is included in rental depreciation within our Consolidated Statements of Operations. Estimated useful lives vary 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generally over a three year estimated useful life. We periodically evaluate the appropriateness of remaining depreciable lives and any salvage value assigned to rental equipment. Depreciation expense on rental equipment is reflected in rental depreciation in cost of revenues on the Consolidated Statements of Operations.</w:t>
      </w:r>
    </w:p>
    <w:p>
      <w:pPr>
        <w:spacing w:after="0" w:line="122"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Ordinary repair and maintenance costs and property taxes are reflected in rental expenses in cost of revenues on the Consolidated Statements of Operations. However, expenditures for additions or improvements that significantly extend the useful life of the asset are capitalized in the period incurred. When rental equipment is sold or disposed of, the related cost and accumulated depreciation are removed from the respective accounts and any gains or losses are included in gross profit in the statements of operations. We receive individual offers for fleet on a continual basis, at which time we perform an analysis on whether or not to accept the offer. The rental equipment is not transferred to inventory under the held for sale model as the equipment is used to generate revenues until the equipment is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Property and equipment are recorded at cost and are depreciated over the assets’ estimated useful lives using the straight-line method. Ordinary repair and maintenance costs are included in selling, general and administrative (“SG&amp;A”) expenses on our Consolidated Statements of Operations. However, expenditures for additions or improvements that significantly extend the useful life of the asset are capitalized in the period incurred. At the time assets are sold or disposed of, the cost and accumulated depreciation are removed from their respective accounts and the related gains or losses are reflected in the statements of operations in gains from sales of property and equipment, net.</w:t>
      </w:r>
    </w:p>
    <w:p>
      <w:pPr>
        <w:spacing w:after="0" w:line="148"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We capitalize interest on qualified construction projects. We additionally capitalize certain costs associated with internally developed software and cloud computing arrangements.</w:t>
      </w:r>
    </w:p>
    <w:p>
      <w:pPr>
        <w:spacing w:after="0" w:line="129"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We periodically evaluate the appropriateness of remaining depreciable lives assigned to property and equipment. Leasehold improvements are amortized using the straight-line method over their estimated useful lives or the remaining term of the lease, whichever is shorter. Depreciation expense on property and equipment is included in SG&amp;A expenses on our Consolidated Statements of Operations. Generally, we assign the following estimated useful lives to these categories:</w:t>
      </w:r>
    </w:p>
    <w:p>
      <w:pPr>
        <w:spacing w:after="0" w:line="11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Category</w:t>
            </w:r>
          </w:p>
        </w:tc>
        <w:tc>
          <w:tcPr>
            <w:tcW w:w="6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equipment</w:t>
            </w:r>
          </w:p>
        </w:tc>
        <w:tc>
          <w:tcPr>
            <w:tcW w:w="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 years</w:t>
            </w:r>
          </w:p>
        </w:tc>
        <w:tc>
          <w:tcPr>
            <w:tcW w:w="0" w:type="dxa"/>
            <w:vAlign w:val="bottom"/>
          </w:tcPr>
          <w:p>
            <w:pPr>
              <w:spacing w:after="0"/>
              <w:rPr>
                <w:sz w:val="1"/>
                <w:szCs w:val="1"/>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equipment</w:t>
            </w:r>
          </w:p>
        </w:tc>
        <w:tc>
          <w:tcPr>
            <w:tcW w:w="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80" w:firstLine="374"/>
        <w:spacing w:after="0" w:line="271" w:lineRule="auto"/>
        <w:rPr>
          <w:sz w:val="20"/>
          <w:szCs w:val="20"/>
          <w:color w:val="auto"/>
        </w:rPr>
      </w:pPr>
      <w:r>
        <w:rPr>
          <w:rFonts w:ascii="Arial" w:cs="Arial" w:eastAsia="Arial" w:hAnsi="Arial"/>
          <w:sz w:val="17"/>
          <w:szCs w:val="17"/>
          <w:color w:val="auto"/>
        </w:rPr>
        <w:t>When events or changes in circumstances indicate that the carrying amount of our rental fleet and property and equipment might not be recoverable, the expected future undiscounted cash flows from the assets are estimated and compared with the carrying amount of the assets. If the sum of the estimated undiscounted cash flows is less than the carrying amount of the assets, an impairment loss is recorded. The impairment loss is measured by comparing the fair value of the assets with their carrying amounts. Fair value is determined based on discounted cash flows or appraised values, as appropriate. In support of our review for indicators of impairment, we perform a review of our long-lived assets at the branch level relative to branch performance and conclude whether indicators of impairment exist. We did not record any impairment losses related to our rental equipment or property and equipment during the years ended December 31, 2022, 2021 or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w:t>
      </w:r>
    </w:p>
    <w:p>
      <w:pPr>
        <w:spacing w:after="0" w:line="121"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We have made a number of acquisitions in the past and we may continue to make additional acquisitions in the future. The assets acquired and liabilities assumed are recorded based on their respective fair values at the date of acquisition. Long-lived assets (principally rental equipment), goodwill and other intangible assets generally represent the largest component of our acquisitions. Historically, virtually all of the rental equipment that we have acquired through business combinations have been classified as “To be Used,” rather than as “To be Sold.” Rental equipment that we acquire and classify as “To be Used” is recorded at fair value and is valued utilizing either a cost or market approach, or a combination of these methods, depending on the asset being valued and the availability of cost or market data. Goodwill is calculated as the excess of the fair value of consideration transferred over the net of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right="140"/>
        <w:spacing w:after="0" w:line="311" w:lineRule="auto"/>
        <w:rPr>
          <w:sz w:val="20"/>
          <w:szCs w:val="20"/>
          <w:color w:val="auto"/>
        </w:rPr>
      </w:pPr>
      <w:r>
        <w:rPr>
          <w:rFonts w:ascii="Arial" w:cs="Arial" w:eastAsia="Arial" w:hAnsi="Arial"/>
          <w:sz w:val="16"/>
          <w:szCs w:val="16"/>
          <w:color w:val="auto"/>
        </w:rPr>
        <w:t>fair value of the assets acquired and the liabilities assumed. Such fair market value assessments require judgments and estimates that can be affected by various factors over time, which may cause final amounts to differ materially from original estimates. The identification of assets acquired, inputs utilized for determining the fair value of assets acquired and liabilities assumed and applicable fair value methodologies all include significant judgement.</w:t>
      </w:r>
    </w:p>
    <w:p>
      <w:pPr>
        <w:spacing w:after="0" w:line="10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In addition to long-lived fixed assets, we also acquire other assets and assume liabilities. These other assets and liabilities typically include, but are not limited to, parts inventory, accounts receivable, accounts payable and other working capital items. Because of their short-term nature, the fair values of these assets and liabilities generally approximate the carrying values reflected on the acquired entities balance sheets. However, when appropriate, we adjust these carrying values for factors such as collectability and existence. The intangible assets that we have acquired consist primarily of the goodwill recognized. Depending upon the applicable purchase agreement and the particular facts and circumstances of the business acquired, we may identify other intangible assets, such as trade names or trademarks, noncompetition agreements and customer-related intangibles (specifically, customer relationships). A trademark has a fair value equal to the present value of the royalty income attributable to it. The royalty income attributable to a trademark represents the hypothetical cost savings that are derived from owning the trademark instead of paying royalties to license the trademark from another owner. The fair value of noncompetition agreements is estimated based on an income approach since their values are representative of the current and future revenue and profit erosion protection they provide. Customer relationships are generally valued based on an excess earnings or income approach with consideration to projected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We evaluate goodwill for impairment at least annually, as of October 1, or more frequently if triggering events occur or other impairment indicators arise that would more likely than not reduce the fair value of a reporting unit below its carrying amount.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Historically, we have identified two components within our Rental operating segment (Equipment Rental Component 1 and Equipment Rental Component 2) and have determined that each of our other operating segments (Used Equipment Sales, New Equipment Sales, Parts Sales and Service Revenues) represent a reporting unit, resulting in six total reporting units. As of October 1, 2021 and driven by the strategic shift in our business that led to discontinued operations presentation, we determined that the historical Equipment Rental Component 2 reporting unit differentiation within the rental operating segment was no longer applicable to our current business. As such, we no longer identify two components within the rental equipment operating segment and the Company now has five reporting units which align with our operating segments. Further, the Equipment Rental Component 2 reporting unit was fully impaired during 2020.</w:t>
      </w:r>
    </w:p>
    <w:p>
      <w:pPr>
        <w:spacing w:after="0" w:line="142"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Topic 350 consists of a one-step assessment to determine whether goodwill is impaired (“Step 1”). Step 1 requires an entity to compare each reporting unit’s carrying value, including goodwill, with its fair value. An entity should recognize a goodwill impairment charge for the amount by which the carrying amount exceeds the reporting unit’s fair value, limited to the total amount of goodwill allocated to the reporting unit. An entity also has an option to perform a qualitative assessment (“Step 0”) to determine if the quantitative impairment test is necessary. Considerable judgment is required by management in performing Step 0 to determine whether it is more likely than not that the fair value of a reporting unit is less than its carrying value.</w:t>
      </w:r>
    </w:p>
    <w:p>
      <w:pPr>
        <w:spacing w:after="0" w:line="119"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We performed a Step 0 qualitative assessment of goodwill impairment as of our annual testing date, October 1, 2022. We determined that it was more likely than not that the fair value of each of our reporting units containing goodwill was not less than its carrying value and, therefore, did not perform the prescribed quantitative Step 1 goodwill impairment test. We considered various factors in performing the qualitative test, including macroeconomic conditions, industry and market considerations, the overall financial performance of our reporting units, the Company’s stock price and the excess amount between our reporting unit’s fair value and carrying value as indicated on our most recent quantitative assessment.</w:t>
      </w:r>
    </w:p>
    <w:p>
      <w:pPr>
        <w:spacing w:after="0" w:line="134" w:lineRule="exact"/>
        <w:rPr>
          <w:sz w:val="20"/>
          <w:szCs w:val="20"/>
          <w:color w:val="auto"/>
        </w:rPr>
      </w:pPr>
    </w:p>
    <w:p>
      <w:pPr>
        <w:ind w:right="140" w:firstLine="374"/>
        <w:spacing w:after="0" w:line="296" w:lineRule="auto"/>
        <w:rPr>
          <w:sz w:val="20"/>
          <w:szCs w:val="20"/>
          <w:color w:val="auto"/>
        </w:rPr>
      </w:pPr>
      <w:r>
        <w:rPr>
          <w:rFonts w:ascii="Arial" w:cs="Arial" w:eastAsia="Arial" w:hAnsi="Arial"/>
          <w:sz w:val="16"/>
          <w:szCs w:val="16"/>
          <w:color w:val="auto"/>
        </w:rPr>
        <w:t>We performed a Step 1 quantitative assessment of goodwill impairment as of our annual testing date, October 1, 2021, for all reporting units containing goodwill. For these reporting units, we compared the carrying values of each reporting unit, inclusive of goodwill, if applicable, and definite-lived intangible assets, to its fair value. We estimated the fair value of these reporting units by weighting results from the income approach and the market approach. Based on this quantitative test, we determined that our Equipment Rentals, Used Equipment Sales and Parts Sales reporting units were not impaired as of October 1, 2021 as their respective fair values exceeded their respective carrying values by approximately 50%, 98% and 9%, respectively.</w:t>
      </w:r>
    </w:p>
    <w:p>
      <w:pPr>
        <w:spacing w:after="0" w:line="133" w:lineRule="exact"/>
        <w:rPr>
          <w:sz w:val="20"/>
          <w:szCs w:val="20"/>
          <w:color w:val="auto"/>
        </w:rPr>
      </w:pPr>
    </w:p>
    <w:p>
      <w:pPr>
        <w:jc w:val="both"/>
        <w:ind w:right="20" w:firstLine="374"/>
        <w:spacing w:after="0" w:line="259" w:lineRule="auto"/>
        <w:rPr>
          <w:sz w:val="20"/>
          <w:szCs w:val="20"/>
          <w:color w:val="auto"/>
        </w:rPr>
      </w:pPr>
      <w:r>
        <w:rPr>
          <w:rFonts w:ascii="Arial" w:cs="Arial" w:eastAsia="Arial" w:hAnsi="Arial"/>
          <w:sz w:val="18"/>
          <w:szCs w:val="18"/>
          <w:color w:val="auto"/>
        </w:rPr>
        <w:t>During 2020, for all reporting units containing goodwill, we performed, as of October 1, a Step 1 quantitative assessment of goodwill impairment. For these reporting units, we compared the carrying values of each reporting unit, inclusive of goodwill and definite-lived intangible assets, to its fair value. We estimated the fair value of these reporting units by weighting results from the income approach and the market approach. Based on this quantitative test, we determined that our Equipment Rental Component 1,</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260"/>
        <w:spacing w:after="0" w:line="277" w:lineRule="auto"/>
        <w:rPr>
          <w:sz w:val="20"/>
          <w:szCs w:val="20"/>
          <w:color w:val="auto"/>
        </w:rPr>
      </w:pPr>
      <w:r>
        <w:rPr>
          <w:rFonts w:ascii="Arial" w:cs="Arial" w:eastAsia="Arial" w:hAnsi="Arial"/>
          <w:sz w:val="18"/>
          <w:szCs w:val="18"/>
          <w:color w:val="auto"/>
        </w:rPr>
        <w:t>Used Equipment Sales and Parts Sales reporting units were not impaired as of the October 1, 2020 annual impairment testing date as their respective fair values exceeded their respective carrying values by approximately 44%, 90% and 33%, respectively.</w:t>
      </w:r>
    </w:p>
    <w:p>
      <w:pPr>
        <w:spacing w:after="0" w:line="142"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Based on our evaluation of the impact to our business in the first quarter of 2020 from the COVID-19 pandemic, we identified triggering events requiring an interim impairment test as of March 31, 2020. These triggering events included a deterioration in macroeconomic conditions, declines in business volume in our industry, a decline in our actual revenue and earnings compared with our planned revenue and earnings, and a sustained decrease in our stock price. For the interim impairment test as of March 31, 2020, we estimated the fair value of our reporting units containing goodwill by equally weighting results from the income approach and the market approach. We compared those fair values to the carrying values of our four reporting units with carrying values, and determined that our Equipment Rental Component 2 reporting unit had a fair value less than its carrying value, resulting in a $55.7 million impairment charge. The impairment was largely due to Equipment Rental Component 2’s forecasted declines in 2020 rental revenues, which was driven by the decrease in equipment rental demand that began in March 2020 as COVID-19’s impact became more widespread across our geographic footprint, combined with our revenue growth rate and cash flow assumptions for the remaining forecast period under the income approach, and the decline in the fair value of Equipment Rental Component 2 based on the market approach from declining business enterprise values of comparable companies in our industry, resulting in a decrease in revenue and EBITDA multiples of those companies. We determined that our Equipment Rental Component 1, Used Equipment Sales and Parts Sales reporting units were not impaired as of the March 31, 2020 interim impairment testing date as their respective fair values exceeded their respective carrying values by approximately 34%, 90% and 40%, respectively.</w:t>
      </w:r>
    </w:p>
    <w:p>
      <w:pPr>
        <w:spacing w:after="0" w:line="130"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Significant assumptions inherent in the valuation methodologies for goodwill are employed and include, prospective financial information, growth rates, terminal value, discount rates, and comparable multiples from publicly traded companies in our industry. The inputs and variables used in determining the fair value of a reporting unit require management to make certain assumptions regarding the impact of operating and macroeconomic changes, as well as estimates of future cash flows. Our estimates regarding future cash flows are based on historical experience and projections of future operating performance, including revenues, margins and operating expenses. We also make certain forecasts about future economic conditions, such as the timing and duration of economic expansion or contraction cycles in our business, interest rates, and other market data. Many of the factors used in assessing fair value are outside the control of management, and these assumptions and estimates may change in future periods. An adverse change in any of the assumptions used in our impairment testing (e.g., projected revenue and profit, discount rates, industry price multiples, etc.) could affect our fair value measurements and result in future impairments. If we are unable to achieve the financial forecasts used in our impairment analysis, we may also be required to record an impairment charge to our goodwill.</w:t>
      </w:r>
    </w:p>
    <w:p>
      <w:pPr>
        <w:spacing w:after="0" w:line="142" w:lineRule="exact"/>
        <w:rPr>
          <w:sz w:val="20"/>
          <w:szCs w:val="20"/>
          <w:color w:val="auto"/>
        </w:rPr>
      </w:pPr>
    </w:p>
    <w:p>
      <w:pPr>
        <w:ind w:right="620" w:firstLine="374"/>
        <w:spacing w:after="0" w:line="341" w:lineRule="auto"/>
        <w:rPr>
          <w:sz w:val="20"/>
          <w:szCs w:val="20"/>
          <w:color w:val="auto"/>
        </w:rPr>
      </w:pPr>
      <w:r>
        <w:rPr>
          <w:rFonts w:ascii="Arial" w:cs="Arial" w:eastAsia="Arial" w:hAnsi="Arial"/>
          <w:sz w:val="16"/>
          <w:szCs w:val="16"/>
          <w:color w:val="auto"/>
        </w:rPr>
        <w:t>The impairment charges described above are non-cash items and do not affect our cash flows, liquidity or borrowing capacity under the Credit Facility, and the impairment charges are excluded from our financial results in evaluating our financial covenant under the Credit Facility.</w:t>
      </w:r>
    </w:p>
    <w:p>
      <w:pPr>
        <w:spacing w:after="0" w:line="97"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carrying amount of goodwill for our reporting units for the years ended December 31, 2022 and 2021 is as follows (amounts in thousands). There were no changes to the carrying amount of goodwill for the year ended December 31,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Equipment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Used Eq.</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New Eq.</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Parts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88"/>
              </w:rPr>
              <w:t>Service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Rentals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Sales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Increase (2)</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88,529</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1020" w:right="140" w:hanging="504"/>
        <w:spacing w:after="0" w:line="277"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8"/>
          <w:szCs w:val="18"/>
          <w:color w:val="auto"/>
        </w:rPr>
        <w:t>The total carrying amount of goodwill as of December 31, 2022 and 2021 in the table above is reflected net of $92.7 million of accumulated impairment charges.</w:t>
      </w:r>
    </w:p>
    <w:p>
      <w:pPr>
        <w:spacing w:after="0" w:line="7" w:lineRule="exact"/>
        <w:rPr>
          <w:rFonts w:ascii="Arial" w:cs="Arial" w:eastAsia="Arial" w:hAnsi="Arial"/>
          <w:sz w:val="17"/>
          <w:szCs w:val="17"/>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8"/>
          <w:szCs w:val="18"/>
          <w:color w:val="auto"/>
        </w:rPr>
        <w:t>Increase due to the OSR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color w:val="auto"/>
        </w:rPr>
        <w:t>Our intangible assets include customer relationships, tradenames and leasehold interests that we acquired in recent acquisitions (see Note 3 for further acquisition information). The customer relationships, noncompetition agreements and leasehold interests are amortized on a straight-line basis over estimated useful lives of ten, one and ten years, respectively, from the date of acquisition, which approximates the period of economic benefit.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5" w:name="page56"/>
    <w:bookmarkEnd w:id="55"/>
    <w:p>
      <w:pPr>
        <w:ind w:right="120" w:firstLine="374"/>
        <w:spacing w:after="0" w:line="277" w:lineRule="auto"/>
        <w:rPr>
          <w:sz w:val="20"/>
          <w:szCs w:val="20"/>
          <w:color w:val="auto"/>
        </w:rPr>
      </w:pPr>
      <w:r>
        <w:rPr>
          <w:rFonts w:ascii="Arial" w:cs="Arial" w:eastAsia="Arial" w:hAnsi="Arial"/>
          <w:sz w:val="18"/>
          <w:szCs w:val="18"/>
          <w:color w:val="auto"/>
        </w:rPr>
        <w:t>The gross carrying values, accumulated amortization and net carrying amounts of our major classes of intangible assets as of December 31, 2022 and 2021 are as follows (dollar amounts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Gross</w:t>
            </w: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136"/>
              <w:spacing w:after="0" w:line="133" w:lineRule="exact"/>
              <w:rPr>
                <w:sz w:val="20"/>
                <w:szCs w:val="20"/>
                <w:color w:val="auto"/>
              </w:rPr>
            </w:pPr>
            <w:r>
              <w:rPr>
                <w:rFonts w:ascii="Arial" w:cs="Arial" w:eastAsia="Arial" w:hAnsi="Arial"/>
                <w:sz w:val="14"/>
                <w:szCs w:val="14"/>
                <w:b w:val="1"/>
                <w:bCs w:val="1"/>
                <w:color w:val="auto"/>
                <w:w w:val="95"/>
              </w:rPr>
              <w:t>Accumulated</w:t>
            </w:r>
          </w:p>
        </w:tc>
        <w:tc>
          <w:tcPr>
            <w:tcW w:w="2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Net</w:t>
            </w: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334"/>
              <w:spacing w:after="0"/>
              <w:rPr>
                <w:sz w:val="20"/>
                <w:szCs w:val="20"/>
                <w:color w:val="auto"/>
              </w:rPr>
            </w:pPr>
            <w:r>
              <w:rPr>
                <w:rFonts w:ascii="Arial" w:cs="Arial" w:eastAsia="Arial" w:hAnsi="Arial"/>
                <w:sz w:val="14"/>
                <w:szCs w:val="14"/>
                <w:b w:val="1"/>
                <w:bCs w:val="1"/>
                <w:color w:val="auto"/>
              </w:rPr>
              <w:t>Gross</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3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ind w:right="434"/>
              <w:spacing w:after="0"/>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18,844</w:t>
            </w:r>
          </w:p>
        </w:tc>
        <w:tc>
          <w:tcPr>
            <w:tcW w:w="102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31,256</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14,629</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Noncompetition agreements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Leasehold interests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19,369</w:t>
            </w:r>
          </w:p>
        </w:tc>
        <w:tc>
          <w:tcPr>
            <w:tcW w:w="2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32,631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39,700</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14,709</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-658495</wp:posOffset>
            </wp:positionV>
            <wp:extent cx="76835"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-658495</wp:posOffset>
            </wp:positionV>
            <wp:extent cx="76835"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-658495</wp:posOffset>
            </wp:positionV>
            <wp:extent cx="6858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-658495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-658495</wp:posOffset>
            </wp:positionV>
            <wp:extent cx="6858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-24765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-7620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Intangible assets are tested for impairment whenever events or circumstances indicate that the carrying amount of an asset may not be recoverable. An impairment loss would be recognized when the carrying amount of the asset exceeds the estimated undiscounted future cash flows expected to result from the use of the asset and its eventual disposition. The impairment loss to be recorded would be the excess of the asset’s carrying value over its fair value. Fair value is generally determined using a discounted cash flow analysis or other valuation technique.</w:t>
      </w:r>
    </w:p>
    <w:p>
      <w:pPr>
        <w:spacing w:after="0" w:line="143"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Total amortization expense for the years ended December 31, 2022, 2021 and 2020 totaled $4.7 million, $4.0 million and $4.0 million, respectively, and is included within SG&amp;A expenses on the Consolidated Statements of Operations. The following table presents the expected amortization expense for each of the next five years ending December 31 and thereafter for those intangible assets with remaining carrying value as of December 31, 2022 (dollar amounts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Amortization Expense</w:t>
            </w:r>
          </w:p>
        </w:tc>
        <w:tc>
          <w:tcPr>
            <w:tcW w:w="80" w:type="dxa"/>
            <w:vAlign w:val="bottom"/>
          </w:tcPr>
          <w:p>
            <w:pPr>
              <w:spacing w:after="0"/>
              <w:rPr>
                <w:sz w:val="16"/>
                <w:szCs w:val="16"/>
                <w:color w:val="auto"/>
              </w:rPr>
            </w:pPr>
          </w:p>
        </w:tc>
      </w:tr>
      <w:tr>
        <w:trPr>
          <w:trHeight w:val="23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80" w:type="dxa"/>
            <w:vAlign w:val="bottom"/>
            <w:shd w:val="clear" w:color="auto" w:fill="CFF0FC"/>
          </w:tcPr>
          <w:p>
            <w:pPr>
              <w:spacing w:after="0"/>
              <w:rPr>
                <w:sz w:val="20"/>
                <w:szCs w:val="20"/>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20"/>
                <w:szCs w:val="20"/>
                <w:color w:val="auto"/>
              </w:rPr>
            </w:pPr>
          </w:p>
        </w:tc>
      </w:tr>
      <w:tr>
        <w:trPr>
          <w:trHeight w:val="24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21"/>
                <w:szCs w:val="21"/>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80" w:type="dxa"/>
            <w:vAlign w:val="bottom"/>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20"/>
                <w:szCs w:val="20"/>
                <w:color w:val="auto"/>
              </w:rPr>
            </w:pPr>
          </w:p>
        </w:tc>
      </w:tr>
      <w:tr>
        <w:trPr>
          <w:trHeight w:val="24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FF0FC"/>
          </w:tcPr>
          <w:p>
            <w:pPr>
              <w:spacing w:after="0"/>
              <w:rPr>
                <w:sz w:val="21"/>
                <w:szCs w:val="21"/>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80" w:type="dxa"/>
            <w:vAlign w:val="bottom"/>
            <w:shd w:val="clear" w:color="auto" w:fill="CFF0FC"/>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80" w:type="dxa"/>
            <w:vAlign w:val="bottom"/>
          </w:tcPr>
          <w:p>
            <w:pPr>
              <w:spacing w:after="0"/>
              <w:rPr>
                <w:sz w:val="21"/>
                <w:szCs w:val="21"/>
                <w:color w:val="auto"/>
              </w:rPr>
            </w:pPr>
          </w:p>
        </w:tc>
      </w:tr>
      <w:tr>
        <w:trPr>
          <w:trHeight w:val="270"/>
        </w:trPr>
        <w:tc>
          <w:tcPr>
            <w:tcW w:w="49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32,631</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Manufacturer Flooring Plans Payable</w:t>
      </w:r>
    </w:p>
    <w:p>
      <w:pPr>
        <w:spacing w:after="0" w:line="121"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color w:val="auto"/>
        </w:rPr>
        <w:t>Manufacturer flooring plans payable are financing arrangements for inventory and rental equipment. The interest cost incurred on the manufacturer flooring plans ranged from 0% to the prime rate (7.50% at December 31, 2022) plus an applicable margin at December 31, 2022. Certain manufacturer flooring plans provide for a one to twelve-month reduced interest rate term or a deferred payment period. We recognize interest expense based on the effective interest method. We make payments in accordance with the original terms of the financing agreements. However, we may sell equipment that is financed under manufacturer flooring plans prior to the original maturity date of the financing agreement. The related manufacturer flooring plan payable is then paid at the time the equipment being financed is sold. The manufacturer flooring plans payable are secured by the equipment being financed.</w:t>
      </w:r>
    </w:p>
    <w:p>
      <w:pPr>
        <w:spacing w:after="0" w:line="136"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Manufacturer flooring plans payable as of December 31, 2022 have maturities (based on original financing terms) during the year ended December 31,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as Lessee</w:t>
      </w:r>
    </w:p>
    <w:p>
      <w:pPr>
        <w:spacing w:after="0" w:line="117"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We determine whether an arrangement is a lease at the inception of the arrangement based on the terms and conditions in the contract. A contract contains a lease if there is an identified asset and we have the right to control the asset for a period of time in exchange for consideration. Lease arrangements can take several forms. Some arrangements are clearly within the scope of lease accounting, such as a real estate contract that provides an explicit contractual right to use a building for a specified period of time in exchange for consideration. However, the right to use an asset can also be conveyed through arrangements that are not leases in form, such as leases embedded within service and supply contracts. We analyze all arrangements with potential embedded leases to determine if an identified asset is present, if substantive substitution rights are present, and if the arrangement provides the customer control of the asset.</w:t>
      </w:r>
    </w:p>
    <w:p>
      <w:pPr>
        <w:spacing w:after="0" w:line="152"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Our lease portfolio is substantially comprised of operating leases related to leases of real estate and improvements at our branch locations. From time to time, we may also lease various types of small equipment and vehicles.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6" w:name="page57"/>
    <w:bookmarkEnd w:id="56"/>
    <w:p>
      <w:pPr>
        <w:ind w:firstLine="374"/>
        <w:spacing w:after="0" w:line="256" w:lineRule="auto"/>
        <w:rPr>
          <w:sz w:val="20"/>
          <w:szCs w:val="20"/>
          <w:color w:val="auto"/>
        </w:rPr>
      </w:pPr>
      <w:r>
        <w:rPr>
          <w:rFonts w:ascii="Arial" w:cs="Arial" w:eastAsia="Arial" w:hAnsi="Arial"/>
          <w:sz w:val="18"/>
          <w:szCs w:val="18"/>
          <w:color w:val="auto"/>
        </w:rPr>
        <w:t>Operating lease right-of-use (“ROU”) assets represent our right to use an individual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the lessor’s implicit rate, we use our incremental borrowing rate (“IBR”) at the commencement date in determining the present value of lease payments by utilizing a fully collateralized rate for a fully amortizing loan with the same term as the lease.</w:t>
      </w:r>
    </w:p>
    <w:p>
      <w:pPr>
        <w:spacing w:after="0" w:line="164" w:lineRule="exact"/>
        <w:rPr>
          <w:sz w:val="20"/>
          <w:szCs w:val="20"/>
          <w:color w:val="auto"/>
        </w:rPr>
      </w:pPr>
    </w:p>
    <w:p>
      <w:pPr>
        <w:ind w:right="300" w:firstLine="374"/>
        <w:spacing w:after="0" w:line="273" w:lineRule="auto"/>
        <w:rPr>
          <w:sz w:val="20"/>
          <w:szCs w:val="20"/>
          <w:color w:val="auto"/>
        </w:rPr>
      </w:pPr>
      <w:r>
        <w:rPr>
          <w:rFonts w:ascii="Arial" w:cs="Arial" w:eastAsia="Arial" w:hAnsi="Arial"/>
          <w:sz w:val="17"/>
          <w:szCs w:val="17"/>
          <w:color w:val="auto"/>
        </w:rPr>
        <w:t>Lease terms include options to extend the lease when it is reasonably certain those options will be exercised.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such renewal options and/or termination options are reasonably certain of exercise. We do not separate lease and non-lease components of contracts. Variable lease payments, which represent lease payments that vary due to changes in facts or circumstances occurring after the commencement date other than the passage of time, are expensed in the period in which the obligation for these payments was incurred.</w:t>
      </w:r>
    </w:p>
    <w:p>
      <w:pPr>
        <w:spacing w:after="0" w:line="136"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A ROU asset is subject to the same impairment guidance as assets categorized as plant, property, and equipment. As such, any impairment loss on ROU assets is presented in the same manner as an impairment loss recognized on other long-lived assets.</w:t>
      </w:r>
    </w:p>
    <w:p>
      <w:pPr>
        <w:spacing w:after="0" w:line="129"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A lease modification is a change to the terms and conditions of a contract that change the scope or consideration of a lease. For example, a change to the terms and conditions to the contract that adds or terminates the right to use one or more underlying assets, or extends or shortens the contractual lease term, is a modification. Depending on facts and circumstances, a lease modification may be accounted as either: (1) the original lease plus the lease of a separate asset(s) or (2) a modified lease. A lease will be remeasured if there are changes to the lease contract that do not give rise to a separate lease.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11 related to the required lease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as Lessor</w:t>
      </w:r>
    </w:p>
    <w:p>
      <w:pPr>
        <w:spacing w:after="0" w:line="117"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Our equipment rental business involves rental contracts with customers whereby we are the lessor in the transaction and therefore, such transactions are subject to Topic 842. We account for such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 and Initial Purchasers’ Discounts</w:t>
      </w:r>
    </w:p>
    <w:p>
      <w:pPr>
        <w:spacing w:after="0" w:line="121" w:lineRule="exact"/>
        <w:rPr>
          <w:sz w:val="20"/>
          <w:szCs w:val="20"/>
          <w:color w:val="auto"/>
        </w:rPr>
      </w:pPr>
    </w:p>
    <w:p>
      <w:pPr>
        <w:jc w:val="both"/>
        <w:ind w:right="320" w:firstLine="374"/>
        <w:spacing w:after="0" w:line="263" w:lineRule="auto"/>
        <w:rPr>
          <w:sz w:val="20"/>
          <w:szCs w:val="20"/>
          <w:color w:val="auto"/>
        </w:rPr>
      </w:pPr>
      <w:r>
        <w:rPr>
          <w:rFonts w:ascii="Arial" w:cs="Arial" w:eastAsia="Arial" w:hAnsi="Arial"/>
          <w:sz w:val="18"/>
          <w:szCs w:val="18"/>
          <w:color w:val="auto"/>
        </w:rPr>
        <w:t>Deferred financing costs include legal, accounting and other direct costs incurred in connection with the issuance and amendments thereto, of the Company’s debt. These costs are amortized over the terms of the related debt using the straight-line method which approximates amortization using the effective interest method.</w:t>
      </w:r>
    </w:p>
    <w:p>
      <w:pPr>
        <w:spacing w:after="0" w:line="142"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Initial purchasers’ discount and bond premium is the differential between the price paid to an issuer for the new issue and the prices (below and above, respectively) at which the securities are initially offered to the investing public. The amortization expense of deferred financing costs and bond premium and accretion of initial purchasers’ discounts are included in interest expense as an overall cost of the related financings. Such costs are presented in the balance sheet as a direct deduction from the carrying value of the associated debt liability, consistent with the presentation of a debt discount.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Claims</w:t>
      </w:r>
    </w:p>
    <w:p>
      <w:pPr>
        <w:spacing w:after="0" w:line="121"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We are exposed to various claims relating to our business, including those for which we provide self-insurance. Claims for which we self-insure include: (1) workers compensation claims; (2) general liability claims by third parties for injury or property damage caused by our equipment or personnel;</w:t>
      </w:r>
    </w:p>
    <w:p>
      <w:pPr>
        <w:spacing w:after="0" w:line="1" w:lineRule="exact"/>
        <w:rPr>
          <w:sz w:val="20"/>
          <w:szCs w:val="20"/>
          <w:color w:val="auto"/>
        </w:rPr>
      </w:pPr>
    </w:p>
    <w:p>
      <w:pPr>
        <w:ind w:right="40" w:firstLine="8"/>
        <w:spacing w:after="0" w:line="267"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automobile liability claims; and (4) employee health insurance claims. Losses that exceed our deductibles and self-insured retentions are insured through various commercial lines of insurance policies. These types of claims may take a substantial amount of time to resolve and, accordingly, the ultimate liability associated with a particular claim, including claims incurred but not reported as of a period-end reporting date, may not be known for an extended period of time. Our methodology for developing self-insurance reserves is based on management estimates. Our estimation process considers, among other matters, the cost of known claims over time, cost inflation and incurred but not reported claims. These estimates may change based on, among other things, changes in our claim history or receipt of additional information relevant to assessing the claims. Further, these estimates may prove to be inaccurate due to factors such as adverse judicial determinations or other claim settlements at higher than estimated amounts. Accordingly, we may be required to increase or decrease our reserve levels. At December 31, 2022, our claims reserves related to workers compensation, general liability and automobile liability, which are included in “Accrued expenses payable and other liabilities” in our consolidated balance sheets, totaled $9.1 million and our health insurance reserves totaled $1.9 million. 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57" w:name="page58"/>
    <w:bookmarkEnd w:id="57"/>
    <w:p>
      <w:pPr>
        <w:ind w:right="440"/>
        <w:spacing w:after="0" w:line="277" w:lineRule="auto"/>
        <w:rPr>
          <w:sz w:val="20"/>
          <w:szCs w:val="20"/>
          <w:color w:val="auto"/>
        </w:rPr>
      </w:pPr>
      <w:r>
        <w:rPr>
          <w:rFonts w:ascii="Arial" w:cs="Arial" w:eastAsia="Arial" w:hAnsi="Arial"/>
          <w:sz w:val="18"/>
          <w:szCs w:val="18"/>
          <w:color w:val="auto"/>
        </w:rPr>
        <w:t>December 31, 2021, our claims reserves related to workers compensation, general liability and automobile liability totaled $7.8 million and our health insurance reserves totaled $2.0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Advertising costs are expensed as incurred and totaled $1.0 million, $1.1 million and $0.2 million for the years ended December 31, 2022, 2021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60" w:firstLine="374"/>
        <w:spacing w:after="0" w:line="254" w:lineRule="auto"/>
        <w:rPr>
          <w:sz w:val="20"/>
          <w:szCs w:val="20"/>
          <w:color w:val="auto"/>
        </w:rPr>
      </w:pPr>
      <w:r>
        <w:rPr>
          <w:rFonts w:ascii="Arial" w:cs="Arial" w:eastAsia="Arial" w:hAnsi="Arial"/>
          <w:sz w:val="18"/>
          <w:szCs w:val="18"/>
          <w:color w:val="auto"/>
        </w:rPr>
        <w:t>The Company files a consolidated federal income tax return with its wholly-owned subsidiaries. The Company is a C-Corporation under the provisions of the Internal Revenue Code. We utilize the asset and liability approach to measure deferred tax assets and liabilities based on temporary differences existing at each balance sheet date using currently enacted tax rates.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 is recognized as income or expense in the period that includes the enactment date of that rate.</w:t>
      </w:r>
    </w:p>
    <w:p>
      <w:pPr>
        <w:spacing w:after="0" w:line="152"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provisions are measured at the largest amount that is greater than 50% likely of being realized. Changes in recognition or measurement are reflected in the period in which the change in judgment occurs. The Company recognizes both interest and penalties related to uncertain tax positions in net other income (expense).</w:t>
      </w:r>
    </w:p>
    <w:p>
      <w:pPr>
        <w:spacing w:after="0" w:line="158" w:lineRule="exact"/>
        <w:rPr>
          <w:sz w:val="20"/>
          <w:szCs w:val="20"/>
          <w:color w:val="auto"/>
        </w:rPr>
      </w:pPr>
    </w:p>
    <w:p>
      <w:pPr>
        <w:ind w:right="280" w:firstLine="374"/>
        <w:spacing w:after="0" w:line="341" w:lineRule="auto"/>
        <w:rPr>
          <w:sz w:val="20"/>
          <w:szCs w:val="20"/>
          <w:color w:val="auto"/>
        </w:rPr>
      </w:pPr>
      <w:r>
        <w:rPr>
          <w:rFonts w:ascii="Arial" w:cs="Arial" w:eastAsia="Arial" w:hAnsi="Arial"/>
          <w:sz w:val="16"/>
          <w:szCs w:val="16"/>
          <w:color w:val="auto"/>
        </w:rPr>
        <w:t>Our deferred tax calculation requires management to make certain estimates about future operations. Deferred tax assets are reduced by a valuation allowance when, in the opinion of management, it is more likely than not that some portion or all of the deferred tax assets will not be realized.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117" w:lineRule="exact"/>
        <w:rPr>
          <w:sz w:val="20"/>
          <w:szCs w:val="20"/>
          <w:color w:val="auto"/>
        </w:rPr>
      </w:pPr>
    </w:p>
    <w:p>
      <w:pPr>
        <w:ind w:left="380" w:right="500"/>
        <w:spacing w:after="0" w:line="277" w:lineRule="auto"/>
        <w:rPr>
          <w:sz w:val="20"/>
          <w:szCs w:val="20"/>
          <w:color w:val="auto"/>
        </w:rPr>
      </w:pPr>
      <w:r>
        <w:rPr>
          <w:rFonts w:ascii="Arial" w:cs="Arial" w:eastAsia="Arial" w:hAnsi="Arial"/>
          <w:sz w:val="18"/>
          <w:szCs w:val="18"/>
          <w:color w:val="auto"/>
        </w:rPr>
        <w:t>Level 2 – Quoted prices for similar assets and liabilities in active markets or inputs that are observable for the asset or liability, either directly or indirectly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 Unobservable inputs for which little or no market data exists, therefore requiring a company to develop its own assumptions</w:t>
      </w:r>
    </w:p>
    <w:p>
      <w:pPr>
        <w:spacing w:after="0" w:line="184" w:lineRule="exact"/>
        <w:rPr>
          <w:sz w:val="20"/>
          <w:szCs w:val="20"/>
          <w:color w:val="auto"/>
        </w:rPr>
      </w:pPr>
    </w:p>
    <w:p>
      <w:pPr>
        <w:jc w:val="both"/>
        <w:ind w:right="540" w:firstLine="374"/>
        <w:spacing w:after="0" w:line="279" w:lineRule="auto"/>
        <w:rPr>
          <w:sz w:val="20"/>
          <w:szCs w:val="20"/>
          <w:color w:val="auto"/>
        </w:rPr>
      </w:pPr>
      <w:r>
        <w:rPr>
          <w:rFonts w:ascii="Arial" w:cs="Arial" w:eastAsia="Arial" w:hAnsi="Arial"/>
          <w:sz w:val="17"/>
          <w:szCs w:val="17"/>
          <w:color w:val="auto"/>
        </w:rPr>
        <w:t>The carrying value of financial instruments reported in the accompanying consolidated balance sheets for cash and cash equivalents, accounts receivable, accounts payable and accrued expenses payable and other liabilities approximate fair value due to the immediate or short-term nature or maturity of these financial instruments. The carrying amounts and fair values of our other financial instruments subject to fair value disclosures as of December 31, 2022 and 2021 are presented in the table below (amounts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7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ind w:right="45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Manufacturer flooring plans payable with interest computed at 7.75% (Level 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2028 with interest computed at 3.875% (Level 2)</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1,241,409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1,070,088</w:t>
            </w:r>
          </w:p>
        </w:tc>
        <w:tc>
          <w:tcPr>
            <w:tcW w:w="100" w:type="dxa"/>
            <w:vAlign w:val="bottom"/>
          </w:tcPr>
          <w:p>
            <w:pPr>
              <w:spacing w:after="0"/>
              <w:rPr>
                <w:sz w:val="20"/>
                <w:szCs w:val="20"/>
                <w:color w:val="auto"/>
              </w:rPr>
            </w:pPr>
          </w:p>
        </w:tc>
      </w:tr>
      <w:tr>
        <w:trPr>
          <w:trHeight w:val="404"/>
        </w:trPr>
        <w:tc>
          <w:tcPr>
            <w:tcW w:w="7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7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jc w:val="center"/>
              <w:ind w:right="45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Manufacturer flooring plans payable with interest computed at 3.5% (Level 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19,533</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2028 with interest computed at 3.875% (Level 2)</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1,239,967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1,242,850</w:t>
            </w:r>
          </w:p>
        </w:tc>
        <w:tc>
          <w:tcPr>
            <w:tcW w:w="100" w:type="dxa"/>
            <w:vAlign w:val="bottom"/>
          </w:tcPr>
          <w:p>
            <w:pPr>
              <w:spacing w:after="0"/>
              <w:rPr>
                <w:sz w:val="20"/>
                <w:szCs w:val="20"/>
                <w:color w:val="auto"/>
              </w:rPr>
            </w:pPr>
          </w:p>
        </w:tc>
      </w:tr>
    </w:tbl>
    <w:p>
      <w:pPr>
        <w:spacing w:after="0" w:line="281"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At December 31, 2022 and 2021, the fair value of our senior unsecured notes due 2028 (the “Senior Unsecured Notes”), respectively, were based on quoted bond trading market prices for those notes. For our Level 3 unobservable inputs, we calculate a discount rate for our manufacturer flooring plans payable based on the U.S. prime rate plus the applicable margin on our Credit Facility. The discount rate is disclosed in the above table. The assets collateralized against the manufacturer flooring plans payable approximate its carrying value.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420" w:firstLine="374"/>
        <w:spacing w:after="0" w:line="277" w:lineRule="auto"/>
        <w:rPr>
          <w:sz w:val="20"/>
          <w:szCs w:val="20"/>
          <w:color w:val="auto"/>
        </w:rPr>
      </w:pPr>
      <w:r>
        <w:rPr>
          <w:rFonts w:ascii="Arial" w:cs="Arial" w:eastAsia="Arial" w:hAnsi="Arial"/>
          <w:sz w:val="18"/>
          <w:szCs w:val="18"/>
          <w:color w:val="auto"/>
        </w:rPr>
        <w:t>During the years ended December 31, 2022 and 2021, there were no transfers of financial assets or liabilities in or out of Level 3 of the fair value hierarchy.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on a Nonrecurring Basis</w:t>
      </w:r>
    </w:p>
    <w:p>
      <w:pPr>
        <w:spacing w:after="0" w:line="117"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Our non-financial assets, such as goodwill, intangible assets and property and equipment, are adjusted to fair value only when an impairment charge is recognized or the underlying investment is sold. Such fair value measurements are based predominately on Level 3 inputs. The results of our first quarter 2020 goodwill impairment quantitative test indicated that the respective fair values of the Equipment Rental Component 2 reporting unit was less than the carrying value of the reporting unit, resulting in a goodwill impairment for the Equipment Rental Component 2 reporting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and Supplier Risk</w:t>
      </w:r>
    </w:p>
    <w:p>
      <w:pPr>
        <w:spacing w:after="0" w:line="121" w:lineRule="exact"/>
        <w:rPr>
          <w:sz w:val="20"/>
          <w:szCs w:val="20"/>
          <w:color w:val="auto"/>
        </w:rPr>
      </w:pPr>
    </w:p>
    <w:p>
      <w:pPr>
        <w:ind w:right="540" w:firstLine="374"/>
        <w:spacing w:after="0" w:line="307"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deposits and trade accounts receivable. Credit risk can be negatively impacted by adverse changes in the economy or by disruptions in the credit markets.</w:t>
      </w:r>
    </w:p>
    <w:p>
      <w:pPr>
        <w:spacing w:after="0" w:line="120" w:lineRule="exact"/>
        <w:rPr>
          <w:sz w:val="20"/>
          <w:szCs w:val="20"/>
          <w:color w:val="auto"/>
        </w:rPr>
      </w:pPr>
    </w:p>
    <w:p>
      <w:pPr>
        <w:ind w:right="300" w:firstLine="374"/>
        <w:spacing w:after="0" w:line="341" w:lineRule="auto"/>
        <w:rPr>
          <w:sz w:val="20"/>
          <w:szCs w:val="20"/>
          <w:color w:val="auto"/>
        </w:rPr>
      </w:pPr>
      <w:r>
        <w:rPr>
          <w:rFonts w:ascii="Arial" w:cs="Arial" w:eastAsia="Arial" w:hAnsi="Arial"/>
          <w:sz w:val="16"/>
          <w:szCs w:val="16"/>
          <w:color w:val="auto"/>
        </w:rPr>
        <w:t>The Company maintains its cash deposits with established commercial banks. At times, balances may exceed federally insured limits. We have not experienced any losses in such accounts and do not believe that we are exposed to any significant credit risk associated with our cash deposits.</w:t>
      </w:r>
    </w:p>
    <w:p>
      <w:pPr>
        <w:spacing w:after="0" w:line="84"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We believe that credit risk with respect to trade accounts receivable is somewhat mitigated by our large number of geographically diverse customers and our credit evaluation procedures. Although generally no collateral is required, when feasible, mechanics’ liens are filed and personal guarantees are signed to protect the Company’s interests. We maintain reserves for potential losses.</w:t>
      </w:r>
    </w:p>
    <w:p>
      <w:pPr>
        <w:spacing w:after="0" w:line="14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record trade accounts receivables at sales value and establish specific reserves for certain customer accounts identified as known collection problems due to insolvency, disputes or other collection issues. The amounts of the specific reserves estimated by management are determined by a loss rate model based on delinquency, as further described above in receivables and contract assets and liabilities.</w:t>
      </w:r>
    </w:p>
    <w:p>
      <w:pPr>
        <w:spacing w:after="0" w:line="156"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We purchase a significant amount of equipment from leading, nationally-known original equipment manufacturers. During the year ended December 31, 2022, we purchased approximately 50.0% of our equipment from five manufacturers (JCB, Skyjack, Sany, Komatsu, and Yanmar) providing our rental and sales equipment. We believe that while there are alternative sources of supply for the equipment we purchase in each of the principal product categories, termination of one or more of our relationships with any of our major suppliers of equipment could have a material adverse effect on our business, financial condition or results of operation if we were unable to obtain adequate or timely rental and sales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Share</w:t>
      </w:r>
    </w:p>
    <w:p>
      <w:pPr>
        <w:spacing w:after="0" w:line="121"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Income (loss) per common share for the years ended December 31, 2022, 2021 and 2020 is based on the weighted average number of common shares outstanding during the period. The effects of potentially dilutive securities that are anti-dilutive are not included in the computation of diluted income (loss) per share. We include all common shares granted under our incentive compensation plan which 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spacing w:after="0" w:line="119"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during the years ended December 31, 2022, 2021 and 2020 were less than 1% of total outstanding shares for each of the years ended December 31, 2022, 2021 and 2020 and consequently, were immaterial to the basic and diluted EPS calculations. Therefore, use of the two-class method had no impact on our basic and diluted EPS calculations as presented for the years ended December 31, 2022, 2021 and 2020.</w:t>
      </w:r>
    </w:p>
    <w:p>
      <w:pPr>
        <w:spacing w:after="0" w:line="140"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common share for the years ended December 31, (amounts in thousands, except per share amounts):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133,694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(1,524 )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41,976</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13,729</w:t>
            </w:r>
          </w:p>
        </w:tc>
        <w:tc>
          <w:tcPr>
            <w:tcW w:w="100" w:type="dxa"/>
            <w:vAlign w:val="bottom"/>
          </w:tcPr>
          <w:p>
            <w:pPr>
              <w:spacing w:after="0"/>
              <w:rPr>
                <w:sz w:val="21"/>
                <w:szCs w:val="21"/>
                <w:color w:val="auto"/>
              </w:rPr>
            </w:pP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132,170</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102,540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35,943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36,261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Effect of dilutive non-vested restricted stock</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36,089</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tcBorders>
              <w:top w:val="single" w:sz="8" w:color="CFF0FC"/>
            </w:tcBorders>
          </w:tcPr>
          <w:p>
            <w:pPr>
              <w:spacing w:after="0"/>
              <w:rPr>
                <w:sz w:val="20"/>
                <w:szCs w:val="20"/>
                <w:color w:val="auto"/>
              </w:rPr>
            </w:pPr>
          </w:p>
        </w:tc>
      </w:tr>
      <w:tr>
        <w:trPr>
          <w:trHeight w:val="236"/>
        </w:trPr>
        <w:tc>
          <w:tcPr>
            <w:tcW w:w="6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Income (loss) per share: </w:t>
            </w:r>
            <w:r>
              <w:rPr>
                <w:rFonts w:ascii="Arial" w:cs="Arial" w:eastAsia="Arial" w:hAnsi="Arial"/>
                <w:sz w:val="14"/>
                <w:szCs w:val="14"/>
                <w:color w:val="auto"/>
              </w:rPr>
              <w:t>(1)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21"/>
                <w:szCs w:val="2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(0.91 )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(0.04 )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21"/>
                <w:szCs w:val="2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00" w:type="dxa"/>
            <w:vAlign w:val="bottom"/>
          </w:tcPr>
          <w:p>
            <w:pPr>
              <w:ind w:left="200"/>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(0.91 )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Common shares excluded from the denominator as anti-dilutive: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Non-vested restricted stock</w:t>
            </w:r>
          </w:p>
        </w:tc>
        <w:tc>
          <w:tcPr>
            <w:tcW w:w="3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-2910840</wp:posOffset>
            </wp:positionV>
            <wp:extent cx="208915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89150" cy="17970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-2268220</wp:posOffset>
            </wp:positionV>
            <wp:extent cx="7683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-2268220</wp:posOffset>
            </wp:positionV>
            <wp:extent cx="685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-1326515</wp:posOffset>
            </wp:positionV>
            <wp:extent cx="7683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-1326515</wp:posOffset>
            </wp:positionV>
            <wp:extent cx="6858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-675640</wp:posOffset>
            </wp:positionV>
            <wp:extent cx="7683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-675640</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left="1020" w:right="320" w:hanging="504"/>
        <w:spacing w:after="0" w:line="277"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8"/>
          <w:szCs w:val="18"/>
          <w:color w:val="auto"/>
        </w:rPr>
        <w:t>Because of the method used in calculating per share data, the summations may not necessarily total to the per share data computed for the total company due to rounding.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We have five reportable segments. We derive our revenues from five principal business activities: (1) equipment rentals; (2) used equipment sales; (3) new equipment sales; (4) parts sales; and (5) repair and maintenance services. These segments are based upon how we allocate resources and assess performance. See Note 17 to the consolidated financial statements regarding our segment information.</w:t>
      </w:r>
    </w:p>
    <w:p>
      <w:pPr>
        <w:spacing w:after="0" w:line="179" w:lineRule="exact"/>
        <w:rPr>
          <w:sz w:val="20"/>
          <w:szCs w:val="20"/>
          <w:color w:val="auto"/>
        </w:rPr>
      </w:pPr>
    </w:p>
    <w:p>
      <w:pPr>
        <w:jc w:val="right"/>
        <w:ind w:right="8460"/>
        <w:spacing w:after="0"/>
        <w:rPr>
          <w:sz w:val="20"/>
          <w:szCs w:val="20"/>
          <w:color w:val="auto"/>
        </w:rPr>
      </w:pPr>
      <w:r>
        <w:rPr>
          <w:rFonts w:ascii="Arial" w:cs="Arial" w:eastAsia="Arial" w:hAnsi="Arial"/>
          <w:sz w:val="15"/>
          <w:szCs w:val="15"/>
          <w:b w:val="1"/>
          <w:bCs w:val="1"/>
          <w:color w:val="auto"/>
        </w:rPr>
        <w:t>Recent Accounting Pronouncements</w:t>
      </w:r>
    </w:p>
    <w:p>
      <w:pPr>
        <w:spacing w:after="0" w:line="155" w:lineRule="exact"/>
        <w:rPr>
          <w:sz w:val="20"/>
          <w:szCs w:val="20"/>
          <w:color w:val="auto"/>
        </w:rPr>
      </w:pPr>
    </w:p>
    <w:p>
      <w:pPr>
        <w:jc w:val="right"/>
        <w:ind w:right="8460"/>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ind w:right="40" w:firstLine="374"/>
        <w:spacing w:after="0" w:line="267" w:lineRule="auto"/>
        <w:rPr>
          <w:sz w:val="20"/>
          <w:szCs w:val="20"/>
          <w:color w:val="auto"/>
        </w:rPr>
      </w:pPr>
      <w:r>
        <w:rPr>
          <w:rFonts w:ascii="Arial" w:cs="Arial" w:eastAsia="Arial" w:hAnsi="Arial"/>
          <w:sz w:val="17"/>
          <w:szCs w:val="17"/>
          <w:color w:val="auto"/>
        </w:rPr>
        <w:t>In March 2020, the FASB issued Accounting Standards Update (“ASU”) No. 2020-04, Reference Rate Reform (Topic 848): Facilitation of the Effects of Reference Rate Reform on Financial Reporting, which provides optional guidance for a limited time to ease the potential burden in accounting for or recognizing the effects of reference rate reform, particularly, the risk of cessation of the London Interbank Offered Rate (“LIBOR”) on financial reporting. The guidance provides optional expedients and exceptions for applying GAAP to contracts, hedging relationships, and other transactions affected by reference rate reform if certain criteria are met. The amendments are elective and are effective upon issuance for all entities through December 31, 2022. The amendments of this ASU should be applied on a prospective basis. On December 21, 2022, the FASB issued ASU 2022-06 to defer the sunset date of ASC 848 until December 31, 2024. The ASU became effective upon issuance. We intend to continue to monitor the developments with respect to the planned phase-out out of LIBOR and work with our lenders to seek to ensure any transition away from LIBOR will have minimal impact on our financial condition. However, we can provide no assurances regarding the impact of the discontinuation of LIBOR as there can be no assurances as to whether such replacement or alternative base rate will be more or less favorable than LIBOR. Our exposure related to the expected cessation of LIBOR is limited to the interest expense and certain fees we incur on balances outstanding under our Senior Secured Credit Facility (the “Credit Facility”). As certain U.S. dollar LIBOR settings will continue to be published until June 30, 2023, we amended our credit facility on September 14, 2021 to include benchmark language for an upcoming transition away from LIBOR. Subsequent to year end, we amended and restated our Credit Facility to transition to SOFR as of February 2, 2023. We do not believe the impact from the cessation of LIBOR as a reference rate, as well as the applicability of ASU 2020-04 and ASU 2022-06, will have a material impact on our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0" w:name="page61"/>
    <w:bookmarkEnd w:id="60"/>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374"/>
        <w:spacing w:after="0" w:line="267" w:lineRule="auto"/>
        <w:rPr>
          <w:sz w:val="20"/>
          <w:szCs w:val="20"/>
          <w:color w:val="auto"/>
        </w:rPr>
      </w:pPr>
      <w:r>
        <w:rPr>
          <w:rFonts w:ascii="Arial" w:cs="Arial" w:eastAsia="Arial" w:hAnsi="Arial"/>
          <w:sz w:val="17"/>
          <w:szCs w:val="17"/>
          <w:color w:val="auto"/>
        </w:rPr>
        <w:t>On January 1, 2021, we adopted ASU No. 2019-12, Income Taxes (Topic 740): Simplifying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 4) 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adoption did not have a material impact on our consolidated financial statements presented herein</w:t>
      </w:r>
      <w:r>
        <w:rPr>
          <w:rFonts w:ascii="Arial" w:cs="Arial" w:eastAsia="Arial" w:hAnsi="Arial"/>
          <w:sz w:val="17"/>
          <w:szCs w:val="17"/>
          <w:b w:val="1"/>
          <w:bCs w:val="1"/>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21"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On January 1, 2020, we adopted Accounting Standards Codification Topic 326, Credit Losses (Topic 326). This standard establishes an impairment model (known as the current expected credit loss (“CECL”) model) that is based on expected losses rather than incurred losses. Under the new guidance, we recognize an allowance for our estimate of expected credit losses over the entire contractual term of our receivables from the date of initial recognition of the financial instrument. Measurement of expected credit losses are based on relevant forecasts that affect collectability. Topic 326 applies to trade receivables from certain revenue transactions including receivables from equipment sales, parts and service sales. Under Topic 606 (Revenue from Contracts with Customers), revenue is recognized when, among other criteria, it is probable that the entity will collect the consideration to which it is entitled for goods or services transferred to a customer. At the point that these trade receivables are recorded, they become subject to the CECL model and estimates of expected credit losses over their contractual life are recorded at inception based on historical information, current conditions, and reasonable and supportable forecasts. The adoption of Topic 326 did not have a material impact on our consolidated financial statements and related disclosures or our existing internal controls because our non-rental accounts receivable are of short duration and there is not a material difference between incurred losses and expected losses.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On January 1, 2020, we adopted ASU No. 2018-13, Fair Value Measurement - Disclosure Framework. ASU 2018-13 modifies the disclosure requirements for fair value measurements. Entities are no longer required to disclose the amount of and reasons for transfers between Level 1 and Level 2 of the fair value hierarchy, but public companies are required to disclose the range and weighted average used to develop significant unobservable inputs for Level 3 fair value measurements. The adoption of ASU 2018-13 did not have a material impact on our consolidated financial statements and footnotes.</w:t>
      </w:r>
    </w:p>
    <w:p>
      <w:pPr>
        <w:spacing w:after="0" w:line="26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One Source Equipment Rentals, Inc.</w:t>
      </w:r>
    </w:p>
    <w:p>
      <w:pPr>
        <w:spacing w:after="0" w:line="121"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Effective October 1, 2022, we acquired 100% of the equity of One Source Equipment Rentals, Inc. (“OSR”), an equipment rental company with ten branches located in the Midwest. The acquisition expands our presence in the surrounding market, including initial locations in Illinois, Indiana, and Kentucky.</w:t>
      </w:r>
    </w:p>
    <w:p>
      <w:pPr>
        <w:spacing w:after="0" w:line="75"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aggregate cash consideration paid was approximately $136.9 million. The acquisition and related fees and expenses were funded from available cash. The following table summarizes the fair value of the assets acquired and liabilities assumed as of the acquisition date. The opening balance sheet amounts presented below are preliminary and subject to change as we obtain additional information during the acquisition measurement period and finalize customary closing adjustments with the seller.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5"/>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 in thousands</w:t>
            </w:r>
          </w:p>
        </w:tc>
      </w:tr>
      <w:tr>
        <w:trPr>
          <w:trHeight w:val="23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0"/>
                <w:szCs w:val="20"/>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(1)</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11,163</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Rental equipment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102,436</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4"/>
                <w:szCs w:val="14"/>
                <w:color w:val="auto"/>
              </w:rPr>
              <w:t>(2)</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20"/>
                <w:szCs w:val="20"/>
                <w:color w:val="auto"/>
              </w:rPr>
            </w:pPr>
          </w:p>
        </w:tc>
      </w:tr>
      <w:tr>
        <w:trPr>
          <w:trHeight w:val="242"/>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identifiable assets acquired</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133,735</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(4,723 )</w:t>
            </w: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payable</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(1,674 )</w:t>
            </w: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(2,388 )</w:t>
            </w:r>
          </w:p>
        </w:tc>
      </w:t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(27,653 )</w:t>
            </w:r>
          </w:p>
        </w:tc>
      </w:tr>
      <w:tr>
        <w:trPr>
          <w:trHeight w:val="20"/>
        </w:trPr>
        <w:tc>
          <w:tcPr>
            <w:tcW w:w="9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24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(36,438 )</w:t>
            </w:r>
          </w:p>
        </w:tc>
      </w:tr>
      <w:tr>
        <w:trPr>
          <w:trHeight w:val="242"/>
        </w:trPr>
        <w:tc>
          <w:tcPr>
            <w:tcW w:w="9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identifiable assets acquired</w:t>
            </w:r>
          </w:p>
        </w:tc>
        <w:tc>
          <w:tcPr>
            <w:tcW w:w="280" w:type="dxa"/>
            <w:vAlign w:val="bottom"/>
            <w:tcBorders>
              <w:top w:val="single" w:sz="8" w:color="auto"/>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97,297</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(3)</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0"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8"/>
          <w:szCs w:val="18"/>
          <w:color w:val="auto"/>
        </w:rPr>
        <w:t>Includes an indemnification receivable of $0.7 million related to an unrecognized tax benefit.</w:t>
      </w:r>
    </w:p>
    <w:p>
      <w:pPr>
        <w:spacing w:after="0" w:line="76" w:lineRule="exact"/>
        <w:rPr>
          <w:rFonts w:ascii="Arial" w:cs="Arial" w:eastAsia="Arial" w:hAnsi="Arial"/>
          <w:sz w:val="17"/>
          <w:szCs w:val="17"/>
          <w:color w:val="auto"/>
        </w:rPr>
      </w:pPr>
    </w:p>
    <w:p>
      <w:pPr>
        <w:ind w:left="760" w:right="800" w:hanging="378"/>
        <w:spacing w:after="0" w:line="258"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8"/>
          <w:szCs w:val="18"/>
          <w:color w:val="auto"/>
        </w:rPr>
        <w:t>The following table reflects the estimated fair values and useful lives of the acquired intangible assets identified based on our purchase accounting assessments:</w:t>
      </w:r>
    </w:p>
    <w:tbl>
      <w:tblPr>
        <w:tblLayout w:type="fixed"/>
        <w:tblInd w:w="1700" w:type="dxa"/>
        <w:tblCellMar>
          <w:top w:w="0" w:type="dxa"/>
          <w:left w:w="0" w:type="dxa"/>
          <w:bottom w:w="0" w:type="dxa"/>
          <w:right w:w="0" w:type="dxa"/>
        </w:tblCellMar>
      </w:tblPr>
      <w:tr>
        <w:trPr>
          <w:trHeight w:val="140"/>
        </w:trPr>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0"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(amounts in</w:t>
            </w:r>
          </w:p>
        </w:tc>
        <w:tc>
          <w:tcPr>
            <w:tcW w:w="180" w:type="dxa"/>
            <w:vAlign w:val="bottom"/>
          </w:tcPr>
          <w:p>
            <w:pPr>
              <w:spacing w:after="0"/>
              <w:rPr>
                <w:sz w:val="12"/>
                <w:szCs w:val="12"/>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Life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18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8"/>
          <w:szCs w:val="18"/>
          <w:color w:val="auto"/>
        </w:rPr>
        <w:t>The acquired goodwill has been allocated to the equipment rentals reporting unit.</w:t>
      </w:r>
    </w:p>
    <w:p>
      <w:pPr>
        <w:spacing w:after="0" w:line="225"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Included in the total goodwill amount of $39.6 million is approximately $0.8 million of accrued purchase price consideration to be paid to the sellers pursuant to the terms of the purchase agreement among the parties named thereto. The level of goodwill that resulted from the OSR acquisition is primarily reflective of OSR’s going-concern value, the value of assembled workforce, new customer relationships expected to arise from the acquisition and expected synergies from combining operations.</w:t>
      </w:r>
    </w:p>
    <w:p>
      <w:pPr>
        <w:spacing w:after="0" w:line="77"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Total acquisition costs were $0.8 million and included within SG&amp;A expenses on the Consolidated Statement of Operations. Since our acquisition of OSR on October 1, 2022, significant amounts of equipment rental fleet have been moved between H&amp;E locations and the acquired locations, and it is impractical to reasonably estimate the amount of OSR revenues and earnings since the acquisition date.</w:t>
      </w:r>
    </w:p>
    <w:p>
      <w:pPr>
        <w:spacing w:after="0" w:line="75"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The assets and liabilities were recorded as of October 1, 2022 and the results of operations are included in the Company's consolidated results of operations as of that date.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17"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We completed the OSR acquisition effective October 1, 2022. Therefore, our reported Consolidated Statements of Operations for the year ended December 31, 2022 do not include OSR for the period from January 1, 2022 through September 30, 2022.</w:t>
      </w:r>
    </w:p>
    <w:p>
      <w:pPr>
        <w:spacing w:after="0" w:line="62"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pro forma information for the years ended December 31, 2022 and 2021 in the table below (amounts in thousands) is for informational purposes only and gives effect to the OSR acquisition as if it had been completed on January 1, 2021 (the “pro forma acquisition date”). The pro forma information is not necessarily indicative of our results of operations had the acquisition been completed on the pro forma acquisition date, nor is it necessarily indicative of our future results. The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2" w:name="page63"/>
    <w:bookmarkEnd w:id="62"/>
    <w:p>
      <w:pPr>
        <w:jc w:val="cente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15240</wp:posOffset>
            </wp:positionV>
            <wp:extent cx="21659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165985" cy="8255"/>
                    </a:xfrm>
                    <a:prstGeom prst="rect">
                      <a:avLst/>
                    </a:prstGeom>
                    <a:noFill/>
                  </pic:spPr>
                </pic:pic>
              </a:graphicData>
            </a:graphic>
          </wp:anchor>
        </w:drawing>
      </w:r>
    </w:p>
    <w:p>
      <w:pPr>
        <w:spacing w:after="0" w:line="8"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1,289,605</w:t>
            </w:r>
          </w:p>
        </w:tc>
        <w:tc>
          <w:tcPr>
            <w:tcW w:w="2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1,117,088</w:t>
            </w:r>
          </w:p>
        </w:tc>
        <w:tc>
          <w:tcPr>
            <w:tcW w:w="100" w:type="dxa"/>
            <w:vAlign w:val="bottom"/>
          </w:tcPr>
          <w:p>
            <w:pPr>
              <w:spacing w:after="0"/>
              <w:rPr>
                <w:sz w:val="20"/>
                <w:szCs w:val="20"/>
                <w:color w:val="auto"/>
              </w:rPr>
            </w:pPr>
          </w:p>
        </w:tc>
      </w:tr>
      <w:tr>
        <w:trPr>
          <w:trHeight w:val="24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140,864</w:t>
            </w:r>
          </w:p>
        </w:tc>
        <w:tc>
          <w:tcPr>
            <w:tcW w:w="7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41,474</w:t>
            </w:r>
          </w:p>
        </w:tc>
        <w:tc>
          <w:tcPr>
            <w:tcW w:w="100" w:type="dxa"/>
            <w:vAlign w:val="bottom"/>
            <w:shd w:val="clear" w:color="auto" w:fill="CFF0FC"/>
          </w:tcPr>
          <w:p>
            <w:pPr>
              <w:spacing w:after="0"/>
              <w:rPr>
                <w:sz w:val="21"/>
                <w:szCs w:val="2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Disposition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Komatsu Earthmoving Distributorship</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On December 15, 2022, the Company sold our Komatsu earthmoving distribution business to Houston, Texas based Waukesha-Pearce Industries, LLC (“WPI”) for $29.2 million, subject to customary closing adjustments. The WPI sale included the rights to the distribution of Komatsu earthmoving equipment in the state of Louisiana and counties located in southwestern Arkansas, a branch location and its associated property, plant and equipment in Kenner, LA, Komatsu new equipment inventory, assets at a leased facility in Bossier City, LA and certain other equipment, parts and supplies with a net book value of approximately $14.7 million. We recorded a gain of $12.9 million within gain from sales of property and equipment, net on the Consolidated Statement of Operations and a gain of $2.5 million within other income. The WPI sale did not qualify for discontinued operations as the divestiture does not meet the definition of a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Dispositions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Crane Sale</w:t>
      </w:r>
    </w:p>
    <w:p>
      <w:pPr>
        <w:spacing w:after="0" w:line="121"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On July 19, 2021, the Company entered into a definitive agreement to sell its crane business to a wholly-owned subsidiary of The Manitowoc Company, Inc. for $130.0 million in cash, which was subject to adjustment based on actual amounts of net working capital and crane rental fleet net book value delivered at transaction closing. The Company executed the transaction closing on October 1, 2021, subject to customary closing conditions, including regulatory approval under the Hart-Scott-Rodino Act, resulting in proceeds of $135.9 million, which was subject to finalization of adjustments. Closing adjustments of $1.9 million were recorded as a loss from discontinued operations on the Consolidated Statement of Income during the second quarter of 2022.</w:t>
      </w:r>
    </w:p>
    <w:p>
      <w:pPr>
        <w:spacing w:after="0" w:line="83"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This disposition represents the Company’s strategic shift to a pure-play rental business. In accordance with ASC 360, Property, Plant, and Equipment, the Company ceased recording depreciation and amortization for Crane Sale related rental fleet, property, plant and equipment, and right of use lease assets upon qualifying as held for sale. In accordance with ASC 205-20, the Company determined that discontinued operations presentation was met during the third quarter of fiscal year 2021. As part of the divestiture, we entered into a transition services agreement with the buyer to assist them in the transition of certain functions, including, but not limited to, information technology, accounting and human resources for a period of sixty days up to six months. Aside from these customary transition services, there will be no continuing involvement with the crane business after its disposal.</w:t>
      </w:r>
    </w:p>
    <w:p>
      <w:pPr>
        <w:spacing w:after="0" w:line="122" w:lineRule="exact"/>
        <w:rPr>
          <w:sz w:val="20"/>
          <w:szCs w:val="20"/>
          <w:color w:val="auto"/>
        </w:rPr>
      </w:pPr>
    </w:p>
    <w:p>
      <w:pPr>
        <w:ind w:right="120" w:firstLine="419"/>
        <w:spacing w:after="0" w:line="263" w:lineRule="auto"/>
        <w:rPr>
          <w:sz w:val="20"/>
          <w:szCs w:val="20"/>
          <w:color w:val="auto"/>
        </w:rPr>
      </w:pPr>
      <w:r>
        <w:rPr>
          <w:rFonts w:ascii="Arial" w:cs="Arial" w:eastAsia="Arial" w:hAnsi="Arial"/>
          <w:sz w:val="18"/>
          <w:szCs w:val="18"/>
          <w:color w:val="auto"/>
        </w:rPr>
        <w:t>The Company reported financial results of the crane business within all of our segments: equipment rentals, used equipment sales, new equipment sales, parts sales and service revenues. Additionally, the crane business was included within the equipment rental component 2, used equipment sales, new equipment sales, parts sales and service revenues goodwill reporting units.</w:t>
      </w:r>
    </w:p>
    <w:p>
      <w:pPr>
        <w:spacing w:after="0" w:line="156" w:lineRule="exact"/>
        <w:rPr>
          <w:sz w:val="20"/>
          <w:szCs w:val="20"/>
          <w:color w:val="auto"/>
        </w:rPr>
      </w:pPr>
    </w:p>
    <w:p>
      <w:pPr>
        <w:ind w:right="100" w:firstLine="419"/>
        <w:spacing w:after="0" w:line="259" w:lineRule="auto"/>
        <w:rPr>
          <w:sz w:val="20"/>
          <w:szCs w:val="20"/>
          <w:color w:val="auto"/>
        </w:rPr>
      </w:pPr>
      <w:r>
        <w:rPr>
          <w:rFonts w:ascii="Arial" w:cs="Arial" w:eastAsia="Arial" w:hAnsi="Arial"/>
          <w:sz w:val="18"/>
          <w:szCs w:val="18"/>
          <w:color w:val="auto"/>
        </w:rPr>
        <w:t>As a result of the agreement to sell the Company’s crane business, its results are reported separately as discontinued operations in our Consolidated Statements of Operations for all periods presented. As permitted, the Company elected not to adjust the Consolidated Statements of Cash Flows to exclude cash flows attributable to discontinued operations. Accordingly, we disclosed the depreciation, capital expenditures and significant operating and investing non-cash items related to the Crane Sale below.</w:t>
      </w:r>
    </w:p>
    <w:p>
      <w:pPr>
        <w:spacing w:after="0" w:line="145" w:lineRule="exact"/>
        <w:rPr>
          <w:sz w:val="20"/>
          <w:szCs w:val="20"/>
          <w:color w:val="auto"/>
        </w:rPr>
      </w:pPr>
    </w:p>
    <w:p>
      <w:pPr>
        <w:ind w:right="900" w:firstLine="419"/>
        <w:spacing w:after="0" w:line="277" w:lineRule="auto"/>
        <w:rPr>
          <w:sz w:val="20"/>
          <w:szCs w:val="20"/>
          <w:color w:val="auto"/>
        </w:rPr>
      </w:pPr>
      <w:r>
        <w:rPr>
          <w:rFonts w:ascii="Arial" w:cs="Arial" w:eastAsia="Arial" w:hAnsi="Arial"/>
          <w:sz w:val="18"/>
          <w:szCs w:val="18"/>
          <w:color w:val="auto"/>
        </w:rPr>
        <w:t>The following tables (amounts in thousands) present the Crane Sale results as reported in income from discontinued operations within our Consolidated Statements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rentals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10,321</w:t>
            </w: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Used equipment sales</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13,383</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equipment sales</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52,286</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53,422</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Parts sales</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33,268</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44,713</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Services revenues</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r>
      <w:tr>
        <w:trPr>
          <w:trHeight w:val="242"/>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132,030</w:t>
            </w:r>
          </w:p>
        </w:tc>
        <w:tc>
          <w:tcPr>
            <w:tcW w:w="34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162,145</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Rental depreciation</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Rental expense</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Rental other</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Used equipment sales</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9,791</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New equipment sales</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46,725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47,565</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Parts sales</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25,288</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34,024</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Services revenues</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97,328</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116,589</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34,702</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45,556</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20,937</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23,370</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of goodwill</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Gain on sales of property and equipment, net</w:t>
            </w:r>
          </w:p>
        </w:tc>
        <w:tc>
          <w:tcPr>
            <w:tcW w:w="40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on sale of discontinued operations</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(1,917 )</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42,072</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4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(2,049 )</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55,886</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18,412</w:t>
            </w: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Income (loss) before provision (benefit) for income taxes</w:t>
            </w:r>
          </w:p>
        </w:tc>
        <w:tc>
          <w:tcPr>
            <w:tcW w:w="4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(2,049 )</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55,948</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18,438</w:t>
            </w: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(525 )</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13,972</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FF0FC"/>
          </w:tcPr>
          <w:p>
            <w:pPr>
              <w:spacing w:after="0"/>
              <w:rPr>
                <w:sz w:val="21"/>
                <w:szCs w:val="2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Net income (loss) from discontinued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(1,524 )</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41,976</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13,729</w:t>
            </w:r>
          </w:p>
        </w:tc>
        <w:tc>
          <w:tcPr>
            <w:tcW w:w="10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-2687955</wp:posOffset>
            </wp:positionV>
            <wp:extent cx="7683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-2687955</wp:posOffset>
            </wp:positionV>
            <wp:extent cx="6858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-1754505</wp:posOffset>
            </wp:positionV>
            <wp:extent cx="7683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-1754505</wp:posOffset>
            </wp:positionV>
            <wp:extent cx="6858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-821055</wp:posOffset>
            </wp:positionV>
            <wp:extent cx="7683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-821055</wp:posOffset>
            </wp:positionV>
            <wp:extent cx="68580"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-504825</wp:posOffset>
            </wp:positionV>
            <wp:extent cx="76835"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-504825</wp:posOffset>
            </wp:positionV>
            <wp:extent cx="6858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-187960</wp:posOffset>
            </wp:positionV>
            <wp:extent cx="76835"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-187960</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discontinued operations was as follows (amounts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920" w:type="dxa"/>
            <w:vAlign w:val="bottom"/>
            <w:gridSpan w:val="3"/>
          </w:tcPr>
          <w:p>
            <w:pPr>
              <w:spacing w:after="0" w:line="182" w:lineRule="exact"/>
              <w:rPr>
                <w:sz w:val="20"/>
                <w:szCs w:val="20"/>
                <w:color w:val="auto"/>
              </w:rPr>
            </w:pPr>
            <w:r>
              <w:rPr>
                <w:rFonts w:ascii="Arial" w:cs="Arial" w:eastAsia="Arial" w:hAnsi="Arial"/>
                <w:sz w:val="18"/>
                <w:szCs w:val="18"/>
                <w:color w:val="auto"/>
              </w:rPr>
              <w:t>Operating activities of discontinued operations: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Depreciation and amortization of property and equipment</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Depreciation of rental equipment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(gain) on sale of discontinued operations</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(42,072 )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Gain from sales of property and equipment, net</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(2,556 )</w:t>
            </w:r>
          </w:p>
        </w:tc>
      </w:tr>
      <w:tr>
        <w:trPr>
          <w:trHeight w:val="236"/>
        </w:trPr>
        <w:tc>
          <w:tcPr>
            <w:tcW w:w="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Gain from sales of rental equipment, net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(2,203 )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(3,218 )</w:t>
            </w:r>
          </w:p>
        </w:tc>
      </w:tr>
      <w:tr>
        <w:trPr>
          <w:trHeight w:val="249"/>
        </w:trPr>
        <w:tc>
          <w:tcPr>
            <w:tcW w:w="20" w:type="dxa"/>
            <w:vAlign w:val="bottom"/>
            <w:shd w:val="clear" w:color="auto" w:fill="CFF0FC"/>
          </w:tcPr>
          <w:p>
            <w:pPr>
              <w:spacing w:after="0"/>
              <w:rPr>
                <w:sz w:val="21"/>
                <w:szCs w:val="21"/>
                <w:color w:val="auto"/>
              </w:rPr>
            </w:pPr>
          </w:p>
        </w:tc>
        <w:tc>
          <w:tcPr>
            <w:tcW w:w="33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5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920" w:type="dxa"/>
            <w:vAlign w:val="bottom"/>
            <w:gridSpan w:val="3"/>
          </w:tcPr>
          <w:p>
            <w:pPr>
              <w:spacing w:after="0" w:line="189" w:lineRule="exact"/>
              <w:rPr>
                <w:sz w:val="20"/>
                <w:szCs w:val="20"/>
                <w:color w:val="auto"/>
              </w:rPr>
            </w:pPr>
            <w:r>
              <w:rPr>
                <w:rFonts w:ascii="Arial" w:cs="Arial" w:eastAsia="Arial" w:hAnsi="Arial"/>
                <w:sz w:val="18"/>
                <w:szCs w:val="18"/>
                <w:color w:val="auto"/>
              </w:rPr>
              <w:t>Investing activities of discontinued operations:</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Purchases of rental equipment</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(2,431 )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(8,655 )</w:t>
            </w:r>
          </w:p>
        </w:tc>
      </w:tr>
      <w:tr>
        <w:trPr>
          <w:trHeight w:val="236"/>
        </w:trPr>
        <w:tc>
          <w:tcPr>
            <w:tcW w:w="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Proceeds from sales of property and equipment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Proceeds from sales of rental equipment</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8,679</w:t>
            </w:r>
          </w:p>
        </w:tc>
        <w:tc>
          <w:tcPr>
            <w:tcW w:w="100" w:type="dxa"/>
            <w:vAlign w:val="bottom"/>
            <w:shd w:val="clear" w:color="auto" w:fill="CFF0FC"/>
          </w:tcPr>
          <w:p>
            <w:pPr>
              <w:spacing w:after="0"/>
              <w:rPr>
                <w:sz w:val="21"/>
                <w:szCs w:val="21"/>
                <w:color w:val="auto"/>
              </w:rPr>
            </w:pPr>
          </w:p>
        </w:tc>
      </w:tr>
    </w:tbl>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Arkansas Sale</w:t>
      </w:r>
    </w:p>
    <w:p>
      <w:pPr>
        <w:spacing w:after="0" w:line="121"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On September 17, 2021, the Company sold our Little Rock, Arkansas and Springdale, Arkansas owned-branches to Bramco, Inc. (“Bramco”) for $9.0 million (the “Arkansas Sale”). The Arkansas Sale included the land, building, building improvements, office equipment, furniture and fixtures, and shop equipment for the two branches with a net book value of approximately $3.7 million. We recorded a gain of $5.3 million within sales from property and equipment, net on the Consolidated Statement of Operations. As a condition of closing, we relinquished our territory distribution rights with equipment manufacturers Komatsu, Wirtgen Group and Takeuchi. Our current distribution territory for these two branches includes the entire state of Arkansas, with the exception of five counties in Arkansas (Miller, Lafayette, Columbia, Union and Little River) as these counties are currently served by our Shreveport,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Louisiana branch. The Arkansas Sale did not qualify for discontinued operations as the divestiture does not meet the definition of a component.</w:t>
      </w:r>
    </w:p>
    <w:p>
      <w:pPr>
        <w:spacing w:after="0" w:line="196" w:lineRule="exact"/>
        <w:rPr>
          <w:sz w:val="20"/>
          <w:szCs w:val="20"/>
          <w:color w:val="auto"/>
        </w:rPr>
      </w:pPr>
    </w:p>
    <w:p>
      <w:pPr>
        <w:ind w:right="120" w:firstLine="419"/>
        <w:spacing w:after="0" w:line="277" w:lineRule="auto"/>
        <w:rPr>
          <w:sz w:val="20"/>
          <w:szCs w:val="20"/>
          <w:color w:val="auto"/>
        </w:rPr>
      </w:pPr>
      <w:r>
        <w:rPr>
          <w:rFonts w:ascii="Arial" w:cs="Arial" w:eastAsia="Arial" w:hAnsi="Arial"/>
          <w:sz w:val="18"/>
          <w:szCs w:val="18"/>
          <w:color w:val="auto"/>
        </w:rPr>
        <w:t>The Company purchased a site in Little Rock, Arkansas to operate a rental-focused branch location in the area. The branch opening coincided with the sale to Bramco.</w:t>
      </w:r>
    </w:p>
    <w:p>
      <w:pPr>
        <w:spacing w:after="0" w:line="27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Receivables consisted of the following at December 31, (amounts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216,280</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151,835</w:t>
            </w:r>
          </w:p>
        </w:tc>
        <w:tc>
          <w:tcPr>
            <w:tcW w:w="80" w:type="dxa"/>
            <w:vAlign w:val="bottom"/>
            <w:shd w:val="clear" w:color="auto" w:fill="CFF0FC"/>
          </w:tcPr>
          <w:p>
            <w:pPr>
              <w:spacing w:after="0"/>
              <w:rPr>
                <w:sz w:val="20"/>
                <w:szCs w:val="20"/>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Unbilled rental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9,006</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r>
      <w:tr>
        <w:trPr>
          <w:trHeight w:val="236"/>
        </w:trPr>
        <w:tc>
          <w:tcPr>
            <w:tcW w:w="5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231,931</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161,404</w:t>
            </w:r>
          </w:p>
        </w:tc>
        <w:tc>
          <w:tcPr>
            <w:tcW w:w="80" w:type="dxa"/>
            <w:vAlign w:val="bottom"/>
            <w:shd w:val="clear" w:color="auto" w:fill="CFF0FC"/>
          </w:tcPr>
          <w:p>
            <w:pPr>
              <w:spacing w:after="0"/>
              <w:rPr>
                <w:sz w:val="20"/>
                <w:szCs w:val="20"/>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(6,637 )</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(4,178 )</w:t>
            </w: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receivables,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225,294</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157,226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58"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Inventories consisted of the following at December 31, (amounts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Used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20"/>
                <w:szCs w:val="20"/>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New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94,906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62,473</w:t>
            </w:r>
          </w:p>
        </w:tc>
        <w:tc>
          <w:tcPr>
            <w:tcW w:w="8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Parts, supplies and other</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12,924</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Total inventories,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107,842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75,299</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-187960</wp:posOffset>
            </wp:positionV>
            <wp:extent cx="5143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208"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above amounts are presented net of reserves for inventory obsolescence at December 31, 2022 and 2021 totaling approximately $0.1 million and $0.1 million, respectively.</w:t>
      </w:r>
    </w:p>
    <w:p>
      <w:pPr>
        <w:spacing w:after="0" w:line="273"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property and equipment consisted of the following at December 31, (amounts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6,533</w:t>
            </w:r>
          </w:p>
        </w:tc>
        <w:tc>
          <w:tcPr>
            <w:tcW w:w="80" w:type="dxa"/>
            <w:vAlign w:val="bottom"/>
            <w:shd w:val="clear" w:color="auto" w:fill="CFF0FC"/>
          </w:tcPr>
          <w:p>
            <w:pPr>
              <w:spacing w:after="0"/>
              <w:rPr>
                <w:sz w:val="20"/>
                <w:szCs w:val="20"/>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147,171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129,307</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Building and leasehold improvements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67,181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63,632</w:t>
            </w:r>
          </w:p>
        </w:tc>
        <w:tc>
          <w:tcPr>
            <w:tcW w:w="80" w:type="dxa"/>
            <w:vAlign w:val="bottom"/>
            <w:shd w:val="clear" w:color="auto" w:fill="CFF0FC"/>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54,099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50,028</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15,662</w:t>
            </w:r>
          </w:p>
        </w:tc>
        <w:tc>
          <w:tcPr>
            <w:tcW w:w="8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19,110</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80" w:type="dxa"/>
            <w:vAlign w:val="bottom"/>
          </w:tcPr>
          <w:p>
            <w:pPr>
              <w:spacing w:after="0"/>
              <w:rPr>
                <w:sz w:val="21"/>
                <w:szCs w:val="21"/>
                <w:color w:val="auto"/>
              </w:rPr>
            </w:pPr>
          </w:p>
        </w:tc>
      </w:tr>
      <w:tr>
        <w:trPr>
          <w:trHeight w:val="236"/>
        </w:trPr>
        <w:tc>
          <w:tcPr>
            <w:tcW w:w="5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311,654</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274,194</w:t>
            </w:r>
          </w:p>
        </w:tc>
        <w:tc>
          <w:tcPr>
            <w:tcW w:w="80" w:type="dxa"/>
            <w:vAlign w:val="bottom"/>
            <w:shd w:val="clear" w:color="auto" w:fill="CFF0FC"/>
          </w:tcPr>
          <w:p>
            <w:pPr>
              <w:spacing w:after="0"/>
              <w:rPr>
                <w:sz w:val="20"/>
                <w:szCs w:val="20"/>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(177,017 )</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(161,913 )</w:t>
            </w: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property and equipment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134,637</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22"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Total depreciation and amortization on property and equipment was $28.8 million, $26.3 million and $27.3 million for the years ended December 31, 2022, 2021 and 2020, respectively.</w:t>
      </w:r>
    </w:p>
    <w:p>
      <w:pPr>
        <w:spacing w:after="0" w:line="273"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w:t>
      </w:r>
    </w:p>
    <w:p>
      <w:pPr>
        <w:spacing w:after="0" w:line="142"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2016 Stock-Based Incentive Compensation Plan (the “2016 Plan”) is administered by the Compensation Committee of our Board of Directors, which selects persons eligible to receive awards and determines the number of shares and/or options subject to each award, the terms, conditions, performance measures, if any, and other provisions of the award. Under the 2016 Plan, we may</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65" w:name="page66"/>
    <w:bookmarkEnd w:id="65"/>
    <w:p>
      <w:pPr>
        <w:jc w:val="both"/>
        <w:ind w:right="100"/>
        <w:spacing w:after="0" w:line="263" w:lineRule="auto"/>
        <w:rPr>
          <w:sz w:val="20"/>
          <w:szCs w:val="20"/>
          <w:color w:val="auto"/>
        </w:rPr>
      </w:pPr>
      <w:r>
        <w:rPr>
          <w:rFonts w:ascii="Arial" w:cs="Arial" w:eastAsia="Arial" w:hAnsi="Arial"/>
          <w:sz w:val="18"/>
          <w:szCs w:val="18"/>
          <w:color w:val="auto"/>
        </w:rPr>
        <w:t>offer deferred shares or restricted shares of our common stock and grant options, including both incentive stock options and nonqualified stock options, to purchase shares of our common stock. Shares available for future stock-based payment awards under our 2016 Plan were 999,376 shares of common stock as of December 31, 2022.</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Non-vested Stock</w:t>
      </w:r>
    </w:p>
    <w:p>
      <w:pPr>
        <w:spacing w:after="0" w:line="117"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From time to time, we issue shares of non-vested stock typically with vesting terms of three years. The following table summarizes our non-vested stock activity for the years ended December 31, 2022 and 2021:</w:t>
      </w:r>
    </w:p>
    <w:p>
      <w:pPr>
        <w:spacing w:after="0" w:line="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0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Date 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Non-vested stock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524,876</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202,687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(186,042 )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(61,374 )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Non-vested stock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480,147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281,490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(160,868 )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(40,313 )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stock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560,456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-24765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As of December 31, 2022, we had unrecognized compensation expense of approximately $11.0 million related to non-vested stock award payments that we expect to be recognized over a weighted average period of 2.0 years. Stock compensation expense, which is included in SG&amp;A expenses in the accompanying Consolidated Statements of Operations, for the years ended December 31, 2022, 2021 and 2020 was $7.3 million, $4.4 million and $4.4 million, respectively.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Purchases of Company Common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Purchases of our common stock are accounted for as treasury stock in the accompanying consolidated balance sheets using the cost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Repurchased stock is included in authorized shares, but is not included in shares outstanding.</w:t>
      </w:r>
    </w:p>
    <w:p>
      <w:pPr>
        <w:spacing w:after="0" w:line="31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Payable and Other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payable and other liabilities consisted of the following at December 31, (amounts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40,367</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33,477</w:t>
            </w:r>
          </w:p>
        </w:tc>
        <w:tc>
          <w:tcPr>
            <w:tcW w:w="80" w:type="dxa"/>
            <w:vAlign w:val="bottom"/>
            <w:shd w:val="clear" w:color="auto" w:fill="CFF0FC"/>
          </w:tcPr>
          <w:p>
            <w:pPr>
              <w:spacing w:after="0"/>
              <w:rPr>
                <w:sz w:val="20"/>
                <w:szCs w:val="20"/>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Sales, use and property taxes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11,757</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FF0FC"/>
          </w:tcPr>
          <w:p>
            <w:pPr>
              <w:spacing w:after="0"/>
              <w:rPr>
                <w:sz w:val="21"/>
                <w:szCs w:val="2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Accrued insurance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5,167</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21"/>
                <w:szCs w:val="2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payable and other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77,142</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63,908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-24765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31"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On December 14, 2020, we completed an offering of $1,250 million aggregate principal amount of 3.875% senior notes due 2028 (the “New Notes”) and the settlement of a cash tender offer (the “Tender Offer”) with respect to our previously outstanding 5.625% senior notes due 2025 (the “Old Notes”). The New Notes were sold in a private placement pursuant to a purchase agreement, dated November 30, 2020, by and among the Company, certain subsidiary guarantors and BofA Securities, Inc. There are no registration rights associated with the New Notes or the subsidiary guarantees.</w:t>
      </w:r>
    </w:p>
    <w:p>
      <w:pPr>
        <w:spacing w:after="0" w:line="134" w:lineRule="exact"/>
        <w:rPr>
          <w:sz w:val="20"/>
          <w:szCs w:val="20"/>
          <w:color w:val="auto"/>
        </w:rPr>
      </w:pPr>
    </w:p>
    <w:p>
      <w:pPr>
        <w:ind w:right="240" w:firstLine="374"/>
        <w:spacing w:after="0" w:line="225" w:lineRule="auto"/>
        <w:rPr>
          <w:sz w:val="20"/>
          <w:szCs w:val="20"/>
          <w:color w:val="auto"/>
        </w:rPr>
      </w:pPr>
      <w:r>
        <w:rPr>
          <w:rFonts w:ascii="Arial" w:cs="Arial" w:eastAsia="Arial" w:hAnsi="Arial"/>
          <w:sz w:val="18"/>
          <w:szCs w:val="18"/>
          <w:color w:val="auto"/>
        </w:rPr>
        <w:t>The New Notes were issued at par and require semiannual interest payments on June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December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each year, commencing on June 15, 2021. No principal payments are due until maturity (December 15, 2028).</w:t>
      </w:r>
    </w:p>
    <w:p>
      <w:pPr>
        <w:spacing w:after="0" w:line="163"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The New Notes were issued under an indenture, dated as of December 14, 2020, by and among the Company, the subsidiary guarantors named therein, and The Bank of New York Mellon Trust Company, N.A., as trustee (the “Indenture”). The Company may redeem some or all of the New Notes at any time prior to December 15, 2023 by paying a “make-whole” premium, plus accrued and unpaid interest, if any, to the date of redemption. At any time prior to December 15, 2023, the Company may use the net proceeds of certain equity offerings to redeem up to 40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6" w:name="page67"/>
    <w:bookmarkEnd w:id="66"/>
    <w:p>
      <w:pPr>
        <w:ind w:right="100" w:firstLine="8"/>
        <w:spacing w:after="0" w:line="279" w:lineRule="auto"/>
        <w:tabs>
          <w:tab w:leader="none" w:pos="1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of the principal amount of the New Notes at a redemption price equal to 103.875% of their principal amount, plus accrued and unpaid interest, if any, to the redemption date; provided that at least 60% of the aggregate principal amount of such New Notes originally issued remains outstanding immediately following such redemption and such redemption occurs within 90 days of such equity offering. Subsequent to December 15, 2023, the New Notes may be redeemed pursuant to a declining schedule of redemption prices set forth in the Indenture.</w:t>
      </w:r>
    </w:p>
    <w:p>
      <w:pPr>
        <w:spacing w:after="0" w:line="143"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Net proceeds, after deducting $11.4 million of estimated offering expenses, from the sale of the New Notes totaled approximately $1,238.6 million. We used a portion of the net proceeds from the sale of the New Notes to repurchase $553.6 million of aggregate principal amount of the Old Notes in early settlement of the Tender Offer, which the Company launched on November 30, 2020. Holders who tendered their Old Notes prior to the early tender deadline of December 14, 2020, received $1,043.75 per $1,000 principal amount of Old Notes tendered, plus accrued and unpaid interest up to, but not including, the payment date of December 16, 2020. Effective as of December 16, 2020, we (i) provided notice of the redemption of all remaining Old Notes that were not validly tendered in the Tender Offer at the expiration time and (ii) satisfied and discharged the indenture governing the Old Notes in accordance with its terms. On December 30, 2020, we redeemed the remaining $396.4 million principal amount outstanding of the Old Notes at a redemption price equal to 104.2188% of the principal amount thereof, plus accrued and unpaid interest up to, but not including, the date of redemption.</w:t>
      </w:r>
    </w:p>
    <w:p>
      <w:pPr>
        <w:spacing w:after="0" w:line="123"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In connection with the above transactions, we recorded a one-time loss on the early extinguishment of debt of approximately $44.6 million, or approximately $31.3 million after-tax, reflecting payment of $24.2 million of tender premiums and $16.7 million of premiums in accordance with the indenture governing the Old Notes to redeem the Old Notes that remained outstanding following completion of the Tender Offer, combined with the write-off of approximately $7.2 million of unaccreted note discount, $5.0 million of unamortized note premium and $1.5 million of other financing costs related to the Old Notes. Additional transaction costs incurred in connection with the offering of the New Notes totaled approximately $11.4 million and are presented as a direct deduction from the face amount of the related liability in our consolidated balance sheets.</w:t>
      </w:r>
    </w:p>
    <w:p>
      <w:pPr>
        <w:spacing w:after="0" w:line="13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auto"/>
        </w:rPr>
        <w:t>The New Notes are senior unsecured obligations of the Company and rank equally in right of payment to all of the Company’s existing and future senior indebtedness and rank senior to any of the Company’s subordinated indebtedness. The New Notes are unconditionally guaranteed on a senior unsecured basis by all of the Company’s current and future significant domestic subsidiaries (the “Guarantors”). In addition, the New Notes are effectively subordinated to all of the Company’s and the guarantors’ existing and future secured indebtedness, including the Company’s existing senior secured credit facility, to the extent of the value of the assets securing such indebtedness, and are structurally subordinated to all of the liabilities and preferred stock of any of the Company’s subsidiaries that do not guarantee the New Notes. There are no restrictions on H&amp;E Equipment Services, Inc.’s ability to obtain funds from the guarantor subsidiaries by dividend or loan.</w:t>
      </w:r>
    </w:p>
    <w:p>
      <w:pPr>
        <w:spacing w:after="0" w:line="154"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If we experience a change of control, we will be required to offer to purchase the New Notes at a repurchase price equal to 101% of the principal amount, plus accrued and unpaid interest to the date of repurchase.</w:t>
      </w:r>
    </w:p>
    <w:p>
      <w:pPr>
        <w:spacing w:after="0" w:line="129"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The indenture governing the New Notes contains certain covenants that, among other things, limit our ability and the ability of our restricted subsidiaries to: (i) incur additional debt; (ii) pay dividends or make distributions; (iii) make investments; (iv) repurchase stock; (v) create liens; (vi) enter into transactions with affiliates; (vii) merge or consolidate; and (viii) transfer and sell assets. Each of the covenants is subject to exceptions and qualifications. As of December 31, 2022, we were in compliance with these covenants.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reconciles our Senior Unsecured Notes to our Consolidated Balance Sheets (amounts in thousands):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1,238,660</w:t>
            </w:r>
          </w:p>
        </w:tc>
        <w:tc>
          <w:tcPr>
            <w:tcW w:w="80" w:type="dxa"/>
            <w:vAlign w:val="bottom"/>
            <w:shd w:val="clear" w:color="auto" w:fill="CFF0FC"/>
          </w:tcPr>
          <w:p>
            <w:pPr>
              <w:spacing w:after="0"/>
              <w:rPr>
                <w:sz w:val="21"/>
                <w:szCs w:val="21"/>
                <w:color w:val="auto"/>
              </w:rPr>
            </w:pPr>
          </w:p>
        </w:tc>
      </w:tr>
      <w:tr>
        <w:trPr>
          <w:trHeight w:val="236"/>
        </w:trPr>
        <w:tc>
          <w:tcPr>
            <w:tcW w:w="7380" w:type="dxa"/>
            <w:vAlign w:val="bottom"/>
          </w:tcPr>
          <w:p>
            <w:pPr>
              <w:spacing w:after="0"/>
              <w:rPr>
                <w:sz w:val="20"/>
                <w:szCs w:val="20"/>
                <w:color w:val="auto"/>
              </w:rPr>
            </w:pPr>
            <w:r>
              <w:rPr>
                <w:rFonts w:ascii="Arial" w:cs="Arial" w:eastAsia="Arial" w:hAnsi="Arial"/>
                <w:sz w:val="18"/>
                <w:szCs w:val="18"/>
                <w:color w:val="auto"/>
              </w:rPr>
              <w:t>Accretion of discount through December 31, 2021</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r>
      <w:tr>
        <w:trPr>
          <w:trHeight w:val="249"/>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Additional deferred financing costs through December 31, 2021</w:t>
            </w: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(135 )</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Amortization of deferred financing costs through December 31, 2021</w:t>
            </w: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r>
      <w:tr>
        <w:trPr>
          <w:trHeight w:val="23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1,239,967</w:t>
            </w:r>
          </w:p>
        </w:tc>
        <w:tc>
          <w:tcPr>
            <w:tcW w:w="80" w:type="dxa"/>
            <w:vAlign w:val="bottom"/>
            <w:shd w:val="clear" w:color="auto" w:fill="CFF0FC"/>
          </w:tcPr>
          <w:p>
            <w:pPr>
              <w:spacing w:after="0"/>
              <w:rPr>
                <w:sz w:val="20"/>
                <w:szCs w:val="20"/>
                <w:color w:val="auto"/>
              </w:rPr>
            </w:pPr>
          </w:p>
        </w:tc>
      </w:tr>
      <w:tr>
        <w:trPr>
          <w:trHeight w:val="236"/>
        </w:trPr>
        <w:tc>
          <w:tcPr>
            <w:tcW w:w="7380" w:type="dxa"/>
            <w:vAlign w:val="bottom"/>
          </w:tcPr>
          <w:p>
            <w:pPr>
              <w:spacing w:after="0"/>
              <w:rPr>
                <w:sz w:val="20"/>
                <w:szCs w:val="20"/>
                <w:color w:val="auto"/>
              </w:rPr>
            </w:pPr>
            <w:r>
              <w:rPr>
                <w:rFonts w:ascii="Arial" w:cs="Arial" w:eastAsia="Arial" w:hAnsi="Arial"/>
                <w:sz w:val="18"/>
                <w:szCs w:val="18"/>
                <w:color w:val="auto"/>
              </w:rPr>
              <w:t>Accretion of discount through December 31, 2022</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r>
      <w:tr>
        <w:trPr>
          <w:trHeight w:val="249"/>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deferred financing costs through December 31, 2022</w:t>
            </w: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738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1,241,409</w:t>
            </w:r>
          </w:p>
        </w:tc>
        <w:tc>
          <w:tcPr>
            <w:tcW w:w="80" w:type="dxa"/>
            <w:vAlign w:val="bottom"/>
          </w:tcPr>
          <w:p>
            <w:pPr>
              <w:spacing w:after="0"/>
              <w:rPr>
                <w:sz w:val="20"/>
                <w:szCs w:val="20"/>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58"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Senior Secured Credit Facility</w:t>
      </w:r>
    </w:p>
    <w:p>
      <w:pPr>
        <w:spacing w:after="0" w:line="229"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We and our subsidiaries are parties to a $750.0 million Credit Facility with Wells Fargo Capital Finance, LLC as administrative agent, and the lenders named therein (the “Credit Facility”).</w:t>
      </w:r>
    </w:p>
    <w:p>
      <w:pPr>
        <w:spacing w:after="0" w:line="129"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On December 22, 2017, we amended, extended and restated the Credit Facility by entering into the Fifth Amended and Restated Credit Agreement (the “Amended and Restated Credit Agreement”) by and among the Company, Great Northern Equipment, Inc.,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67" w:name="page68"/>
    <w:bookmarkEnd w:id="67"/>
    <w:p>
      <w:pPr>
        <w:jc w:val="both"/>
        <w:ind w:right="360"/>
        <w:spacing w:after="0" w:line="263" w:lineRule="auto"/>
        <w:rPr>
          <w:sz w:val="20"/>
          <w:szCs w:val="20"/>
          <w:color w:val="auto"/>
        </w:rPr>
      </w:pPr>
      <w:r>
        <w:rPr>
          <w:rFonts w:ascii="Arial" w:cs="Arial" w:eastAsia="Arial" w:hAnsi="Arial"/>
          <w:sz w:val="18"/>
          <w:szCs w:val="18"/>
          <w:color w:val="auto"/>
        </w:rPr>
        <w:t>H&amp;E Equipment Services (California), LLC, H&amp;E Equipment Services (Mid-Atlantic), LLC, the other credit parties named therein, the lenders named therein, Wells Fargo Capital Finance, LLC, as administrative agent, the other credit parties named therein, the lenders named therein, and the joint lead arrangers, joint book runners, co-syndication agents and documentation agent named therein.</w:t>
      </w:r>
    </w:p>
    <w:p>
      <w:pPr>
        <w:spacing w:after="0" w:line="156" w:lineRule="exact"/>
        <w:rPr>
          <w:sz w:val="20"/>
          <w:szCs w:val="20"/>
          <w:color w:val="auto"/>
        </w:rPr>
      </w:pPr>
    </w:p>
    <w:p>
      <w:pPr>
        <w:ind w:right="60" w:firstLine="374"/>
        <w:spacing w:after="0" w:line="284" w:lineRule="auto"/>
        <w:rPr>
          <w:sz w:val="20"/>
          <w:szCs w:val="20"/>
          <w:color w:val="auto"/>
        </w:rPr>
      </w:pPr>
      <w:r>
        <w:rPr>
          <w:rFonts w:ascii="Arial" w:cs="Arial" w:eastAsia="Arial" w:hAnsi="Arial"/>
          <w:sz w:val="16"/>
          <w:szCs w:val="16"/>
          <w:color w:val="auto"/>
        </w:rPr>
        <w:t>The Amended and Restated Credit Agreement, among other things, (i) extended the maturity date of the credit facility to December 22, 2022, (ii) increased the commitments under the senior secured asset based revolver provided for therein to $750 million, (iii) increased the uncommitted incremental revolving capacity to $250 million, (iv) provided that the unused line fee margin will be either 0.375% or 0.25%, depending on the Average Revolver Usage (as defined in the Amended and Restated Credit Agreement) of the borrowers, (v) lowered the interest rate (a) in the case of base rate revolving loans, to the base rate plus an applicable margin of 0.50% to 1.00% depending on the Average Availability (as defined in the Amended and Restated Credit Agreement) and (b) in the case of LIBOR revolving loans, to LIBOR (as defined in the Amended and Restated Credit Agreement) plus an applicable margin of 1.50% to 2.00%, depending on the Average Availability, (vi) lowered the margin applicable to the letter of credit fee to between 1.50% and</w:t>
      </w:r>
    </w:p>
    <w:p>
      <w:pPr>
        <w:spacing w:after="0" w:line="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2.00%, depending on the Average Availability, and (vii) permitted, subject to certain conditions, an unlimited amount of Permitted Acquisitions, Restricted Payments and prepayments of Indebtedness (in each case, as defined in the Amended and Restated Credit Agreement).</w:t>
      </w:r>
    </w:p>
    <w:p>
      <w:pPr>
        <w:spacing w:after="0" w:line="122" w:lineRule="exact"/>
        <w:rPr>
          <w:sz w:val="20"/>
          <w:szCs w:val="20"/>
          <w:color w:val="auto"/>
        </w:rPr>
      </w:pPr>
    </w:p>
    <w:p>
      <w:pPr>
        <w:ind w:right="120" w:firstLine="374"/>
        <w:spacing w:after="0" w:line="256" w:lineRule="auto"/>
        <w:rPr>
          <w:sz w:val="20"/>
          <w:szCs w:val="20"/>
          <w:color w:val="auto"/>
        </w:rPr>
      </w:pPr>
      <w:r>
        <w:rPr>
          <w:rFonts w:ascii="Arial" w:cs="Arial" w:eastAsia="Arial" w:hAnsi="Arial"/>
          <w:sz w:val="18"/>
          <w:szCs w:val="18"/>
          <w:color w:val="auto"/>
        </w:rPr>
        <w:t>On February 1, 2019, we further amended and extended the Amended and Restated Credit Agreement with the First Amendment to the Fifth Amended and Restated Credit Agreement (the “First Amendment”) by and among the Company, Great Northern Equipment, Inc., H&amp;E Equipment Services (California), LLC, H&amp;E Equipment Services (Mid-Atlantic), LLC, the other credit parties named therein, the lenders named therein, Wells Fargo Capital Finance, LLC, as administrative agent, the other credit parties named therein, the lenders named therein, and the joint lead arrangers, joint book runners, co-syndication agents and documentation agent named therein.</w:t>
      </w:r>
    </w:p>
    <w:p>
      <w:pPr>
        <w:spacing w:after="0" w:line="150"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First Amendment, among other things, (i) extended the maturity date of the credit facility from December 22, 2022 to January 31, 2024, and (ii) lowered the interest rate in the case of LIBOR revolving loans, to LIBOR plus an applicable margin of 1.25% to 1.75%, depending on the Average Availability and (iii) lowered the interest rate in the case of Base Rate loans, to the Base Rate (as defined in the Amended and Restated Credit Agreement) plus an applicable margin of 0.25% to 0.75%, depending on the Average Availability.</w:t>
      </w:r>
    </w:p>
    <w:p>
      <w:pPr>
        <w:spacing w:after="0" w:line="158"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As amended, the Amended and Restated Credit Agreement continues to provide for, among other things, a $30.0 million letter of credit sub-facility, and a guaranty by certain of the Company’s subsidiaries of the obligations under the Credit Facility. In addition, the Credit Facility remains secured by substantially all of the assets of the Company and certain of its subsidiaries.</w:t>
      </w:r>
    </w:p>
    <w:p>
      <w:pPr>
        <w:spacing w:after="0" w:line="142"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On September 14, 2021, the Company further amended and extended the Amended and Restated Credit Agreement with the Second Amendment to the Fifth Amended and Restated Credit Agreement (the “Second Amendment”) by and among the Company, Great Northern Equipment, Inc., H&amp;E Equipment Services (California), LLC, H&amp;E Equipment Services (Mid-Atlantic), LLC, the other credit parties named therein, the lenders named therein, Wells Fargo Bank National Association, as administrative agent, and the joint lead arrangers, joint book runners, co-syndication agents and documentation agent named therein.</w:t>
      </w:r>
    </w:p>
    <w:p>
      <w:pPr>
        <w:spacing w:after="0" w:line="150" w:lineRule="exact"/>
        <w:rPr>
          <w:sz w:val="20"/>
          <w:szCs w:val="20"/>
          <w:color w:val="auto"/>
        </w:rPr>
      </w:pPr>
    </w:p>
    <w:p>
      <w:pPr>
        <w:ind w:right="660" w:firstLine="374"/>
        <w:spacing w:after="0" w:line="277" w:lineRule="auto"/>
        <w:rPr>
          <w:sz w:val="20"/>
          <w:szCs w:val="20"/>
          <w:color w:val="auto"/>
        </w:rPr>
      </w:pPr>
      <w:r>
        <w:rPr>
          <w:rFonts w:ascii="Arial" w:cs="Arial" w:eastAsia="Arial" w:hAnsi="Arial"/>
          <w:sz w:val="18"/>
          <w:szCs w:val="18"/>
          <w:color w:val="auto"/>
        </w:rPr>
        <w:t>The Second Amendment (i) amended the permitted dispositions of the credit facility, specifically the Crane Sale, and (ii) included benchmark language for a transition away from LIBOR.</w:t>
      </w:r>
    </w:p>
    <w:p>
      <w:pPr>
        <w:spacing w:after="0" w:line="142"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As of December 31, 2022, we were in compliance with our financial covenants under the Amended and Restated Credit Agreement. At December 31, 2022, we had no borrowings outstanding under the Credit Facility and could borrow up to approximately $739.4 million, net of a $10.6 million outstanding letter of credit, and remain in compliance with the debt covenants under the Credit Facility.</w:t>
      </w:r>
    </w:p>
    <w:p>
      <w:pPr>
        <w:spacing w:after="0" w:line="286"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8"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We use the rate implicit in the lease to discount lease payments to present value, when available, however, most of our leases do not provide a readily determinable implicit rate. Therefore, we estimate our IBR to discount the lease payments based on information available at lease commencement. Our IBR represents a fully collateralized rate for a fully amortizing loan with the same term as the lease.</w:t>
      </w:r>
    </w:p>
    <w:p>
      <w:pPr>
        <w:spacing w:after="0" w:line="142"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At December 31, 2022, the weighted average remaining lease term for operating leases was approximately 8.0 years and for finance leases was approximately 9.5 years. The weighted average discount rate for operating and finance leases was approximately 6.3% and 5.0%, respectively, at December 31, 2022. At December 31, 2021, the weighted average remaining lease term for operating leases was approximately 8.7 years. The weighted average discount rate for operating leases was approximately 6.2% at December 31, 2021.</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68" w:name="page69"/>
    <w:bookmarkEnd w:id="68"/>
    <w:p>
      <w:pPr>
        <w:ind w:right="780" w:firstLine="374"/>
        <w:spacing w:after="0" w:line="277" w:lineRule="auto"/>
        <w:rPr>
          <w:sz w:val="20"/>
          <w:szCs w:val="20"/>
          <w:color w:val="auto"/>
        </w:rPr>
      </w:pPr>
      <w:r>
        <w:rPr>
          <w:rFonts w:ascii="Arial" w:cs="Arial" w:eastAsia="Arial" w:hAnsi="Arial"/>
          <w:sz w:val="18"/>
          <w:szCs w:val="18"/>
          <w:color w:val="auto"/>
        </w:rPr>
        <w:t>The table below presents certain information related to lease costs, under Topic 842, for our operating and finance leases for the years ended December 31, 2022 and 2021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4100" w:type="dxa"/>
            <w:vAlign w:val="bottom"/>
          </w:tcPr>
          <w:p>
            <w:pPr>
              <w:spacing w:after="0"/>
              <w:rPr>
                <w:sz w:val="20"/>
                <w:szCs w:val="20"/>
                <w:color w:val="auto"/>
              </w:rPr>
            </w:pPr>
          </w:p>
        </w:tc>
        <w:tc>
          <w:tcPr>
            <w:tcW w:w="2280" w:type="dxa"/>
            <w:vAlign w:val="bottom"/>
            <w:gridSpan w:val="2"/>
          </w:tcPr>
          <w:p>
            <w:pPr>
              <w:ind w:left="560"/>
              <w:spacing w:after="0"/>
              <w:rPr>
                <w:sz w:val="20"/>
                <w:szCs w:val="20"/>
                <w:color w:val="auto"/>
              </w:rPr>
            </w:pPr>
            <w:r>
              <w:rPr>
                <w:rFonts w:ascii="Arial" w:cs="Arial" w:eastAsia="Arial" w:hAnsi="Arial"/>
                <w:sz w:val="18"/>
                <w:szCs w:val="18"/>
                <w:color w:val="auto"/>
              </w:rPr>
              <w:t>Classification</w:t>
            </w:r>
          </w:p>
        </w:tc>
        <w:tc>
          <w:tcPr>
            <w:tcW w:w="540" w:type="dxa"/>
            <w:vAlign w:val="bottom"/>
          </w:tcPr>
          <w:p>
            <w:pPr>
              <w:spacing w:after="0"/>
              <w:rPr>
                <w:sz w:val="20"/>
                <w:szCs w:val="20"/>
                <w:color w:val="auto"/>
              </w:rPr>
            </w:pPr>
          </w:p>
        </w:tc>
        <w:tc>
          <w:tcPr>
            <w:tcW w:w="1700" w:type="dxa"/>
            <w:vAlign w:val="bottom"/>
          </w:tcPr>
          <w:p>
            <w:pPr>
              <w:jc w:val="right"/>
              <w:ind w:right="8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right"/>
              <w:ind w:right="8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r>
      <w:tr>
        <w:trPr>
          <w:trHeight w:val="23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SG&amp;A expenses</w:t>
            </w:r>
          </w:p>
        </w:tc>
        <w:tc>
          <w:tcPr>
            <w:tcW w:w="20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27,153</w:t>
            </w:r>
          </w:p>
        </w:tc>
        <w:tc>
          <w:tcPr>
            <w:tcW w:w="100" w:type="dxa"/>
            <w:vAlign w:val="bottom"/>
            <w:shd w:val="clear" w:color="auto" w:fill="CFF0FC"/>
          </w:tcPr>
          <w:p>
            <w:pPr>
              <w:spacing w:after="0"/>
              <w:rPr>
                <w:sz w:val="20"/>
                <w:szCs w:val="20"/>
                <w:color w:val="auto"/>
              </w:rPr>
            </w:pPr>
          </w:p>
        </w:tc>
        <w:tc>
          <w:tcPr>
            <w:tcW w:w="1000" w:type="dxa"/>
            <w:vAlign w:val="bottom"/>
            <w:tcBorders>
              <w:top w:val="single" w:sz="8" w:color="auto"/>
            </w:tcBorders>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24,347</w:t>
            </w:r>
          </w:p>
        </w:tc>
        <w:tc>
          <w:tcPr>
            <w:tcW w:w="100" w:type="dxa"/>
            <w:vAlign w:val="bottom"/>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leased assets</w:t>
            </w:r>
          </w:p>
        </w:tc>
        <w:tc>
          <w:tcPr>
            <w:tcW w:w="2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SG&amp;A expenses</w:t>
            </w:r>
          </w:p>
        </w:tc>
        <w:tc>
          <w:tcPr>
            <w:tcW w:w="5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1"/>
                <w:szCs w:val="21"/>
                <w:color w:val="auto"/>
              </w:rPr>
            </w:pPr>
          </w:p>
        </w:tc>
      </w:tr>
      <w:tr>
        <w:trPr>
          <w:trHeight w:val="236"/>
        </w:trPr>
        <w:tc>
          <w:tcPr>
            <w:tcW w:w="41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4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2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SG&amp;A expenses</w:t>
            </w:r>
          </w:p>
        </w:tc>
        <w:tc>
          <w:tcPr>
            <w:tcW w:w="5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21"/>
                <w:szCs w:val="2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54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(2,074 )</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(1,379 )</w:t>
            </w:r>
          </w:p>
        </w:tc>
      </w:tr>
      <w:tr>
        <w:trPr>
          <w:trHeight w:val="27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20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table below presents supplemental cash flow information related to leases for the years ended December 31, 2022 and 2021 (in thousands).</w:t>
      </w:r>
    </w:p>
    <w:p>
      <w:pPr>
        <w:spacing w:after="0" w:line="145"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15240</wp:posOffset>
            </wp:positionV>
            <wp:extent cx="29540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29540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measurements of lease liabilities:</w:t>
            </w:r>
          </w:p>
        </w:tc>
        <w:tc>
          <w:tcPr>
            <w:tcW w:w="14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440" w:type="dxa"/>
            <w:vAlign w:val="bottom"/>
          </w:tcPr>
          <w:p>
            <w:pPr>
              <w:jc w:val="right"/>
              <w:ind w:right="125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26,407</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23,527</w:t>
            </w:r>
          </w:p>
        </w:tc>
        <w:tc>
          <w:tcPr>
            <w:tcW w:w="100" w:type="dxa"/>
            <w:vAlign w:val="bottom"/>
          </w:tcPr>
          <w:p>
            <w:pPr>
              <w:spacing w:after="0"/>
              <w:rPr>
                <w:sz w:val="20"/>
                <w:szCs w:val="20"/>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14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Finance cash flows for finance leases</w:t>
            </w:r>
          </w:p>
        </w:tc>
        <w:tc>
          <w:tcPr>
            <w:tcW w:w="1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and finance lease liabilities recorded on our consolidated balance sheet as of December 31, 2022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Operating Leases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Finance Leases</w:t>
            </w: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21,999</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217,691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(48,622 )</w:t>
            </w:r>
          </w:p>
        </w:tc>
        <w:tc>
          <w:tcPr>
            <w:tcW w:w="20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(422 )</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169,069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The future minimum lease payments of operating leases executed but not commenced as of December 31, 2022 are estimated to be $0.9 million, $2.1 million, $2.1 million, $2.2 million and $2.2 million for the years ending December 31, 2023, 2024, 2025, 2026 and 2027, respectively, and $15.7 million thereafter. It is expected that the majority of these leases will commence during 2023.</w:t>
      </w:r>
    </w:p>
    <w:p>
      <w:pPr>
        <w:spacing w:after="0" w:line="286"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firstLine="464"/>
        <w:spacing w:after="0" w:line="270" w:lineRule="auto"/>
        <w:rPr>
          <w:sz w:val="20"/>
          <w:szCs w:val="20"/>
          <w:color w:val="auto"/>
        </w:rPr>
      </w:pPr>
      <w:r>
        <w:rPr>
          <w:rFonts w:ascii="Arial" w:cs="Arial" w:eastAsia="Arial" w:hAnsi="Arial"/>
          <w:sz w:val="17"/>
          <w:szCs w:val="17"/>
          <w:color w:val="auto"/>
        </w:rPr>
        <w:t>On March 27, 2020, the Coronavirus Aid, Relief, and Economic Security (“CARES”) Act was signed into law and includes certain income tax provisions relevant to businesses; the CARES Act did not have a material impact on our provision for income taxes. However, certain provisions of the CARES Act did have a favorable cash impact. Specifically, with respect to the suspension of the 80% of taxable income limitation on net operating loss carryforwards that allows corporate entities to fully utilize net operating loss carryforwards to offset taxable income, we offset 2020 taxable income with net operating loss carryforwards, realizing an estimated total reduction of approximately $2.6 million of cash taxes paid for the 2020 tax year. Also, taxpayers with alternative minimum tax credits may claim a refund for the entire amount of such credit, which resulted in a $1.5 million federal tax refund received in June 2020. Finally, the non-income tax-based provision allowing an employer to pay its share of Social Security payroll taxes that would otherwise be due from the date of enactment through December 31, 2021 over the following two years resulted in the deferral of $6.8 million of those payroll taxes. We remitted $4.6 million in 2021 and $2.2 million in 2022.</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Our income tax provision (benefit) for the years ended December 31, 2022, 2021 and 2020, consists of the following (amounts in thousands):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9" w:name="page70"/>
    <w:bookmarkEnd w:id="69"/>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2022</w:t>
            </w: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2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37,680</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37,680</w:t>
            </w:r>
          </w:p>
        </w:tc>
        <w:tc>
          <w:tcPr>
            <w:tcW w:w="8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47,036</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6"/>
        </w:trPr>
        <w:tc>
          <w:tcPr>
            <w:tcW w:w="522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16,513</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16,513</w:t>
            </w:r>
          </w:p>
        </w:tc>
        <w:tc>
          <w:tcPr>
            <w:tcW w:w="8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6"/>
        </w:trPr>
        <w:tc>
          <w:tcPr>
            <w:tcW w:w="522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(9,362 )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(10,123 )</w:t>
            </w:r>
          </w:p>
        </w:tc>
      </w:tr>
      <w:tr>
        <w:trPr>
          <w:trHeight w:val="249"/>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(3,776 )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(3,305 )</w:t>
            </w:r>
          </w:p>
        </w:tc>
      </w:tr>
      <w:tr>
        <w:trPr>
          <w:trHeight w:val="20"/>
        </w:trPr>
        <w:tc>
          <w:tcPr>
            <w:tcW w:w="5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0"/>
        </w:trPr>
        <w:tc>
          <w:tcPr>
            <w:tcW w:w="5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(290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(13,138 </w:t>
            </w:r>
            <w:r>
              <w:rPr>
                <w:rFonts w:ascii="Arial" w:cs="Arial" w:eastAsia="Arial" w:hAnsi="Arial"/>
                <w:sz w:val="18"/>
                <w:szCs w:val="18"/>
                <w:color w:val="auto"/>
                <w:highlight w:val="white"/>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(13,428 </w:t>
            </w:r>
            <w:r>
              <w:rPr>
                <w:rFonts w:ascii="Arial" w:cs="Arial" w:eastAsia="Arial" w:hAnsi="Arial"/>
                <w:sz w:val="18"/>
                <w:szCs w:val="18"/>
                <w:color w:val="auto"/>
                <w:highlight w:val="white"/>
              </w:rPr>
              <w:t>)</w:t>
            </w: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-1489075</wp:posOffset>
            </wp:positionV>
            <wp:extent cx="5969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-1489075</wp:posOffset>
            </wp:positionV>
            <wp:extent cx="51435"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-1489075</wp:posOffset>
            </wp:positionV>
            <wp:extent cx="5143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-838200</wp:posOffset>
            </wp:positionV>
            <wp:extent cx="5969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-838200</wp:posOffset>
            </wp:positionV>
            <wp:extent cx="51435"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-838200</wp:posOffset>
            </wp:positionV>
            <wp:extent cx="51435"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components of our deferred income tax assets and liabilities as of December 31 are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1"/>
                <w:szCs w:val="2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74,931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68,942</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Tax Credits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8,393</w:t>
            </w:r>
          </w:p>
        </w:tc>
        <w:tc>
          <w:tcPr>
            <w:tcW w:w="80" w:type="dxa"/>
            <w:vAlign w:val="bottom"/>
            <w:shd w:val="clear" w:color="auto" w:fill="CFF0FC"/>
          </w:tcPr>
          <w:p>
            <w:pPr>
              <w:spacing w:after="0"/>
              <w:rPr>
                <w:sz w:val="21"/>
                <w:szCs w:val="2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Sec 263A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80" w:type="dxa"/>
            <w:vAlign w:val="bottom"/>
            <w:shd w:val="clear" w:color="auto" w:fill="CFF0FC"/>
          </w:tcPr>
          <w:p>
            <w:pPr>
              <w:spacing w:after="0"/>
              <w:rPr>
                <w:sz w:val="21"/>
                <w:szCs w:val="21"/>
                <w:color w:val="auto"/>
              </w:rPr>
            </w:pP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 and intangible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80" w:type="dxa"/>
            <w:vAlign w:val="bottom"/>
            <w:shd w:val="clear" w:color="auto" w:fill="CFF0FC"/>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r>
      <w:tr>
        <w:trPr>
          <w:trHeight w:val="236"/>
        </w:trPr>
        <w:tc>
          <w:tcPr>
            <w:tcW w:w="6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110,878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94,043</w:t>
            </w:r>
          </w:p>
        </w:tc>
        <w:tc>
          <w:tcPr>
            <w:tcW w:w="80" w:type="dxa"/>
            <w:vAlign w:val="bottom"/>
            <w:shd w:val="clear" w:color="auto" w:fill="CFF0FC"/>
          </w:tcPr>
          <w:p>
            <w:pPr>
              <w:spacing w:after="0"/>
              <w:rPr>
                <w:sz w:val="20"/>
                <w:szCs w:val="20"/>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(5,930 )</w:t>
            </w: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(7,598 )</w:t>
            </w:r>
          </w:p>
        </w:tc>
      </w:tr>
      <w:tr>
        <w:trPr>
          <w:trHeight w:val="236"/>
        </w:trPr>
        <w:tc>
          <w:tcPr>
            <w:tcW w:w="61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104,948</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86,445</w:t>
            </w:r>
          </w:p>
        </w:tc>
        <w:tc>
          <w:tcPr>
            <w:tcW w:w="80" w:type="dxa"/>
            <w:vAlign w:val="bottom"/>
            <w:shd w:val="clear" w:color="auto" w:fill="CFF0FC"/>
          </w:tcPr>
          <w:p>
            <w:pPr>
              <w:spacing w:after="0"/>
              <w:rPr>
                <w:sz w:val="20"/>
                <w:szCs w:val="20"/>
                <w:color w:val="auto"/>
              </w:rPr>
            </w:pPr>
          </w:p>
        </w:tc>
      </w:tr>
      <w:tr>
        <w:trPr>
          <w:trHeight w:val="236"/>
        </w:trPr>
        <w:tc>
          <w:tcPr>
            <w:tcW w:w="61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(370,404 )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(284,997 )</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(1,109 )</w:t>
            </w:r>
          </w:p>
        </w:tc>
        <w:tc>
          <w:tcPr>
            <w:tcW w:w="3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(1,094 )</w:t>
            </w: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 and intangible assets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(4,597 )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(1,585 )</w:t>
            </w:r>
          </w:p>
        </w:tc>
      </w:tr>
      <w:tr>
        <w:trPr>
          <w:trHeight w:val="20"/>
        </w:trPr>
        <w:tc>
          <w:tcPr>
            <w:tcW w:w="6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0"/>
        </w:trPr>
        <w:tc>
          <w:tcPr>
            <w:tcW w:w="6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(376,110 </w:t>
            </w:r>
            <w:r>
              <w:rPr>
                <w:rFonts w:ascii="Arial" w:cs="Arial" w:eastAsia="Arial" w:hAnsi="Arial"/>
                <w:sz w:val="18"/>
                <w:szCs w:val="18"/>
                <w:color w:val="auto"/>
                <w:highlight w:val="white"/>
              </w:rPr>
              <w:t>)</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(287,676 </w:t>
            </w:r>
            <w:r>
              <w:rPr>
                <w:rFonts w:ascii="Arial" w:cs="Arial" w:eastAsia="Arial" w:hAnsi="Arial"/>
                <w:sz w:val="18"/>
                <w:szCs w:val="18"/>
                <w:color w:val="auto"/>
                <w:highlight w:val="white"/>
              </w:rPr>
              <w:t>)</w:t>
            </w:r>
          </w:p>
        </w:tc>
      </w:tr>
      <w:tr>
        <w:trPr>
          <w:trHeight w:val="282"/>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(271,162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(201,231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-24765</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reconciliation between income taxes computed using the statutory federal income tax rate of 21% to the actual income tax expense (benefit) is below for the years ended December 31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Computed tax at statutory rates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(12,563</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Permanent items – 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 – excess of tax deductible goodwill</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(1,473 )</w:t>
            </w: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Permanent items – impairment of goodwill</w:t>
            </w: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 net of federal tax effect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(9,037 )</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(1,668 )</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6,396</w:t>
            </w:r>
          </w:p>
        </w:tc>
        <w:tc>
          <w:tcPr>
            <w:tcW w:w="80" w:type="dxa"/>
            <w:vAlign w:val="bottom"/>
          </w:tcPr>
          <w:p>
            <w:pPr>
              <w:spacing w:after="0"/>
              <w:rPr>
                <w:sz w:val="21"/>
                <w:szCs w:val="21"/>
                <w:color w:val="auto"/>
              </w:rPr>
            </w:pPr>
          </w:p>
        </w:tc>
      </w:tr>
      <w:tr>
        <w:trPr>
          <w:trHeight w:val="270"/>
        </w:trPr>
        <w:tc>
          <w:tcPr>
            <w:tcW w:w="5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47,036</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21,160</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At December 31, 2022, we had available federal net operating loss carry forwards of approximately $330.1 million, which do not expire. We also had $0.4 million in general business credit carry forwards at December 31, 2022 that expire in varying amounts from 2036 to 2040, and state income tax credits of $8.3 million that expire in varying amounts beginning in 2023.</w:t>
      </w:r>
    </w:p>
    <w:p>
      <w:pPr>
        <w:spacing w:after="0" w:line="142"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Management has concluded that it is more likely than not that the federal deferred tax assets are fully realizable through future reversals of existing taxable temporary differences and future taxable income. Therefore, a valuation allowance is not required to reduce those deferred tax assets as of December 31, 2022. However, as of December 31, 2022, we have a valuation allowance of $5.9 million for certain state tax credits that are expected to expire prior to utilization.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70" w:name="page71"/>
    <w:bookmarkEnd w:id="70"/>
    <w:p>
      <w:pPr>
        <w:ind w:left="380"/>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is as follows (in thousands):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January 1</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r>
      <w:tr>
        <w:trPr>
          <w:trHeight w:val="236"/>
        </w:trPr>
        <w:tc>
          <w:tcPr>
            <w:tcW w:w="6100" w:type="dxa"/>
            <w:vAlign w:val="bottom"/>
          </w:tcPr>
          <w:p>
            <w:pPr>
              <w:spacing w:after="0"/>
              <w:rPr>
                <w:sz w:val="20"/>
                <w:szCs w:val="20"/>
                <w:color w:val="auto"/>
              </w:rPr>
            </w:pPr>
            <w:r>
              <w:rPr>
                <w:rFonts w:ascii="Arial" w:cs="Arial" w:eastAsia="Arial" w:hAnsi="Arial"/>
                <w:sz w:val="18"/>
                <w:szCs w:val="18"/>
                <w:color w:val="auto"/>
              </w:rPr>
              <w:t>Increases in tax positions taken in prior years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Decreases in tax positions taken in prior years</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236"/>
        </w:trPr>
        <w:tc>
          <w:tcPr>
            <w:tcW w:w="6100" w:type="dxa"/>
            <w:vAlign w:val="bottom"/>
          </w:tcPr>
          <w:p>
            <w:pPr>
              <w:spacing w:after="0"/>
              <w:rPr>
                <w:sz w:val="20"/>
                <w:szCs w:val="20"/>
                <w:color w:val="auto"/>
              </w:rPr>
            </w:pPr>
            <w:r>
              <w:rPr>
                <w:rFonts w:ascii="Arial" w:cs="Arial" w:eastAsia="Arial" w:hAnsi="Arial"/>
                <w:sz w:val="18"/>
                <w:szCs w:val="18"/>
                <w:color w:val="auto"/>
              </w:rPr>
              <w:t>Increases in tax positions taken in current years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Decreases in tax positions taken in current years</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236"/>
        </w:trPr>
        <w:tc>
          <w:tcPr>
            <w:tcW w:w="610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Lapse in statute of limitations</w:t>
            </w:r>
          </w:p>
        </w:tc>
        <w:tc>
          <w:tcPr>
            <w:tcW w:w="8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00" w:type="dxa"/>
            <w:vAlign w:val="bottom"/>
          </w:tcPr>
          <w:p>
            <w:pPr>
              <w:spacing w:after="0"/>
              <w:rPr>
                <w:sz w:val="20"/>
                <w:szCs w:val="20"/>
                <w:color w:val="auto"/>
              </w:rPr>
            </w:pPr>
            <w:r>
              <w:rPr>
                <w:rFonts w:ascii="Arial" w:cs="Arial" w:eastAsia="Arial" w:hAnsi="Arial"/>
                <w:sz w:val="18"/>
                <w:szCs w:val="18"/>
                <w:color w:val="auto"/>
              </w:rPr>
              <w:t>Gross unrecognized tax benefits at December 31</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1,425</w:t>
            </w:r>
          </w:p>
        </w:tc>
        <w:tc>
          <w:tcPr>
            <w:tcW w:w="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-187960</wp:posOffset>
            </wp:positionV>
            <wp:extent cx="5969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22" w:lineRule="exact"/>
        <w:rPr>
          <w:sz w:val="20"/>
          <w:szCs w:val="20"/>
          <w:color w:val="auto"/>
        </w:rPr>
      </w:pPr>
    </w:p>
    <w:p>
      <w:pPr>
        <w:ind w:right="140" w:firstLine="419"/>
        <w:spacing w:after="0" w:line="279" w:lineRule="auto"/>
        <w:rPr>
          <w:sz w:val="20"/>
          <w:szCs w:val="20"/>
          <w:color w:val="auto"/>
        </w:rPr>
      </w:pPr>
      <w:r>
        <w:rPr>
          <w:rFonts w:ascii="Arial" w:cs="Arial" w:eastAsia="Arial" w:hAnsi="Arial"/>
          <w:sz w:val="17"/>
          <w:szCs w:val="17"/>
          <w:color w:val="auto"/>
        </w:rPr>
        <w:t>The gross amount of unrecognized tax benefits as of December 31, 2022, if recognized, would affect the effective income tax rate. The uncertain tax positions recorded in the current year, including $0.1 million of interest and penalties were acquired from OSR. To the extent we incur interest income, interest expense, or penalties related to unrecognized income tax benefits, it will be recorded within net other income (expense) on the Consolidated Statements of Operations. We do not expect our unrecognized tax benefits to change materially in the next twelve months.</w:t>
      </w:r>
    </w:p>
    <w:p>
      <w:pPr>
        <w:spacing w:after="0" w:line="129"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Our U.S. federal tax returns for 2019 and subsequent years remain subject to examination by tax authorities. We are also subject to examination in various state jurisdictions for 2018 and subsequent years.</w:t>
      </w:r>
    </w:p>
    <w:p>
      <w:pPr>
        <w:spacing w:after="0" w:line="273"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our business, including claims for which we retain portions of the losses through the application of deductibles and self-insured retentions, or self-insurance. Losses that exceed our deductibles and self-insured retentions are insured through various commercial lines of insurance policies. In the opinion of management, after consultation with legal counsel, the ultimate disposition of these various matters will not have a material adverse effect on the Company’s consolidated financial position, results of operations or liquidity.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Letters of Credit</w:t>
      </w:r>
    </w:p>
    <w:p>
      <w:pPr>
        <w:spacing w:after="0" w:line="12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The Company had outstanding letters of credit issued under its Credit Facility totaling $10.6 million as of December 31, 2022 and $8.7 million as of December 31, 2021. The letters of credit expire in May 2023 and are expected to be renewed for similar one-year terms.</w:t>
      </w:r>
    </w:p>
    <w:p>
      <w:pPr>
        <w:spacing w:after="0" w:line="273"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Benefit Plans</w:t>
      </w:r>
    </w:p>
    <w:p>
      <w:pPr>
        <w:spacing w:after="0" w:line="121"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We offer substantially all of our non-union employees’ participation in a qualified 401(k)/profit-sharing plan in which we match employee contributions up to predetermined limits for qualified employees as defined by the plan. For the year ended December 31, 2022 and for both continuing and discontinued operations for the years ended December 31, 2021 and 2020, we contributed to the plan, net of employee forfeitures, $4.6 million, $4.4 million and $3.7 million, respectively.</w:t>
      </w:r>
    </w:p>
    <w:p>
      <w:pPr>
        <w:spacing w:after="0" w:line="158"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We contribute to the Pension Trust Fund Operating Engineers Annuity Plan (EIN: 94-6090764, Plan No. 002), a multi-employer pension plan (“the Plan”), under the terms of a Collective Bargaining Agreement (“CBA”) that expires on October 31, 2025, and covers our union-represented employees and requires contribution amounts as set forth within the CBA. The Company contributed approximately $0.4 million in each of the years ended December 31, 2022, 2021 and 2020 and the Company has paid no surcharges in any period presented. These contributions represent less than five percent of the Plan’s total contributions in 2021. As of the date that our 2022 consolidated financial statements were issued, the Plan’s Form 5500 was not available for the Plan year ended December 31, 2022.</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risks of participating in a multi-employer pension plan is different from the risks associated with single-employer plans in the following respects.</w:t>
      </w:r>
    </w:p>
    <w:p>
      <w:pPr>
        <w:spacing w:after="0" w:line="140" w:lineRule="exact"/>
        <w:rPr>
          <w:sz w:val="20"/>
          <w:szCs w:val="20"/>
          <w:color w:val="auto"/>
        </w:rPr>
      </w:pPr>
    </w:p>
    <w:p>
      <w:pPr>
        <w:ind w:left="1140" w:right="660" w:hanging="383"/>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61" w:lineRule="exact"/>
        <w:rPr>
          <w:rFonts w:ascii="Arial" w:cs="Arial" w:eastAsia="Arial" w:hAnsi="Arial"/>
          <w:sz w:val="18"/>
          <w:szCs w:val="18"/>
          <w:color w:val="auto"/>
        </w:rPr>
      </w:pPr>
    </w:p>
    <w:p>
      <w:pPr>
        <w:ind w:left="1140" w:right="100" w:hanging="383"/>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1" w:name="page72"/>
    <w:bookmarkEnd w:id="71"/>
    <w:p>
      <w:pPr>
        <w:ind w:left="1140" w:right="480" w:hanging="383"/>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choose to stop participating in the Plan, we may be required to pay the Plan an amount based on the unfunded status of the plan, referred to as withdrawal liability.</w:t>
      </w:r>
    </w:p>
    <w:p>
      <w:pPr>
        <w:spacing w:after="0" w:line="129"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The Plan has a yellow zone status as of December 31, 2021, the most recent date for which a status determination has been made. The Pension Protection Act of 2006 ranks the funded status of multi-employer pension plans depending upon a plan’s current and projected funding. A plan is in the Red Zone (Critical) if it has a current funded percentage less than 65 percent. A plan is in the Yellow Zone (Endangered) if it has a current funded percentage of less than 80 percent or projects a credit balance deficit within seven years. A plan is in the Green Zone (Healthy) if it has a current funded percentage greater than 80 percent and does not have a projected credit balance deficit within seven years. The zone status is based on the Plan’s year-end and is based on information that we received from the Plan and is certified by the Plan’s actuary. A funding improvement plan has been implemented by the Plan’s trustees. The Company currently has no intention of withdrawing from the Plan.</w:t>
      </w:r>
    </w:p>
    <w:p>
      <w:pPr>
        <w:spacing w:after="0" w:line="285"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Mr. John M. Engquist, who has served as the Company’s Executive Chairman of the Board for the years ended December 31, 2022, 2021 and 2020, has a 48.0% ownership interest in Perkins-McKenzie Insurance Agency, Inc. (“Perkins-McKenzie”), an insurance brokerage firm. Perkins-McKenzie brokers a substantial portion of our commercial liability insurance. As the broker, Perkins-McKenzie receives from our insurance provider as a commission a portion of the premiums we pay to the insurance provider. Commissions paid to Perkins-McKenzie on our behalf as insurance broker totaled approximately $1.1 million, $0.9 million and $1.0 million for the years ended December 31, 2022, 2021 and 2020, respectively.</w:t>
      </w:r>
    </w:p>
    <w:p>
      <w:pPr>
        <w:spacing w:after="0" w:line="148"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We purchase products and services from, and sell products and services to, B-C Equipment Sales, Inc., in which Mr. Engquist has a 50% ownership interest. In each of the years ended December 31, 2022, 2021 and 2020, for both continuing and discontinued operations, our purchases totaled less than $10 thousand, $0.1 million and $0.1 million, respectively, and our sales to B-C Equipment Sales, Inc. totaled approximately $0.1 million, $0.2 million and $0.2 million, respectively.</w:t>
      </w:r>
    </w:p>
    <w:p>
      <w:pPr>
        <w:spacing w:after="0" w:line="289"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Summarized Quarterly Financial Data (Unaudited)</w:t>
      </w:r>
    </w:p>
    <w:p>
      <w:pPr>
        <w:spacing w:after="0" w:line="121"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The following is a summary of our unaudited quarterly financial results of operations for the years ended December 31, 2022 and 2021 (amounts in thousands, except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13"/>
                <w:szCs w:val="13"/>
                <w:color w:val="auto"/>
              </w:rPr>
            </w:pPr>
          </w:p>
        </w:tc>
      </w:tr>
      <w:tr>
        <w:trPr>
          <w:trHeight w:val="185"/>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2022:</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272,450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294,671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324,280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353,117</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78,806</w:t>
            </w:r>
          </w:p>
        </w:tc>
        <w:tc>
          <w:tcPr>
            <w:tcW w:w="100" w:type="dxa"/>
            <w:vAlign w:val="bottom"/>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22,121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51,329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69,221</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51,152</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
              <w:spacing w:after="0" w:line="243" w:lineRule="exact"/>
              <w:rPr>
                <w:sz w:val="20"/>
                <w:szCs w:val="20"/>
                <w:color w:val="auto"/>
              </w:rPr>
            </w:pPr>
            <w:r>
              <w:rPr>
                <w:rFonts w:ascii="Arial" w:cs="Arial" w:eastAsia="Arial" w:hAnsi="Arial"/>
                <w:sz w:val="18"/>
                <w:szCs w:val="18"/>
                <w:color w:val="auto"/>
              </w:rPr>
              <w:t>Basic net income from continuing operations per common share</w:t>
            </w:r>
            <w:r>
              <w:rPr>
                <w:rFonts w:ascii="Arial" w:cs="Arial" w:eastAsia="Arial" w:hAnsi="Arial"/>
                <w:sz w:val="24"/>
                <w:szCs w:val="24"/>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Diluted net income from continuing operations per common share</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1"/>
                <w:szCs w:val="21"/>
                <w:color w:val="auto"/>
              </w:rPr>
            </w:pPr>
          </w:p>
        </w:tc>
      </w:tr>
      <w:tr>
        <w:trPr>
          <w:trHeight w:val="355"/>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24"/>
                <w:szCs w:val="24"/>
                <w:color w:val="auto"/>
              </w:rPr>
            </w:pPr>
          </w:p>
        </w:tc>
      </w:tr>
      <w:tr>
        <w:trPr>
          <w:trHeight w:val="185"/>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240,432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265,677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275,436</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281,252</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41,603</w:t>
            </w:r>
          </w:p>
        </w:tc>
        <w:tc>
          <w:tcPr>
            <w:tcW w:w="100" w:type="dxa"/>
            <w:vAlign w:val="bottom"/>
            <w:shd w:val="clear" w:color="auto" w:fill="CFF0FC"/>
          </w:tcPr>
          <w:p>
            <w:pPr>
              <w:spacing w:after="0"/>
              <w:rPr>
                <w:sz w:val="21"/>
                <w:szCs w:val="21"/>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29,279</w:t>
            </w: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21,730</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
              <w:spacing w:after="0" w:line="243" w:lineRule="exact"/>
              <w:rPr>
                <w:sz w:val="20"/>
                <w:szCs w:val="20"/>
                <w:color w:val="auto"/>
              </w:rPr>
            </w:pPr>
            <w:r>
              <w:rPr>
                <w:rFonts w:ascii="Arial" w:cs="Arial" w:eastAsia="Arial" w:hAnsi="Arial"/>
                <w:sz w:val="18"/>
                <w:szCs w:val="18"/>
                <w:color w:val="auto"/>
              </w:rPr>
              <w:t>Basic net income from continuing operations per common share</w:t>
            </w:r>
            <w:r>
              <w:rPr>
                <w:rFonts w:ascii="Arial" w:cs="Arial" w:eastAsia="Arial" w:hAnsi="Arial"/>
                <w:sz w:val="24"/>
                <w:szCs w:val="24"/>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Diluted net income from continuing operations per common share</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21"/>
                <w:szCs w:val="21"/>
                <w:color w:val="auto"/>
              </w:rPr>
            </w:pPr>
          </w:p>
        </w:tc>
      </w:tr>
    </w:tbl>
    <w:p>
      <w:pPr>
        <w:spacing w:after="0" w:line="134" w:lineRule="exact"/>
        <w:rPr>
          <w:sz w:val="20"/>
          <w:szCs w:val="20"/>
          <w:color w:val="auto"/>
        </w:rPr>
      </w:pPr>
    </w:p>
    <w:p>
      <w:pPr>
        <w:ind w:left="900" w:right="200" w:hanging="515"/>
        <w:spacing w:after="0" w:line="221" w:lineRule="auto"/>
        <w:tabs>
          <w:tab w:leader="none" w:pos="900" w:val="left"/>
        </w:tabs>
        <w:numPr>
          <w:ilvl w:val="1"/>
          <w:numId w:val="47"/>
        </w:numPr>
        <w:rPr>
          <w:rFonts w:ascii="Arial" w:cs="Arial" w:eastAsia="Arial" w:hAnsi="Arial"/>
          <w:sz w:val="24"/>
          <w:szCs w:val="24"/>
          <w:color w:val="auto"/>
          <w:vertAlign w:val="superscript"/>
        </w:rPr>
      </w:pPr>
      <w:r>
        <w:rPr>
          <w:rFonts w:ascii="Arial" w:cs="Arial" w:eastAsia="Arial" w:hAnsi="Arial"/>
          <w:sz w:val="18"/>
          <w:szCs w:val="18"/>
          <w:color w:val="auto"/>
        </w:rPr>
        <w:t>Because of the method used in calculating per share data, the summation of quarterly per share data may not necessarily total to the per share data computed for the entire year due to rounding.</w:t>
      </w:r>
    </w:p>
    <w:p>
      <w:pPr>
        <w:spacing w:after="0" w:line="306" w:lineRule="exact"/>
        <w:rPr>
          <w:rFonts w:ascii="Arial" w:cs="Arial" w:eastAsia="Arial" w:hAnsi="Arial"/>
          <w:sz w:val="24"/>
          <w:szCs w:val="24"/>
          <w:color w:val="auto"/>
          <w:vertAlign w:val="superscript"/>
        </w:rPr>
      </w:pPr>
    </w:p>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We have identified five reportable segments: equipment rentals, used equipment sales, new equipment sales, parts sales and service revenues. These segments are based upon revenue streams and how management of the Company allocates resources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120"/>
        <w:spacing w:after="0" w:line="259" w:lineRule="auto"/>
        <w:rPr>
          <w:sz w:val="20"/>
          <w:szCs w:val="20"/>
          <w:color w:val="auto"/>
        </w:rPr>
      </w:pPr>
      <w:r>
        <w:rPr>
          <w:rFonts w:ascii="Arial" w:cs="Arial" w:eastAsia="Arial" w:hAnsi="Arial"/>
          <w:sz w:val="18"/>
          <w:szCs w:val="18"/>
          <w:color w:val="auto"/>
        </w:rPr>
        <w:t>assesses performance. Our non-segmented revenues and costs relate primarily to ancillary charges associated with equipment maintenance and repair services, and are not generally allocated to the other reportable segments. There were no sales between segments for any of the periods presented. Selling, general, and administrative expenses as well as all other income and expense items below gross profit are not generally allocated to our reportable segments.</w:t>
      </w:r>
    </w:p>
    <w:p>
      <w:pPr>
        <w:spacing w:after="0" w:line="145"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color w:val="auto"/>
        </w:rPr>
        <w:t>We do not compile discrete financial information by our segments other than the information presented below. The following table presents information about our reportable segments (amounts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11"/>
          </w:tcPr>
          <w:p>
            <w:pPr>
              <w:jc w:val="right"/>
              <w:ind w:right="50"/>
              <w:spacing w:after="0"/>
              <w:rPr>
                <w:sz w:val="20"/>
                <w:szCs w:val="20"/>
                <w:color w:val="auto"/>
              </w:rPr>
            </w:pPr>
            <w:r>
              <w:rPr>
                <w:rFonts w:ascii="Arial" w:cs="Arial" w:eastAsia="Arial" w:hAnsi="Arial"/>
                <w:sz w:val="14"/>
                <w:szCs w:val="14"/>
                <w:b w:val="1"/>
                <w:bCs w:val="1"/>
                <w:color w:val="auto"/>
                <w:w w:val="97"/>
              </w:rPr>
              <w:t>Years Ended December 31,</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Equipment rentals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956,042</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729,700</w:t>
            </w:r>
          </w:p>
        </w:tc>
        <w:tc>
          <w:tcPr>
            <w:tcW w:w="8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644,445</w:t>
            </w:r>
          </w:p>
        </w:tc>
        <w:tc>
          <w:tcPr>
            <w:tcW w:w="80" w:type="dxa"/>
            <w:vAlign w:val="bottom"/>
          </w:tcPr>
          <w:p>
            <w:pPr>
              <w:spacing w:after="0"/>
              <w:rPr>
                <w:sz w:val="20"/>
                <w:szCs w:val="20"/>
                <w:color w:val="auto"/>
              </w:rPr>
            </w:pPr>
          </w:p>
        </w:tc>
      </w:tr>
      <w:tr>
        <w:trPr>
          <w:trHeight w:val="249"/>
        </w:trPr>
        <w:tc>
          <w:tcPr>
            <w:tcW w:w="52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Used equipment sales</w:t>
            </w: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90,885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135,245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139,769</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New equipment sales</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92,526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92,677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113,708</w:t>
            </w:r>
          </w:p>
        </w:tc>
        <w:tc>
          <w:tcPr>
            <w:tcW w:w="80" w:type="dxa"/>
            <w:vAlign w:val="bottom"/>
          </w:tcPr>
          <w:p>
            <w:pPr>
              <w:spacing w:after="0"/>
              <w:rPr>
                <w:sz w:val="20"/>
                <w:szCs w:val="20"/>
                <w:color w:val="auto"/>
              </w:rPr>
            </w:pPr>
          </w:p>
        </w:tc>
      </w:tr>
      <w:tr>
        <w:trPr>
          <w:trHeight w:val="249"/>
        </w:trPr>
        <w:tc>
          <w:tcPr>
            <w:tcW w:w="52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Parts sales</w:t>
            </w: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64,646</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65,623</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65,881</w:t>
            </w:r>
          </w:p>
        </w:tc>
        <w:tc>
          <w:tcPr>
            <w:tcW w:w="80" w:type="dxa"/>
            <w:vAlign w:val="bottom"/>
            <w:shd w:val="clear" w:color="auto" w:fill="CFF0FC"/>
          </w:tcPr>
          <w:p>
            <w:pPr>
              <w:spacing w:after="0"/>
              <w:rPr>
                <w:sz w:val="21"/>
                <w:szCs w:val="21"/>
                <w:color w:val="auto"/>
              </w:rPr>
            </w:pP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Services revenues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34,226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33,034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35,989</w:t>
            </w:r>
          </w:p>
        </w:tc>
        <w:tc>
          <w:tcPr>
            <w:tcW w:w="80" w:type="dxa"/>
            <w:vAlign w:val="bottom"/>
          </w:tcPr>
          <w:p>
            <w:pPr>
              <w:spacing w:after="0"/>
              <w:rPr>
                <w:sz w:val="21"/>
                <w:szCs w:val="21"/>
                <w:color w:val="auto"/>
              </w:rPr>
            </w:pPr>
          </w:p>
        </w:tc>
      </w:tr>
      <w:tr>
        <w:trPr>
          <w:trHeight w:val="236"/>
        </w:trPr>
        <w:tc>
          <w:tcPr>
            <w:tcW w:w="52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Total segmented revenues</w:t>
            </w:r>
          </w:p>
        </w:tc>
        <w:tc>
          <w:tcPr>
            <w:tcW w:w="22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1,238,325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1,056,279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999,792</w:t>
            </w:r>
          </w:p>
        </w:tc>
        <w:tc>
          <w:tcPr>
            <w:tcW w:w="80" w:type="dxa"/>
            <w:vAlign w:val="bottom"/>
            <w:shd w:val="clear" w:color="auto" w:fill="CFF0FC"/>
          </w:tcPr>
          <w:p>
            <w:pPr>
              <w:spacing w:after="0"/>
              <w:rPr>
                <w:sz w:val="20"/>
                <w:szCs w:val="20"/>
                <w:color w:val="auto"/>
              </w:rPr>
            </w:pPr>
          </w:p>
        </w:tc>
      </w:tr>
      <w:tr>
        <w:trPr>
          <w:trHeight w:val="243"/>
        </w:trPr>
        <w:tc>
          <w:tcPr>
            <w:tcW w:w="5260" w:type="dxa"/>
            <w:vAlign w:val="bottom"/>
            <w:gridSpan w:val="2"/>
          </w:tcPr>
          <w:p>
            <w:pPr>
              <w:spacing w:after="0"/>
              <w:rPr>
                <w:sz w:val="20"/>
                <w:szCs w:val="20"/>
                <w:color w:val="auto"/>
              </w:rPr>
            </w:pPr>
            <w:r>
              <w:rPr>
                <w:rFonts w:ascii="Arial" w:cs="Arial" w:eastAsia="Arial" w:hAnsi="Arial"/>
                <w:sz w:val="18"/>
                <w:szCs w:val="18"/>
                <w:color w:val="auto"/>
              </w:rPr>
              <w:t>Non-Segmented revenues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7,183</w:t>
            </w:r>
          </w:p>
        </w:tc>
        <w:tc>
          <w:tcPr>
            <w:tcW w:w="80" w:type="dxa"/>
            <w:vAlign w:val="bottom"/>
          </w:tcPr>
          <w:p>
            <w:pPr>
              <w:spacing w:after="0"/>
              <w:rPr>
                <w:sz w:val="21"/>
                <w:szCs w:val="21"/>
                <w:color w:val="auto"/>
              </w:rPr>
            </w:pPr>
          </w:p>
        </w:tc>
      </w:tr>
      <w:tr>
        <w:trPr>
          <w:trHeight w:val="276"/>
        </w:trPr>
        <w:tc>
          <w:tcPr>
            <w:tcW w:w="5260" w:type="dxa"/>
            <w:vAlign w:val="bottom"/>
            <w:tcBorders>
              <w:bottom w:val="single" w:sz="8" w:color="CFF0FC"/>
            </w:tcBorders>
            <w:gridSpan w:val="2"/>
            <w:shd w:val="clear" w:color="auto" w:fill="CFF0FC"/>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1,244,518</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1,062,797</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1,006,975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Segment Gross Profit: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2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Equipment rentals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460,243</w:t>
            </w: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315,629</w:t>
            </w:r>
          </w:p>
        </w:tc>
        <w:tc>
          <w:tcPr>
            <w:tcW w:w="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257,508</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Used equipment sales</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44,316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48,922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44,970</w:t>
            </w:r>
          </w:p>
        </w:tc>
        <w:tc>
          <w:tcPr>
            <w:tcW w:w="80" w:type="dxa"/>
            <w:vAlign w:val="bottom"/>
          </w:tcPr>
          <w:p>
            <w:pPr>
              <w:spacing w:after="0"/>
              <w:rPr>
                <w:sz w:val="20"/>
                <w:szCs w:val="20"/>
                <w:color w:val="auto"/>
              </w:rPr>
            </w:pPr>
          </w:p>
        </w:tc>
      </w:tr>
      <w:tr>
        <w:trPr>
          <w:trHeight w:val="249"/>
        </w:trPr>
        <w:tc>
          <w:tcPr>
            <w:tcW w:w="52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New equipment sales</w:t>
            </w: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11,855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12,207</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Parts sales</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18,035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17,277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17,750</w:t>
            </w:r>
          </w:p>
        </w:tc>
        <w:tc>
          <w:tcPr>
            <w:tcW w:w="80" w:type="dxa"/>
            <w:vAlign w:val="bottom"/>
          </w:tcPr>
          <w:p>
            <w:pPr>
              <w:spacing w:after="0"/>
              <w:rPr>
                <w:sz w:val="20"/>
                <w:szCs w:val="20"/>
                <w:color w:val="auto"/>
              </w:rPr>
            </w:pPr>
          </w:p>
        </w:tc>
      </w:tr>
      <w:tr>
        <w:trPr>
          <w:trHeight w:val="249"/>
        </w:trPr>
        <w:tc>
          <w:tcPr>
            <w:tcW w:w="52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Services revenues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21,998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21,797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24,464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Total gross profit from segmented revenues</w:t>
            </w:r>
          </w:p>
        </w:tc>
        <w:tc>
          <w:tcPr>
            <w:tcW w:w="2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557,688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415,480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356,899</w:t>
            </w:r>
          </w:p>
        </w:tc>
        <w:tc>
          <w:tcPr>
            <w:tcW w:w="80" w:type="dxa"/>
            <w:vAlign w:val="bottom"/>
          </w:tcPr>
          <w:p>
            <w:pPr>
              <w:spacing w:after="0"/>
              <w:rPr>
                <w:sz w:val="19"/>
                <w:szCs w:val="19"/>
                <w:color w:val="auto"/>
              </w:rPr>
            </w:pPr>
          </w:p>
        </w:tc>
      </w:tr>
      <w:tr>
        <w:trPr>
          <w:trHeight w:val="249"/>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Non-segmented gross profit (loss)</w:t>
            </w:r>
          </w:p>
        </w:tc>
        <w:tc>
          <w:tcPr>
            <w:tcW w:w="220" w:type="dxa"/>
            <w:vAlign w:val="bottom"/>
            <w:shd w:val="clear" w:color="auto" w:fill="CFF0FC"/>
          </w:tcPr>
          <w:p>
            <w:pPr>
              <w:spacing w:after="0"/>
              <w:rPr>
                <w:sz w:val="21"/>
                <w:szCs w:val="21"/>
                <w:color w:val="auto"/>
              </w:rPr>
            </w:pPr>
          </w:p>
        </w:tc>
        <w:tc>
          <w:tcPr>
            <w:tcW w:w="9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(2,525 )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tcBorders>
              <w:top w:val="single" w:sz="8" w:color="CFF0FC"/>
            </w:tcBorders>
            <w:gridSpan w:val="2"/>
          </w:tcPr>
          <w:p>
            <w:pPr>
              <w:ind w:left="540"/>
              <w:spacing w:after="0"/>
              <w:rPr>
                <w:sz w:val="20"/>
                <w:szCs w:val="20"/>
                <w:color w:val="auto"/>
              </w:rPr>
            </w:pPr>
            <w:r>
              <w:rPr>
                <w:rFonts w:ascii="Arial" w:cs="Arial" w:eastAsia="Arial" w:hAnsi="Arial"/>
                <w:sz w:val="18"/>
                <w:szCs w:val="18"/>
                <w:color w:val="auto"/>
              </w:rPr>
              <w:t>Total gross profit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555,163</w:t>
            </w:r>
          </w:p>
        </w:tc>
        <w:tc>
          <w:tcPr>
            <w:tcW w:w="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415,363</w:t>
            </w:r>
          </w:p>
        </w:tc>
        <w:tc>
          <w:tcPr>
            <w:tcW w:w="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357,063</w:t>
            </w:r>
          </w:p>
        </w:tc>
        <w:tc>
          <w:tcPr>
            <w:tcW w:w="80" w:type="dxa"/>
            <w:vAlign w:val="bottom"/>
            <w:tcBorders>
              <w:top w:val="single" w:sz="8" w:color="CFF0FC"/>
            </w:tcBorders>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5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56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Segment identified assets:</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Equipment rentals</w:t>
            </w:r>
          </w:p>
        </w:tc>
        <w:tc>
          <w:tcPr>
            <w:tcW w:w="220" w:type="dxa"/>
            <w:vAlign w:val="bottom"/>
          </w:tcPr>
          <w:p>
            <w:pPr>
              <w:spacing w:after="0"/>
              <w:rPr>
                <w:sz w:val="20"/>
                <w:szCs w:val="20"/>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1,418,951</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2"/>
              </w:rPr>
              <w:t>1,116,456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60" w:type="dxa"/>
            <w:vAlign w:val="bottom"/>
          </w:tcPr>
          <w:p>
            <w:pPr>
              <w:spacing w:after="0"/>
              <w:rPr>
                <w:sz w:val="21"/>
                <w:szCs w:val="21"/>
                <w:color w:val="auto"/>
              </w:rPr>
            </w:pPr>
          </w:p>
        </w:tc>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Equipment sales</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94,918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62,652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0" w:type="dxa"/>
            <w:vAlign w:val="bottom"/>
          </w:tcPr>
          <w:p>
            <w:pPr>
              <w:spacing w:after="0"/>
              <w:rPr>
                <w:sz w:val="21"/>
                <w:szCs w:val="21"/>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Parts and service</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12,924</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12,647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60" w:type="dxa"/>
            <w:vAlign w:val="bottom"/>
          </w:tcPr>
          <w:p>
            <w:pPr>
              <w:spacing w:after="0"/>
              <w:rPr>
                <w:sz w:val="20"/>
                <w:szCs w:val="20"/>
                <w:color w:val="auto"/>
              </w:rPr>
            </w:pPr>
          </w:p>
        </w:tc>
        <w:tc>
          <w:tcPr>
            <w:tcW w:w="4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segment identified assets</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1,526,793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w w:val="92"/>
              </w:rPr>
              <w:t>1,191,755</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6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Non-Segmented identified assets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764,906</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888,692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560" w:type="dxa"/>
            <w:vAlign w:val="bottom"/>
          </w:tcPr>
          <w:p>
            <w:pPr>
              <w:spacing w:after="0"/>
              <w:rPr>
                <w:sz w:val="24"/>
                <w:szCs w:val="24"/>
                <w:color w:val="auto"/>
              </w:rPr>
            </w:pPr>
          </w:p>
        </w:tc>
        <w:tc>
          <w:tcPr>
            <w:tcW w:w="470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2,291,699</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w w:val="92"/>
              </w:rPr>
              <w:t>2,080,447</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-2953385</wp:posOffset>
            </wp:positionV>
            <wp:extent cx="1669415" cy="179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669415" cy="17970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-2002790</wp:posOffset>
            </wp:positionV>
            <wp:extent cx="5969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-2002790</wp:posOffset>
            </wp:positionV>
            <wp:extent cx="51435" cy="162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-2002790</wp:posOffset>
            </wp:positionV>
            <wp:extent cx="51435"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-1685925</wp:posOffset>
            </wp:positionV>
            <wp:extent cx="5969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-1685925</wp:posOffset>
            </wp:positionV>
            <wp:extent cx="51435"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-1685925</wp:posOffset>
            </wp:positionV>
            <wp:extent cx="51435"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2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The Company operates primarily in the United States and our sales to international customers for the three years ended December 31, 2022 were 0.3% of total revenues for the periods presented. No one customer accounted for more than 10% of our revenues on an overall or segmented basis for any of the periods presented.</w:t>
      </w:r>
    </w:p>
    <w:p>
      <w:pPr>
        <w:spacing w:after="0" w:line="286"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180" w:firstLine="374"/>
        <w:spacing w:after="0" w:line="256" w:lineRule="auto"/>
        <w:rPr>
          <w:sz w:val="20"/>
          <w:szCs w:val="20"/>
          <w:color w:val="auto"/>
        </w:rPr>
      </w:pPr>
      <w:r>
        <w:rPr>
          <w:rFonts w:ascii="Arial" w:cs="Arial" w:eastAsia="Arial" w:hAnsi="Arial"/>
          <w:sz w:val="18"/>
          <w:szCs w:val="18"/>
          <w:color w:val="auto"/>
        </w:rPr>
        <w:t>On February 2, 2023, we amended, extended and restated the Credit Facility by entering into the Sixth Amended and Restated Credit Agreement by and among the Company, Great Northern Equipment, Inc., H&amp;E Equipment Services (California), LLC, H&amp;E Equipment Services (Mid-Atlantic), LLC, H&amp;E Equipment Services (Midwest), LLC, the other credit parties named therein, the lenders named therein, Wells Fargo Bank, National Association, as administrative agent, the other credit parties named therein, the lenders named therein, and the joint lead arrangers, joint book runners, co-syndication agents and documentation agent named therein.</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Sixth Amended and Restated Credit Agreement, among other things, (i) extended the maturity date of the credit facility to February 2, 2028 and</w:t>
      </w:r>
    </w:p>
    <w:p>
      <w:pPr>
        <w:spacing w:after="0" w:line="46"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amended the interest rate to SOFR plus a credit spread adjustment plus an applicable margin of 1.25% to 1.75%, depending on the Average Availability.</w:t>
      </w:r>
    </w:p>
    <w:p>
      <w:pPr>
        <w:spacing w:after="0" w:line="23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the Company files or furnishes under the Securities Exchange Act of 1934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129" w:lineRule="exact"/>
        <w:rPr>
          <w:sz w:val="20"/>
          <w:szCs w:val="20"/>
          <w:color w:val="auto"/>
        </w:rPr>
      </w:pPr>
    </w:p>
    <w:p>
      <w:pPr>
        <w:jc w:val="both"/>
        <w:ind w:right="60" w:firstLine="374"/>
        <w:spacing w:after="0" w:line="301" w:lineRule="auto"/>
        <w:rPr>
          <w:sz w:val="20"/>
          <w:szCs w:val="20"/>
          <w:color w:val="auto"/>
        </w:rPr>
      </w:pPr>
      <w:r>
        <w:rPr>
          <w:rFonts w:ascii="Arial" w:cs="Arial" w:eastAsia="Arial" w:hAnsi="Arial"/>
          <w:sz w:val="16"/>
          <w:szCs w:val="16"/>
          <w:color w:val="auto"/>
        </w:rPr>
        <w:t>Our Chief Executive Officer and Chief Financial Officer (our principal executive officer and principal financial officer, respectively) have evaluated the effectiveness of our disclosure controls and procedures (as defined in Rule 13a-15(e) and 15d-15(e) promulgated under the Securities Exchange Act of 1934, as amended) as of the end of the period covered by this Annual Report on Form 10-K. Based on this evaluation, our principal executive officer and principal financial officer have concluded that, as of December 31, 2022, our current disclosure controls and procedures were effective.</w:t>
      </w:r>
    </w:p>
    <w:p>
      <w:pPr>
        <w:spacing w:after="0" w:line="129" w:lineRule="exact"/>
        <w:rPr>
          <w:sz w:val="20"/>
          <w:szCs w:val="20"/>
          <w:color w:val="auto"/>
        </w:rPr>
      </w:pPr>
    </w:p>
    <w:p>
      <w:pPr>
        <w:jc w:val="both"/>
        <w:ind w:right="200" w:firstLine="374"/>
        <w:spacing w:after="0" w:line="301" w:lineRule="auto"/>
        <w:rPr>
          <w:sz w:val="20"/>
          <w:szCs w:val="20"/>
          <w:color w:val="auto"/>
        </w:rPr>
      </w:pPr>
      <w:r>
        <w:rPr>
          <w:rFonts w:ascii="Arial" w:cs="Arial" w:eastAsia="Arial" w:hAnsi="Arial"/>
          <w:sz w:val="16"/>
          <w:szCs w:val="16"/>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 13a-15(f)) that occurred during the fourth quarter ended December 31, 2022 that have materially affected, or are reasonably likely to materially affect, the Company’s internal control over financial reporting.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4" w:name="page75"/>
    <w:bookmarkEnd w:id="74"/>
    <w:p>
      <w:pPr>
        <w:jc w:val="center"/>
        <w:ind w:right="-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8"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management of H&amp;E Equipment Services, Inc. is responsible for establishing and maintaining adequate internal control over financial reporting, as such term is defined in Exchange Act Rules 13a-15(f) and 15d-15(f). Our internal control system was designed to provide reasonable assurance regarding the reliability of financial reporting and the preparation of financial statements for external purposes in accordance with U.S. generally accepted accounting principles.</w:t>
      </w:r>
    </w:p>
    <w:p>
      <w:pPr>
        <w:spacing w:after="0" w:line="158"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Any evaluation or projection of effectiveness to future periods is also subject to risk that controls may become inadequate due to changes in conditions, or that the degree of compliance with the policies and procedures may deteriorate.</w:t>
      </w:r>
    </w:p>
    <w:p>
      <w:pPr>
        <w:spacing w:after="0" w:line="145"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2022,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 Based on that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as of December 31, 2022, our internal control over financial reporting was effective based on these criteria.</w:t>
      </w:r>
    </w:p>
    <w:p>
      <w:pPr>
        <w:spacing w:after="0" w:line="115"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BDO USA, LLP, an independent registered public accounting firm, as stated in their report, which is included herein.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2023</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11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Bradley W. Barber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11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Leslie S. Magee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H&amp;E Equipment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H&amp;E Equipment Services, Inc.’s (the “Company’s”) internal control over financial reporting as of December 31, 2022,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December 31, 2022, based on the COSO criteria.</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stockholders’ equity, and cash flows for each of the three years in the period ended December 31, 2022, and the related notes and schedule of valuation and qualifying accounts for each of the three years in the period ended December 31, 2022 appearing under Item 15(a)(2), and our report dated February 22, 2023,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from the Company’s definitive proxy statement for use in connection with the 2023 Annual Meeting of Stockholders (the “Proxy Statement”) to be filed within 120 days after the end of the Company’s fiscal year ended December 31, 2022.</w:t>
      </w:r>
    </w:p>
    <w:p>
      <w:pPr>
        <w:spacing w:after="0" w:line="142"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 xml:space="preserve">We have adopted a code of conduct that applies to our Chief Executive Officer and Chief Financial Officer. This code of conduct is available on the Company’s internet website at </w:t>
      </w:r>
      <w:r>
        <w:rPr>
          <w:rFonts w:ascii="Arial" w:cs="Arial" w:eastAsia="Arial" w:hAnsi="Arial"/>
          <w:sz w:val="18"/>
          <w:szCs w:val="18"/>
          <w:u w:val="single" w:color="auto"/>
          <w:color w:val="auto"/>
        </w:rPr>
        <w:t>www.he-equipment.com</w:t>
      </w:r>
      <w:r>
        <w:rPr>
          <w:rFonts w:ascii="Arial" w:cs="Arial" w:eastAsia="Arial" w:hAnsi="Arial"/>
          <w:sz w:val="18"/>
          <w:szCs w:val="18"/>
          <w:color w:val="auto"/>
        </w:rPr>
        <w:t xml:space="preserve">. The information on our website is not a part of or incorporated by reference into this Annual Report on Form 10-K. If the Company makes any amendments to this code other than technical, administrative or other non-substantive amendments, or grants any waivers, including implicit waivers, from a provision of this code to the Company’s Chief Executive Officer or Chief Financial Officer, the Company will disclose the nature of the amendment or waiver, its effective date and to whom it applies by posting such information on the Company’s internet website at </w:t>
      </w:r>
      <w:r>
        <w:rPr>
          <w:rFonts w:ascii="Arial" w:cs="Arial" w:eastAsia="Arial" w:hAnsi="Arial"/>
          <w:sz w:val="18"/>
          <w:szCs w:val="18"/>
          <w:u w:val="single" w:color="auto"/>
          <w:color w:val="auto"/>
        </w:rPr>
        <w:t>www.he-equipment.com</w:t>
      </w:r>
      <w:r>
        <w:rPr>
          <w:rFonts w:ascii="Arial" w:cs="Arial" w:eastAsia="Arial" w:hAnsi="Arial"/>
          <w:sz w:val="18"/>
          <w:szCs w:val="18"/>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IV</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7"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Company’s Consolidated Financial Statements listed below have been filed as part of this report: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82"/>
        </w:trPr>
        <w:tc>
          <w:tcPr>
            <w:tcW w:w="20" w:type="dxa"/>
            <w:vAlign w:val="bottom"/>
          </w:tcPr>
          <w:p>
            <w:pPr>
              <w:spacing w:after="0"/>
              <w:rPr>
                <w:sz w:val="15"/>
                <w:szCs w:val="15"/>
                <w:color w:val="auto"/>
              </w:rPr>
            </w:pPr>
          </w:p>
        </w:tc>
        <w:tc>
          <w:tcPr>
            <w:tcW w:w="10560" w:type="dxa"/>
            <w:vAlign w:val="bottom"/>
            <w:gridSpan w:val="10"/>
          </w:tcPr>
          <w:p>
            <w:pPr>
              <w:spacing w:after="0" w:line="182" w:lineRule="exact"/>
              <w:rPr>
                <w:sz w:val="20"/>
                <w:szCs w:val="20"/>
                <w:color w:val="auto"/>
              </w:rPr>
            </w:pPr>
            <w:r>
              <w:rPr>
                <w:rFonts w:ascii="Arial" w:cs="Arial" w:eastAsia="Arial" w:hAnsi="Arial"/>
                <w:sz w:val="18"/>
                <w:szCs w:val="18"/>
                <w:color w:val="0000FF"/>
              </w:rPr>
              <w:t>Report of Independent Registered Public Accounting Firm—Internal Control over Financial Reporting</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73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FF"/>
                <w:w w:val="97"/>
              </w:rPr>
              <w:t>Report of Independent Registered Public Accounting Firm—Consolidated Financial Statements</w:t>
            </w:r>
          </w:p>
        </w:tc>
        <w:tc>
          <w:tcPr>
            <w:tcW w:w="31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68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368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2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366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20" w:type="dxa"/>
            <w:vAlign w:val="bottom"/>
          </w:tcPr>
          <w:p>
            <w:pPr>
              <w:spacing w:after="0"/>
              <w:rPr>
                <w:sz w:val="19"/>
                <w:szCs w:val="19"/>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0000FF"/>
              </w:rPr>
              <w:t>Notes to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360" w:type="dxa"/>
            <w:vAlign w:val="bottom"/>
            <w:gridSpan w:val="2"/>
          </w:tcPr>
          <w:p>
            <w:pPr>
              <w:spacing w:after="0"/>
              <w:rPr>
                <w:sz w:val="20"/>
                <w:szCs w:val="20"/>
                <w:color w:val="auto"/>
              </w:rPr>
            </w:pPr>
            <w:r>
              <w:rPr>
                <w:rFonts w:ascii="Arial" w:cs="Arial" w:eastAsia="Arial" w:hAnsi="Arial"/>
                <w:sz w:val="18"/>
                <w:szCs w:val="18"/>
                <w:color w:val="auto"/>
              </w:rPr>
              <w:t>(2)</w:t>
            </w:r>
          </w:p>
        </w:tc>
        <w:tc>
          <w:tcPr>
            <w:tcW w:w="10220" w:type="dxa"/>
            <w:vAlign w:val="bottom"/>
            <w:gridSpan w:val="9"/>
          </w:tcPr>
          <w:p>
            <w:pPr>
              <w:ind w:left="160"/>
              <w:spacing w:after="0"/>
              <w:rPr>
                <w:sz w:val="20"/>
                <w:szCs w:val="20"/>
                <w:color w:val="auto"/>
              </w:rPr>
            </w:pPr>
            <w:r>
              <w:rPr>
                <w:rFonts w:ascii="Arial" w:cs="Arial" w:eastAsia="Arial" w:hAnsi="Arial"/>
                <w:sz w:val="18"/>
                <w:szCs w:val="18"/>
                <w:color w:val="auto"/>
              </w:rPr>
              <w:t>Financial Statement Schedule for the years ended December 31, 2022, 2021 and 2020:</w:t>
            </w:r>
          </w:p>
        </w:tc>
        <w:tc>
          <w:tcPr>
            <w:tcW w:w="66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10560" w:type="dxa"/>
            <w:vAlign w:val="bottom"/>
            <w:gridSpan w:val="10"/>
          </w:tcPr>
          <w:p>
            <w:pPr>
              <w:spacing w:after="0"/>
              <w:rPr>
                <w:sz w:val="20"/>
                <w:szCs w:val="20"/>
                <w:color w:val="auto"/>
              </w:rPr>
            </w:pPr>
            <w:r>
              <w:rPr>
                <w:rFonts w:ascii="Arial" w:cs="Arial" w:eastAsia="Arial" w:hAnsi="Arial"/>
                <w:sz w:val="18"/>
                <w:szCs w:val="18"/>
                <w:color w:val="0000FF"/>
              </w:rPr>
              <w:t>Schedule II—Valuation and Qualifying Accounts</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the information appears in the Company’s Consolidated Financial Statements or notes thereto.</w:t>
      </w:r>
    </w:p>
    <w:p>
      <w:pPr>
        <w:spacing w:after="0" w:line="169"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 The exhibits to this report are listed in the exhibit index below.</w:t>
      </w:r>
    </w:p>
    <w:p>
      <w:pPr>
        <w:spacing w:after="0" w:line="225"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Description of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ind w:right="160"/>
        <w:spacing w:after="0"/>
        <w:rPr>
          <w:sz w:val="20"/>
          <w:szCs w:val="20"/>
          <w:color w:val="auto"/>
        </w:rPr>
      </w:pPr>
      <w:r>
        <w:rPr>
          <w:rFonts w:ascii="Arial" w:cs="Arial" w:eastAsia="Arial" w:hAnsi="Arial"/>
          <w:sz w:val="18"/>
          <w:szCs w:val="18"/>
          <w:b w:val="1"/>
          <w:bCs w:val="1"/>
          <w:color w:val="auto"/>
        </w:rPr>
        <w:t>Exhibit Index</w:t>
      </w:r>
    </w:p>
    <w:p>
      <w:pPr>
        <w:spacing w:after="0" w:line="242" w:lineRule="exact"/>
        <w:rPr>
          <w:sz w:val="20"/>
          <w:szCs w:val="20"/>
          <w:color w:val="auto"/>
        </w:rPr>
      </w:pPr>
    </w:p>
    <w:p>
      <w:pPr>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359">
        <w:r>
          <w:rPr>
            <w:rFonts w:ascii="Arial" w:cs="Arial" w:eastAsia="Arial" w:hAnsi="Arial"/>
            <w:sz w:val="16"/>
            <w:szCs w:val="16"/>
            <w:u w:val="single" w:color="auto"/>
            <w:color w:val="0000FF"/>
          </w:rPr>
          <w:t>Agreement and Plan of Merger, dated February 2, 2006, among the Company, H&amp;E LLC and Holdings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-10160</wp:posOffset>
            </wp:positionV>
            <wp:extent cx="64604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6460490" cy="8255"/>
                    </a:xfrm>
                    <a:prstGeom prst="rect">
                      <a:avLst/>
                    </a:prstGeom>
                    <a:noFill/>
                  </pic:spPr>
                </pic:pic>
              </a:graphicData>
            </a:graphic>
          </wp:anchor>
        </w:drawing>
      </w:r>
    </w:p>
    <w:p>
      <w:pPr>
        <w:spacing w:after="0" w:line="3" w:lineRule="exact"/>
        <w:rPr>
          <w:sz w:val="20"/>
          <w:szCs w:val="20"/>
          <w:color w:val="auto"/>
        </w:rPr>
      </w:pPr>
    </w:p>
    <w:p>
      <w:pPr>
        <w:ind w:left="760"/>
        <w:spacing w:after="0"/>
        <w:rPr>
          <w:rFonts w:ascii="Arial" w:cs="Arial" w:eastAsia="Arial" w:hAnsi="Arial"/>
          <w:sz w:val="18"/>
          <w:szCs w:val="18"/>
          <w:color w:val="0000FF"/>
        </w:rPr>
      </w:pPr>
      <w:hyperlink r:id="rId359">
        <w:r>
          <w:rPr>
            <w:rFonts w:ascii="Arial" w:cs="Arial" w:eastAsia="Arial" w:hAnsi="Arial"/>
            <w:sz w:val="18"/>
            <w:szCs w:val="18"/>
            <w:u w:val="single" w:color="auto"/>
            <w:color w:val="0000FF"/>
          </w:rPr>
          <w:t>2.1 to Current Report on Form 8-K of H&amp;E Equipment Services, Inc. (File No. 000-51759), filed February 3, 2006)</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-19685</wp:posOffset>
            </wp:positionV>
            <wp:extent cx="52863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5286375" cy="8255"/>
                    </a:xfrm>
                    <a:prstGeom prst="rect">
                      <a:avLst/>
                    </a:prstGeom>
                    <a:noFill/>
                  </pic:spPr>
                </pic:pic>
              </a:graphicData>
            </a:graphic>
          </wp:anchor>
        </w:drawing>
      </w:r>
    </w:p>
    <w:p>
      <w:pPr>
        <w:spacing w:after="0" w:line="150" w:lineRule="exact"/>
        <w:rPr>
          <w:sz w:val="20"/>
          <w:szCs w:val="20"/>
          <w:color w:val="auto"/>
        </w:rPr>
      </w:pPr>
    </w:p>
    <w:p>
      <w:pPr>
        <w:ind w:left="760" w:right="300" w:hanging="750"/>
        <w:spacing w:after="0" w:line="259"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2.2</w:t>
      </w:r>
      <w:r>
        <w:rPr>
          <w:sz w:val="20"/>
          <w:szCs w:val="20"/>
          <w:color w:val="auto"/>
        </w:rPr>
        <w:tab/>
      </w:r>
      <w:hyperlink r:id="rId362">
        <w:r>
          <w:rPr>
            <w:rFonts w:ascii="Arial" w:cs="Arial" w:eastAsia="Arial" w:hAnsi="Arial"/>
            <w:sz w:val="18"/>
            <w:szCs w:val="18"/>
            <w:u w:val="single" w:color="auto"/>
            <w:color w:val="0000FF"/>
          </w:rPr>
          <w:t>Agreement and Plan of Merger, dated as of May 15, 2007, by and among H&amp;E Equipment Services, Inc., HE-JWB Acquisition, Inc., J.W.</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Burress, Incorporated, the Burress Shareholders (as defined therein), and Richard S. Dudley, as Burress Shareholders Representative (as</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defined therein) (incorporated by reference to Exhibit 2.1 to Current Report on Form 8-K of H&amp;E Equipment Services, Inc. (File No. 000-</w:t>
        </w:r>
      </w:hyperlink>
      <w:hyperlink r:id="rId362">
        <w:r>
          <w:rPr>
            <w:rFonts w:ascii="Arial" w:cs="Arial" w:eastAsia="Arial" w:hAnsi="Arial"/>
            <w:sz w:val="18"/>
            <w:szCs w:val="18"/>
            <w:u w:val="single" w:color="auto"/>
            <w:color w:val="0000FF"/>
          </w:rPr>
          <w:t>51759), filed on May 17, 2007</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-446405</wp:posOffset>
            </wp:positionV>
            <wp:extent cx="63309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633095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-309245</wp:posOffset>
            </wp:positionV>
            <wp:extent cx="62420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624205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-172085</wp:posOffset>
            </wp:positionV>
            <wp:extent cx="63226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632269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-35560</wp:posOffset>
            </wp:positionV>
            <wp:extent cx="13976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125" w:lineRule="exact"/>
        <w:rPr>
          <w:rFonts w:ascii="Arial" w:cs="Arial" w:eastAsia="Arial" w:hAnsi="Arial"/>
          <w:sz w:val="18"/>
          <w:szCs w:val="18"/>
          <w:u w:val="single" w:color="auto"/>
          <w:color w:val="0000FF"/>
        </w:rPr>
      </w:pPr>
    </w:p>
    <w:p>
      <w:pPr>
        <w:ind w:left="760" w:hanging="750"/>
        <w:spacing w:after="0" w:line="259"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2.3</w:t>
      </w:r>
      <w:r>
        <w:rPr>
          <w:sz w:val="20"/>
          <w:szCs w:val="20"/>
          <w:color w:val="auto"/>
        </w:rPr>
        <w:tab/>
      </w:r>
      <w:hyperlink r:id="rId367">
        <w:r>
          <w:rPr>
            <w:rFonts w:ascii="Arial" w:cs="Arial" w:eastAsia="Arial" w:hAnsi="Arial"/>
            <w:sz w:val="18"/>
            <w:szCs w:val="18"/>
            <w:u w:val="single" w:color="auto"/>
            <w:color w:val="0000FF"/>
          </w:rPr>
          <w:t>Amendment No. 1 to Agreement and Plan of Merger, dated as of August 31, 2007, by and among H&amp;E Equipment Services, Inc., HE-JWB</w:t>
        </w:r>
      </w:hyperlink>
      <w:r>
        <w:rPr>
          <w:rFonts w:ascii="Arial" w:cs="Arial" w:eastAsia="Arial" w:hAnsi="Arial"/>
          <w:sz w:val="18"/>
          <w:szCs w:val="18"/>
          <w:u w:val="single" w:color="auto"/>
          <w:color w:val="0000FF"/>
        </w:rPr>
        <w:t xml:space="preserve"> </w:t>
      </w:r>
      <w:hyperlink r:id="rId367">
        <w:r>
          <w:rPr>
            <w:rFonts w:ascii="Arial" w:cs="Arial" w:eastAsia="Arial" w:hAnsi="Arial"/>
            <w:sz w:val="18"/>
            <w:szCs w:val="18"/>
            <w:u w:val="single" w:color="auto"/>
            <w:color w:val="0000FF"/>
          </w:rPr>
          <w:t>Acquisition, Inc., J.W. Burress, Incorporated, the Burress Shareholders (as defined therein), and Richard S. Dudley, as Burress Shareholders</w:t>
        </w:r>
      </w:hyperlink>
      <w:r>
        <w:rPr>
          <w:rFonts w:ascii="Arial" w:cs="Arial" w:eastAsia="Arial" w:hAnsi="Arial"/>
          <w:sz w:val="18"/>
          <w:szCs w:val="18"/>
          <w:u w:val="single" w:color="auto"/>
          <w:color w:val="0000FF"/>
        </w:rPr>
        <w:t xml:space="preserve"> </w:t>
      </w:r>
      <w:hyperlink r:id="rId367">
        <w:r>
          <w:rPr>
            <w:rFonts w:ascii="Arial" w:cs="Arial" w:eastAsia="Arial" w:hAnsi="Arial"/>
            <w:sz w:val="18"/>
            <w:szCs w:val="18"/>
            <w:u w:val="single" w:color="auto"/>
            <w:color w:val="0000FF"/>
          </w:rPr>
          <w:t>Representative (as defined therein) (incorporated by reference to Exhibit 2.1 to Current Report on Form 8-K of H&amp;E Equipment Services, Inc.</w:t>
        </w:r>
      </w:hyperlink>
      <w:r>
        <w:rPr>
          <w:rFonts w:ascii="Arial" w:cs="Arial" w:eastAsia="Arial" w:hAnsi="Arial"/>
          <w:sz w:val="18"/>
          <w:szCs w:val="18"/>
          <w:u w:val="single" w:color="auto"/>
          <w:color w:val="0000FF"/>
        </w:rPr>
        <w:t xml:space="preserve"> </w:t>
      </w:r>
      <w:hyperlink r:id="rId367">
        <w:r>
          <w:rPr>
            <w:rFonts w:ascii="Arial" w:cs="Arial" w:eastAsia="Arial" w:hAnsi="Arial"/>
            <w:sz w:val="18"/>
            <w:szCs w:val="18"/>
            <w:u w:val="single" w:color="auto"/>
            <w:color w:val="0000FF"/>
          </w:rPr>
          <w:t>(File No. 000-51759), filed on September 4, 2007)</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-446405</wp:posOffset>
            </wp:positionV>
            <wp:extent cx="63950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-309245</wp:posOffset>
            </wp:positionV>
            <wp:extent cx="64217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642175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-172085</wp:posOffset>
            </wp:positionV>
            <wp:extent cx="65246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-35560</wp:posOffset>
            </wp:positionV>
            <wp:extent cx="23075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125" w:lineRule="exact"/>
        <w:rPr>
          <w:rFonts w:ascii="Arial" w:cs="Arial" w:eastAsia="Arial" w:hAnsi="Arial"/>
          <w:sz w:val="18"/>
          <w:szCs w:val="18"/>
          <w:u w:val="single" w:color="auto"/>
          <w:color w:val="0000FF"/>
        </w:rPr>
      </w:pPr>
    </w:p>
    <w:p>
      <w:pPr>
        <w:ind w:left="760" w:right="60" w:hanging="750"/>
        <w:spacing w:after="0" w:line="259"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2.4</w:t>
      </w:r>
      <w:r>
        <w:rPr>
          <w:sz w:val="20"/>
          <w:szCs w:val="20"/>
          <w:color w:val="auto"/>
        </w:rPr>
        <w:tab/>
      </w:r>
      <w:hyperlink r:id="rId372">
        <w:r>
          <w:rPr>
            <w:rFonts w:ascii="Arial" w:cs="Arial" w:eastAsia="Arial" w:hAnsi="Arial"/>
            <w:sz w:val="18"/>
            <w:szCs w:val="18"/>
            <w:u w:val="single" w:color="auto"/>
            <w:color w:val="0000FF"/>
          </w:rPr>
          <w:t>Acquisition Agreement, dated as of January 4, 2005, among H&amp;E Equipment Services, L.L.C., Eagle Merger Corp., Eagle High Reach</w:t>
        </w:r>
      </w:hyperlink>
      <w:r>
        <w:rPr>
          <w:rFonts w:ascii="Arial" w:cs="Arial" w:eastAsia="Arial" w:hAnsi="Arial"/>
          <w:sz w:val="18"/>
          <w:szCs w:val="18"/>
          <w:u w:val="single" w:color="auto"/>
          <w:color w:val="0000FF"/>
        </w:rPr>
        <w:t xml:space="preserve"> </w:t>
      </w:r>
      <w:hyperlink r:id="rId372">
        <w:r>
          <w:rPr>
            <w:rFonts w:ascii="Arial" w:cs="Arial" w:eastAsia="Arial" w:hAnsi="Arial"/>
            <w:sz w:val="18"/>
            <w:szCs w:val="18"/>
            <w:u w:val="single" w:color="auto"/>
            <w:color w:val="0000FF"/>
          </w:rPr>
          <w:t>Equipment, LLC, Eagle High Reach Equipment, Inc., SBN Eagle LLC, SummitBridge National Investments, LLC and the shareholders of</w:t>
        </w:r>
      </w:hyperlink>
      <w:r>
        <w:rPr>
          <w:rFonts w:ascii="Arial" w:cs="Arial" w:eastAsia="Arial" w:hAnsi="Arial"/>
          <w:sz w:val="18"/>
          <w:szCs w:val="18"/>
          <w:u w:val="single" w:color="auto"/>
          <w:color w:val="0000FF"/>
        </w:rPr>
        <w:t xml:space="preserve"> </w:t>
      </w:r>
      <w:hyperlink r:id="rId372">
        <w:r>
          <w:rPr>
            <w:rFonts w:ascii="Arial" w:cs="Arial" w:eastAsia="Arial" w:hAnsi="Arial"/>
            <w:sz w:val="18"/>
            <w:szCs w:val="18"/>
            <w:u w:val="single" w:color="auto"/>
            <w:color w:val="0000FF"/>
          </w:rPr>
          <w:t>Eagle High Reach Equipment, Inc. (incorporated by reference to Exhibit 2.1 to Form 8-K of H&amp;E Equipment Services L.L.C. (File Nos. 333-</w:t>
        </w:r>
      </w:hyperlink>
      <w:hyperlink r:id="rId372">
        <w:r>
          <w:rPr>
            <w:rFonts w:ascii="Arial" w:cs="Arial" w:eastAsia="Arial" w:hAnsi="Arial"/>
            <w:sz w:val="18"/>
            <w:szCs w:val="18"/>
            <w:u w:val="single" w:color="auto"/>
            <w:color w:val="0000FF"/>
          </w:rPr>
          <w:t>99587 and 333-99589), filed January 5, 2006)</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-446405</wp:posOffset>
            </wp:positionV>
            <wp:extent cx="61937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61937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-309245</wp:posOffset>
            </wp:positionV>
            <wp:extent cx="63544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-172085</wp:posOffset>
            </wp:positionV>
            <wp:extent cx="647128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647128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-35560</wp:posOffset>
            </wp:positionV>
            <wp:extent cx="20980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2098040" cy="8255"/>
                    </a:xfrm>
                    <a:prstGeom prst="rect">
                      <a:avLst/>
                    </a:prstGeom>
                    <a:noFill/>
                  </pic:spPr>
                </pic:pic>
              </a:graphicData>
            </a:graphic>
          </wp:anchor>
        </w:drawing>
      </w:r>
    </w:p>
    <w:p>
      <w:pPr>
        <w:spacing w:after="0" w:line="125" w:lineRule="exact"/>
        <w:rPr>
          <w:rFonts w:ascii="Arial" w:cs="Arial" w:eastAsia="Arial" w:hAnsi="Arial"/>
          <w:sz w:val="18"/>
          <w:szCs w:val="18"/>
          <w:u w:val="single" w:color="auto"/>
          <w:color w:val="0000FF"/>
        </w:rPr>
      </w:pPr>
    </w:p>
    <w:p>
      <w:pPr>
        <w:jc w:val="both"/>
        <w:ind w:left="76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3.1</w:t>
      </w:r>
      <w:r>
        <w:rPr>
          <w:sz w:val="20"/>
          <w:szCs w:val="20"/>
          <w:color w:val="auto"/>
        </w:rPr>
        <w:tab/>
      </w:r>
      <w:hyperlink r:id="rId377">
        <w:r>
          <w:rPr>
            <w:rFonts w:ascii="Arial" w:cs="Arial" w:eastAsia="Arial" w:hAnsi="Arial"/>
            <w:sz w:val="18"/>
            <w:szCs w:val="18"/>
            <w:u w:val="single" w:color="auto"/>
            <w:color w:val="0000FF"/>
          </w:rPr>
          <w:t>Amended and Restated Certificate of Incorporation of H&amp;E Equipment Services, Inc. (incorporated by reference to Exhibit 3.4 to Registration</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Statement on Form S-1 of H&amp;E Equipment Services, Inc. (File No. 333-128996), filed January 20, 2006)</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5246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48050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4805045" cy="8255"/>
                    </a:xfrm>
                    <a:prstGeom prst="rect">
                      <a:avLst/>
                    </a:prstGeom>
                    <a:noFill/>
                  </pic:spPr>
                </pic:pic>
              </a:graphicData>
            </a:graphic>
          </wp:anchor>
        </w:drawing>
      </w:r>
    </w:p>
    <w:p>
      <w:pPr>
        <w:spacing w:after="0" w:line="109" w:lineRule="exact"/>
        <w:rPr>
          <w:sz w:val="20"/>
          <w:szCs w:val="20"/>
          <w:color w:val="auto"/>
        </w:rPr>
      </w:pPr>
    </w:p>
    <w:p>
      <w:pPr>
        <w:ind w:left="760" w:right="140" w:hanging="750"/>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380">
        <w:r>
          <w:rPr>
            <w:rFonts w:ascii="Arial" w:cs="Arial" w:eastAsia="Arial" w:hAnsi="Arial"/>
            <w:sz w:val="18"/>
            <w:szCs w:val="18"/>
            <w:u w:val="single" w:color="auto"/>
            <w:color w:val="0000FF"/>
          </w:rPr>
          <w:t>Amended and Restated Bylaws of the Company, dated as of August 29, 2019 (incorporated by reference to Exhibit 3.1 to the Current Report</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on Form 8-K of H&amp;E Equipment Services Inc. (File No. 000-51759), filed on September 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4452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644525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45008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09" w:lineRule="exact"/>
        <w:rPr>
          <w:sz w:val="20"/>
          <w:szCs w:val="20"/>
          <w:color w:val="auto"/>
        </w:rPr>
      </w:pPr>
    </w:p>
    <w:p>
      <w:pPr>
        <w:ind w:left="760" w:right="40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3.3</w:t>
      </w:r>
      <w:r>
        <w:rPr>
          <w:sz w:val="20"/>
          <w:szCs w:val="20"/>
          <w:color w:val="auto"/>
        </w:rPr>
        <w:tab/>
      </w:r>
      <w:hyperlink r:id="rId383">
        <w:r>
          <w:rPr>
            <w:rFonts w:ascii="Arial" w:cs="Arial" w:eastAsia="Arial" w:hAnsi="Arial"/>
            <w:sz w:val="18"/>
            <w:szCs w:val="18"/>
            <w:u w:val="single" w:color="auto"/>
            <w:color w:val="0000FF"/>
          </w:rPr>
          <w:t>Amended and Restated Articles of Organization of Gulf Wide Industries, L.L.C. (incorporated by reference to Exhibit 3.2 to Registration</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Statement on Form S-4 of H&amp;E 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2871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49790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4979035" cy="8255"/>
                    </a:xfrm>
                    <a:prstGeom prst="rect">
                      <a:avLst/>
                    </a:prstGeom>
                    <a:noFill/>
                  </pic:spPr>
                </pic:pic>
              </a:graphicData>
            </a:graphic>
          </wp:anchor>
        </w:drawing>
      </w:r>
    </w:p>
    <w:p>
      <w:pPr>
        <w:spacing w:after="0" w:line="109" w:lineRule="exact"/>
        <w:rPr>
          <w:sz w:val="20"/>
          <w:szCs w:val="20"/>
          <w:color w:val="auto"/>
        </w:rPr>
      </w:pPr>
    </w:p>
    <w:p>
      <w:pPr>
        <w:jc w:val="both"/>
        <w:ind w:left="760" w:right="20" w:hanging="750"/>
        <w:spacing w:after="0" w:line="263"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3.4</w:t>
      </w:r>
      <w:r>
        <w:rPr>
          <w:sz w:val="20"/>
          <w:szCs w:val="20"/>
          <w:color w:val="auto"/>
        </w:rPr>
        <w:tab/>
      </w:r>
      <w:hyperlink r:id="rId386">
        <w:r>
          <w:rPr>
            <w:rFonts w:ascii="Arial" w:cs="Arial" w:eastAsia="Arial" w:hAnsi="Arial"/>
            <w:sz w:val="18"/>
            <w:szCs w:val="18"/>
            <w:u w:val="single" w:color="auto"/>
            <w:color w:val="0000FF"/>
          </w:rPr>
          <w:t>Amended Articles of Organization of Gulf Wide Industries, L.L.C., Changing Its Name To H&amp;E Equipment Services L.L.C. (incorporated by</w:t>
        </w:r>
      </w:hyperlink>
      <w:r>
        <w:rPr>
          <w:rFonts w:ascii="Arial" w:cs="Arial" w:eastAsia="Arial" w:hAnsi="Arial"/>
          <w:sz w:val="18"/>
          <w:szCs w:val="18"/>
          <w:u w:val="single" w:color="auto"/>
          <w:color w:val="0000FF"/>
        </w:rPr>
        <w:t xml:space="preserve"> </w:t>
      </w:r>
      <w:hyperlink r:id="rId386">
        <w:r>
          <w:rPr>
            <w:rFonts w:ascii="Arial" w:cs="Arial" w:eastAsia="Arial" w:hAnsi="Arial"/>
            <w:sz w:val="18"/>
            <w:szCs w:val="18"/>
            <w:u w:val="single" w:color="auto"/>
            <w:color w:val="0000FF"/>
          </w:rPr>
          <w:t>reference to Exhibit 3.3 to Registration Statement on Form S-4 of H&amp;E Equipment Services L.L.C. (File No. 333-99589), filed September 13,</w:t>
        </w:r>
      </w:hyperlink>
      <w:r>
        <w:rPr>
          <w:rFonts w:ascii="Arial" w:cs="Arial" w:eastAsia="Arial" w:hAnsi="Arial"/>
          <w:sz w:val="18"/>
          <w:szCs w:val="18"/>
          <w:u w:val="single" w:color="auto"/>
          <w:color w:val="0000FF"/>
        </w:rPr>
        <w:t xml:space="preserve"> </w:t>
      </w:r>
      <w:hyperlink r:id="rId386">
        <w:r>
          <w:rPr>
            <w:rFonts w:ascii="Arial" w:cs="Arial" w:eastAsia="Arial" w:hAnsi="Arial"/>
            <w:sz w:val="18"/>
            <w:szCs w:val="18"/>
            <w:u w:val="single" w:color="auto"/>
            <w:color w:val="0000FF"/>
          </w:rPr>
          <w:t>2002)</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-311150</wp:posOffset>
            </wp:positionV>
            <wp:extent cx="64979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-173990</wp:posOffset>
            </wp:positionV>
            <wp:extent cx="65227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652272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-36830</wp:posOffset>
            </wp:positionV>
            <wp:extent cx="2660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122" w:lineRule="exact"/>
        <w:rPr>
          <w:rFonts w:ascii="Arial" w:cs="Arial" w:eastAsia="Arial" w:hAnsi="Arial"/>
          <w:sz w:val="18"/>
          <w:szCs w:val="18"/>
          <w:u w:val="single" w:color="auto"/>
          <w:color w:val="0000FF"/>
        </w:rPr>
      </w:pPr>
    </w:p>
    <w:p>
      <w:pPr>
        <w:ind w:left="760" w:right="26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3.5</w:t>
      </w:r>
      <w:r>
        <w:rPr>
          <w:sz w:val="20"/>
          <w:szCs w:val="20"/>
          <w:color w:val="auto"/>
        </w:rPr>
        <w:tab/>
      </w:r>
      <w:hyperlink r:id="rId390">
        <w:r>
          <w:rPr>
            <w:rFonts w:ascii="Arial" w:cs="Arial" w:eastAsia="Arial" w:hAnsi="Arial"/>
            <w:sz w:val="18"/>
            <w:szCs w:val="18"/>
            <w:u w:val="single" w:color="auto"/>
            <w:color w:val="0000FF"/>
          </w:rPr>
          <w:t>Amended and Restated Operating Agreement of H&amp;E Equipment Services L.L.C. (incorporated by reference to Exhibit 3.8 to Registration</w:t>
        </w:r>
      </w:hyperlink>
      <w:r>
        <w:rPr>
          <w:rFonts w:ascii="Arial" w:cs="Arial" w:eastAsia="Arial" w:hAnsi="Arial"/>
          <w:sz w:val="18"/>
          <w:szCs w:val="18"/>
          <w:u w:val="single" w:color="auto"/>
          <w:color w:val="0000FF"/>
        </w:rPr>
        <w:t xml:space="preserve"> </w:t>
      </w:r>
      <w:hyperlink r:id="rId390">
        <w:r>
          <w:rPr>
            <w:rFonts w:ascii="Arial" w:cs="Arial" w:eastAsia="Arial" w:hAnsi="Arial"/>
            <w:sz w:val="18"/>
            <w:szCs w:val="18"/>
            <w:u w:val="single" w:color="auto"/>
            <w:color w:val="0000FF"/>
          </w:rPr>
          <w:t>Statement on Form S-4 of H&amp;E 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3696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636968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49790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4979035" cy="8255"/>
                    </a:xfrm>
                    <a:prstGeom prst="rect">
                      <a:avLst/>
                    </a:prstGeom>
                    <a:noFill/>
                  </pic:spPr>
                </pic:pic>
              </a:graphicData>
            </a:graphic>
          </wp:anchor>
        </w:drawing>
      </w:r>
    </w:p>
    <w:p>
      <w:pPr>
        <w:spacing w:after="0" w:line="109" w:lineRule="exact"/>
        <w:rPr>
          <w:sz w:val="20"/>
          <w:szCs w:val="20"/>
          <w:color w:val="auto"/>
        </w:rPr>
      </w:pPr>
    </w:p>
    <w:p>
      <w:pPr>
        <w:ind w:left="760" w:right="16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3.6</w:t>
      </w:r>
      <w:r>
        <w:rPr>
          <w:sz w:val="20"/>
          <w:szCs w:val="20"/>
          <w:color w:val="auto"/>
        </w:rPr>
        <w:tab/>
      </w:r>
      <w:hyperlink r:id="rId393">
        <w:r>
          <w:rPr>
            <w:rFonts w:ascii="Arial" w:cs="Arial" w:eastAsia="Arial" w:hAnsi="Arial"/>
            <w:sz w:val="18"/>
            <w:szCs w:val="18"/>
            <w:u w:val="single" w:color="auto"/>
            <w:color w:val="0000FF"/>
          </w:rPr>
          <w:t>Certificate of Incorporation of H&amp;E Finance Corp. (incorporated by reference to Exhibit 3.4 to Registration Statement on Form S-4 of H&amp;E</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4300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643001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34956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09" w:lineRule="exact"/>
        <w:rPr>
          <w:sz w:val="20"/>
          <w:szCs w:val="20"/>
          <w:color w:val="auto"/>
        </w:rPr>
      </w:pPr>
    </w:p>
    <w:p>
      <w:pPr>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3.7</w:t>
      </w:r>
      <w:r>
        <w:rPr>
          <w:sz w:val="20"/>
          <w:szCs w:val="20"/>
          <w:color w:val="auto"/>
        </w:rPr>
        <w:tab/>
      </w:r>
      <w:hyperlink r:id="rId396">
        <w:r>
          <w:rPr>
            <w:rFonts w:ascii="Arial" w:cs="Arial" w:eastAsia="Arial" w:hAnsi="Arial"/>
            <w:sz w:val="16"/>
            <w:szCs w:val="16"/>
            <w:u w:val="single" w:color="auto"/>
            <w:color w:val="0000FF"/>
          </w:rPr>
          <w:t>Certificate of Incorporation of Great Northern Equipment, Inc. (incorporated by reference to Exhibit 3.5 to Registration Statement on Form 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-10160</wp:posOffset>
            </wp:positionV>
            <wp:extent cx="64903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6490335" cy="8255"/>
                    </a:xfrm>
                    <a:prstGeom prst="rect">
                      <a:avLst/>
                    </a:prstGeom>
                    <a:noFill/>
                  </pic:spPr>
                </pic:pic>
              </a:graphicData>
            </a:graphic>
          </wp:anchor>
        </w:drawing>
      </w:r>
    </w:p>
    <w:p>
      <w:pPr>
        <w:spacing w:after="0" w:line="3" w:lineRule="exact"/>
        <w:rPr>
          <w:sz w:val="20"/>
          <w:szCs w:val="20"/>
          <w:color w:val="auto"/>
        </w:rPr>
      </w:pPr>
    </w:p>
    <w:p>
      <w:pPr>
        <w:ind w:left="760"/>
        <w:spacing w:after="0"/>
        <w:rPr>
          <w:rFonts w:ascii="Arial" w:cs="Arial" w:eastAsia="Arial" w:hAnsi="Arial"/>
          <w:sz w:val="18"/>
          <w:szCs w:val="18"/>
          <w:color w:val="0000FF"/>
        </w:rPr>
      </w:pPr>
      <w:hyperlink r:id="rId396">
        <w:r>
          <w:rPr>
            <w:rFonts w:ascii="Arial" w:cs="Arial" w:eastAsia="Arial" w:hAnsi="Arial"/>
            <w:sz w:val="18"/>
            <w:szCs w:val="18"/>
            <w:u w:val="single" w:color="auto"/>
            <w:color w:val="0000FF"/>
          </w:rPr>
          <w:t>4 of H&amp;E 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-19685</wp:posOffset>
            </wp:positionV>
            <wp:extent cx="39744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3974465" cy="8255"/>
                    </a:xfrm>
                    <a:prstGeom prst="rect">
                      <a:avLst/>
                    </a:prstGeom>
                    <a:noFill/>
                  </pic:spPr>
                </pic:pic>
              </a:graphicData>
            </a:graphic>
          </wp:anchor>
        </w:drawing>
      </w:r>
    </w:p>
    <w:p>
      <w:pPr>
        <w:spacing w:after="0" w:line="150" w:lineRule="exact"/>
        <w:rPr>
          <w:sz w:val="20"/>
          <w:szCs w:val="20"/>
          <w:color w:val="auto"/>
        </w:rPr>
      </w:pPr>
    </w:p>
    <w:p>
      <w:pPr>
        <w:ind w:left="76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3.8</w:t>
      </w:r>
      <w:r>
        <w:rPr>
          <w:sz w:val="20"/>
          <w:szCs w:val="20"/>
          <w:color w:val="auto"/>
        </w:rPr>
        <w:tab/>
      </w:r>
      <w:hyperlink r:id="rId399">
        <w:r>
          <w:rPr>
            <w:rFonts w:ascii="Arial" w:cs="Arial" w:eastAsia="Arial" w:hAnsi="Arial"/>
            <w:sz w:val="18"/>
            <w:szCs w:val="18"/>
            <w:u w:val="single" w:color="auto"/>
            <w:color w:val="0000FF"/>
          </w:rPr>
          <w:t>Articles of Incorporation of Williams Bros. Construction, Inc. (incorporated by reference to Exhibit 3.6 to Registration Statement on Form S-4</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of H&amp;E 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5246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38887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3888740" cy="8255"/>
                    </a:xfrm>
                    <a:prstGeom prst="rect">
                      <a:avLst/>
                    </a:prstGeom>
                    <a:noFill/>
                  </pic:spPr>
                </pic:pic>
              </a:graphicData>
            </a:graphic>
          </wp:anchor>
        </w:drawing>
      </w:r>
    </w:p>
    <w:p>
      <w:pPr>
        <w:spacing w:after="0" w:line="109" w:lineRule="exact"/>
        <w:rPr>
          <w:sz w:val="20"/>
          <w:szCs w:val="20"/>
          <w:color w:val="auto"/>
        </w:rPr>
      </w:pPr>
    </w:p>
    <w:p>
      <w:pPr>
        <w:ind w:left="760" w:right="240" w:hanging="750"/>
        <w:spacing w:after="0" w:line="263"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3.9</w:t>
      </w:r>
      <w:r>
        <w:rPr>
          <w:sz w:val="20"/>
          <w:szCs w:val="20"/>
          <w:color w:val="auto"/>
        </w:rPr>
        <w:tab/>
      </w:r>
      <w:hyperlink r:id="rId402">
        <w:r>
          <w:rPr>
            <w:rFonts w:ascii="Arial" w:cs="Arial" w:eastAsia="Arial" w:hAnsi="Arial"/>
            <w:sz w:val="18"/>
            <w:szCs w:val="18"/>
            <w:u w:val="single" w:color="auto"/>
            <w:color w:val="0000FF"/>
          </w:rPr>
          <w:t>Articles of Amendment to Articles of Incorporation of Williams Bros. Construction, Inc. Changing its Name to GNE Investments, Inc.</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(incorporated by reference to Exhibit 3.7 to Registration Statement on Form S-4 of H&amp;E Equipment Services L.L.C. (File No. 333-99589),</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filed September 13, 2002)</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-311150</wp:posOffset>
            </wp:positionV>
            <wp:extent cx="61753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6175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-173990</wp:posOffset>
            </wp:positionV>
            <wp:extent cx="63830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638302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-36830</wp:posOffset>
            </wp:positionV>
            <wp:extent cx="11912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2" w:lineRule="exact"/>
        <w:rPr>
          <w:rFonts w:ascii="Arial" w:cs="Arial" w:eastAsia="Arial" w:hAnsi="Arial"/>
          <w:sz w:val="18"/>
          <w:szCs w:val="18"/>
          <w:u w:val="single" w:color="auto"/>
          <w:color w:val="0000FF"/>
        </w:rPr>
      </w:pPr>
    </w:p>
    <w:p>
      <w:pPr>
        <w:ind w:left="760" w:right="12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3.10</w:t>
      </w:r>
      <w:r>
        <w:rPr>
          <w:sz w:val="20"/>
          <w:szCs w:val="20"/>
          <w:color w:val="auto"/>
        </w:rPr>
        <w:tab/>
      </w:r>
      <w:hyperlink r:id="rId406">
        <w:r>
          <w:rPr>
            <w:rFonts w:ascii="Arial" w:cs="Arial" w:eastAsia="Arial" w:hAnsi="Arial"/>
            <w:sz w:val="18"/>
            <w:szCs w:val="18"/>
            <w:u w:val="single" w:color="auto"/>
            <w:color w:val="0000FF"/>
          </w:rPr>
          <w:t>Bylaws of H&amp;E Finance Corp. (incorporated by reference to Exhibit 3.9 to Registration Statement on Form S-4 of H&amp;E Equipment Services</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4623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646239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25514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09" w:lineRule="exact"/>
        <w:rPr>
          <w:sz w:val="20"/>
          <w:szCs w:val="20"/>
          <w:color w:val="auto"/>
        </w:rPr>
      </w:pPr>
    </w:p>
    <w:p>
      <w:pPr>
        <w:ind w:left="760" w:right="66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3.11</w:t>
      </w:r>
      <w:r>
        <w:rPr>
          <w:sz w:val="20"/>
          <w:szCs w:val="20"/>
          <w:color w:val="auto"/>
        </w:rPr>
        <w:tab/>
      </w:r>
      <w:hyperlink r:id="rId409">
        <w:r>
          <w:rPr>
            <w:rFonts w:ascii="Arial" w:cs="Arial" w:eastAsia="Arial" w:hAnsi="Arial"/>
            <w:sz w:val="18"/>
            <w:szCs w:val="18"/>
            <w:u w:val="single" w:color="auto"/>
            <w:color w:val="0000FF"/>
          </w:rPr>
          <w:t>Bylaws of Great Northern Equipment, Inc. (incorporated by reference to Exhibit 3.10 to Registration Statement on Form S-4 of H&amp;E</w:t>
        </w:r>
      </w:hyperlink>
      <w:r>
        <w:rPr>
          <w:rFonts w:ascii="Arial" w:cs="Arial" w:eastAsia="Arial" w:hAnsi="Arial"/>
          <w:sz w:val="18"/>
          <w:szCs w:val="18"/>
          <w:u w:val="single" w:color="auto"/>
          <w:color w:val="0000FF"/>
        </w:rPr>
        <w:t xml:space="preserve"> </w:t>
      </w:r>
      <w:hyperlink r:id="rId409">
        <w:r>
          <w:rPr>
            <w:rFonts w:ascii="Arial" w:cs="Arial" w:eastAsia="Arial" w:hAnsi="Arial"/>
            <w:sz w:val="18"/>
            <w:szCs w:val="18"/>
            <w:u w:val="single" w:color="auto"/>
            <w:color w:val="0000FF"/>
          </w:rPr>
          <w:t>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1131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611314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34956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09" w:lineRule="exact"/>
        <w:rPr>
          <w:sz w:val="20"/>
          <w:szCs w:val="20"/>
          <w:color w:val="auto"/>
        </w:rPr>
      </w:pPr>
    </w:p>
    <w:p>
      <w:pPr>
        <w:ind w:left="760" w:right="54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3.12</w:t>
      </w:r>
      <w:r>
        <w:rPr>
          <w:sz w:val="20"/>
          <w:szCs w:val="20"/>
          <w:color w:val="auto"/>
        </w:rPr>
        <w:tab/>
      </w:r>
      <w:hyperlink r:id="rId412">
        <w:r>
          <w:rPr>
            <w:rFonts w:ascii="Arial" w:cs="Arial" w:eastAsia="Arial" w:hAnsi="Arial"/>
            <w:sz w:val="18"/>
            <w:szCs w:val="18"/>
            <w:u w:val="single" w:color="auto"/>
            <w:color w:val="0000FF"/>
          </w:rPr>
          <w:t>Bylaws of Williams Bros. Construction, Inc. (incorporated by reference to Exhibit 3.11 to Registration Statement on Form S-4 of H&amp;E</w:t>
        </w:r>
      </w:hyperlink>
      <w:r>
        <w:rPr>
          <w:rFonts w:ascii="Arial" w:cs="Arial" w:eastAsia="Arial" w:hAnsi="Arial"/>
          <w:sz w:val="18"/>
          <w:szCs w:val="18"/>
          <w:u w:val="single" w:color="auto"/>
          <w:color w:val="0000FF"/>
        </w:rPr>
        <w:t xml:space="preserve"> </w:t>
      </w:r>
      <w:hyperlink r:id="rId412">
        <w:r>
          <w:rPr>
            <w:rFonts w:ascii="Arial" w:cs="Arial" w:eastAsia="Arial" w:hAnsi="Arial"/>
            <w:sz w:val="18"/>
            <w:szCs w:val="18"/>
            <w:u w:val="single" w:color="auto"/>
            <w:color w:val="0000FF"/>
          </w:rPr>
          <w:t>Equipment Services L.L.C. (File No. 333-99589), filed September 13, 2002)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1906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19061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34956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09" w:lineRule="exact"/>
        <w:rPr>
          <w:sz w:val="20"/>
          <w:szCs w:val="20"/>
          <w:color w:val="auto"/>
        </w:rPr>
      </w:pPr>
    </w:p>
    <w:p>
      <w:pPr>
        <w:ind w:left="760" w:right="200" w:hanging="750"/>
        <w:spacing w:after="0" w:line="277" w:lineRule="auto"/>
        <w:tabs>
          <w:tab w:leader="none" w:pos="740" w:val="left"/>
        </w:tabs>
        <w:rPr>
          <w:rFonts w:ascii="Arial" w:cs="Arial" w:eastAsia="Arial" w:hAnsi="Arial"/>
          <w:sz w:val="18"/>
          <w:szCs w:val="18"/>
          <w:color w:val="0000FF"/>
        </w:rPr>
      </w:pPr>
      <w:r>
        <w:rPr>
          <w:rFonts w:ascii="Arial" w:cs="Arial" w:eastAsia="Arial" w:hAnsi="Arial"/>
          <w:sz w:val="18"/>
          <w:szCs w:val="18"/>
          <w:color w:val="auto"/>
        </w:rPr>
        <w:t>3.13</w:t>
      </w:r>
      <w:r>
        <w:rPr>
          <w:sz w:val="20"/>
          <w:szCs w:val="20"/>
          <w:color w:val="auto"/>
        </w:rPr>
        <w:tab/>
      </w:r>
      <w:hyperlink r:id="rId415">
        <w:r>
          <w:rPr>
            <w:rFonts w:ascii="Arial" w:cs="Arial" w:eastAsia="Arial" w:hAnsi="Arial"/>
            <w:sz w:val="18"/>
            <w:szCs w:val="18"/>
            <w:u w:val="single" w:color="auto"/>
            <w:color w:val="0000FF"/>
          </w:rPr>
          <w:t>Articles of Incorporation of H&amp;E California Holding, Inc., as amended (incorporated by reference to Exhibit 3.13 to Registration Statement</w:t>
        </w:r>
      </w:hyperlink>
      <w:r>
        <w:rPr>
          <w:rFonts w:ascii="Arial" w:cs="Arial" w:eastAsia="Arial" w:hAnsi="Arial"/>
          <w:sz w:val="18"/>
          <w:szCs w:val="18"/>
          <w:u w:val="single" w:color="auto"/>
          <w:color w:val="0000FF"/>
        </w:rPr>
        <w:t xml:space="preserve"> </w:t>
      </w:r>
      <w:hyperlink r:id="rId415">
        <w:r>
          <w:rPr>
            <w:rFonts w:ascii="Arial" w:cs="Arial" w:eastAsia="Arial" w:hAnsi="Arial"/>
            <w:sz w:val="18"/>
            <w:szCs w:val="18"/>
            <w:u w:val="single" w:color="auto"/>
            <w:color w:val="0000FF"/>
          </w:rPr>
          <w:t>on Form S-4 of H&amp;E Equipment Services, Inc. (File No. 333-185334), filed December 7, 2012)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-182245</wp:posOffset>
            </wp:positionV>
            <wp:extent cx="64109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641096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-45085</wp:posOffset>
            </wp:positionV>
            <wp:extent cx="43770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4377055" cy="8255"/>
                    </a:xfrm>
                    <a:prstGeom prst="rect">
                      <a:avLst/>
                    </a:prstGeom>
                    <a:noFill/>
                  </pic:spPr>
                </pic:pic>
              </a:graphicData>
            </a:graphic>
          </wp:anchor>
        </w:drawing>
      </w: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337" w:right="379" w:bottom="1440" w:gutter="0" w:footer="0" w:header="0"/>
        </w:sectPr>
      </w:pPr>
    </w:p>
    <w:bookmarkStart w:id="79" w:name="page80"/>
    <w:bookmarkEnd w:id="79"/>
    <w:p>
      <w:pPr>
        <w:ind w:left="840" w:right="280" w:hanging="750"/>
        <w:spacing w:after="0" w:line="277"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3.14</w:t>
      </w:r>
      <w:r>
        <w:rPr>
          <w:sz w:val="20"/>
          <w:szCs w:val="20"/>
          <w:color w:val="auto"/>
        </w:rPr>
        <w:tab/>
      </w:r>
      <w:hyperlink r:id="rId419">
        <w:r>
          <w:rPr>
            <w:rFonts w:ascii="Arial" w:cs="Arial" w:eastAsia="Arial" w:hAnsi="Arial"/>
            <w:sz w:val="18"/>
            <w:szCs w:val="18"/>
            <w:u w:val="single" w:color="auto"/>
            <w:color w:val="0000FF"/>
          </w:rPr>
          <w:t>Bylaws of H&amp;E California Holding, Inc., as amended (incorporated by reference to Exhibit 3.14 to Registration Statement on Form S-4 of</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H&amp;E Equipment Services, Inc. (File No. 333-185334), filed December 7, 2012)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-182245</wp:posOffset>
            </wp:positionV>
            <wp:extent cx="63480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634809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-45085</wp:posOffset>
            </wp:positionV>
            <wp:extent cx="36474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3647440" cy="8255"/>
                    </a:xfrm>
                    <a:prstGeom prst="rect">
                      <a:avLst/>
                    </a:prstGeom>
                    <a:noFill/>
                  </pic:spPr>
                </pic:pic>
              </a:graphicData>
            </a:graphic>
          </wp:anchor>
        </w:drawing>
      </w:r>
    </w:p>
    <w:p>
      <w:pPr>
        <w:spacing w:after="0" w:line="109" w:lineRule="exact"/>
        <w:rPr>
          <w:sz w:val="20"/>
          <w:szCs w:val="20"/>
          <w:color w:val="auto"/>
        </w:rPr>
      </w:pPr>
    </w:p>
    <w:p>
      <w:pPr>
        <w:ind w:left="8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3.15</w:t>
      </w:r>
      <w:r>
        <w:rPr>
          <w:sz w:val="20"/>
          <w:szCs w:val="20"/>
          <w:color w:val="auto"/>
        </w:rPr>
        <w:tab/>
      </w:r>
      <w:hyperlink r:id="rId422">
        <w:r>
          <w:rPr>
            <w:rFonts w:ascii="Arial" w:cs="Arial" w:eastAsia="Arial" w:hAnsi="Arial"/>
            <w:sz w:val="16"/>
            <w:szCs w:val="16"/>
            <w:u w:val="single" w:color="auto"/>
            <w:color w:val="0000FF"/>
          </w:rPr>
          <w:t>Certificate of Formation of H&amp;E Equipment Services (California), LLC, as amended (incorporated by reference to Exhibit 3.15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-10160</wp:posOffset>
            </wp:positionV>
            <wp:extent cx="59734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5973445" cy="8255"/>
                    </a:xfrm>
                    <a:prstGeom prst="rect">
                      <a:avLst/>
                    </a:prstGeom>
                    <a:noFill/>
                  </pic:spPr>
                </pic:pic>
              </a:graphicData>
            </a:graphic>
          </wp:anchor>
        </w:drawing>
      </w:r>
    </w:p>
    <w:p>
      <w:pPr>
        <w:spacing w:after="0" w:line="3" w:lineRule="exact"/>
        <w:rPr>
          <w:sz w:val="20"/>
          <w:szCs w:val="20"/>
          <w:color w:val="auto"/>
        </w:rPr>
      </w:pPr>
    </w:p>
    <w:p>
      <w:pPr>
        <w:ind w:left="840"/>
        <w:spacing w:after="0"/>
        <w:rPr>
          <w:rFonts w:ascii="Arial" w:cs="Arial" w:eastAsia="Arial" w:hAnsi="Arial"/>
          <w:sz w:val="18"/>
          <w:szCs w:val="18"/>
          <w:color w:val="0000FF"/>
        </w:rPr>
      </w:pPr>
      <w:hyperlink r:id="rId422">
        <w:r>
          <w:rPr>
            <w:rFonts w:ascii="Arial" w:cs="Arial" w:eastAsia="Arial" w:hAnsi="Arial"/>
            <w:sz w:val="18"/>
            <w:szCs w:val="18"/>
            <w:u w:val="single" w:color="auto"/>
            <w:color w:val="0000FF"/>
          </w:rPr>
          <w:t>Registration Statement on Form S-4 of H&amp;E Equipment Services, Inc. (File No. 333-185334), filed December 7, 2012)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-19685</wp:posOffset>
            </wp:positionV>
            <wp:extent cx="54483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5448300" cy="8255"/>
                    </a:xfrm>
                    <a:prstGeom prst="rect">
                      <a:avLst/>
                    </a:prstGeom>
                    <a:noFill/>
                  </pic:spPr>
                </pic:pic>
              </a:graphicData>
            </a:graphic>
          </wp:anchor>
        </w:drawing>
      </w:r>
    </w:p>
    <w:p>
      <w:pPr>
        <w:spacing w:after="0" w:line="150" w:lineRule="exact"/>
        <w:rPr>
          <w:sz w:val="20"/>
          <w:szCs w:val="20"/>
          <w:color w:val="auto"/>
        </w:rPr>
      </w:pPr>
    </w:p>
    <w:p>
      <w:pPr>
        <w:ind w:left="840" w:right="180" w:hanging="750"/>
        <w:spacing w:after="0" w:line="277"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3.16</w:t>
      </w:r>
      <w:r>
        <w:rPr>
          <w:sz w:val="20"/>
          <w:szCs w:val="20"/>
          <w:color w:val="auto"/>
        </w:rPr>
        <w:tab/>
      </w:r>
      <w:hyperlink r:id="rId425">
        <w:r>
          <w:rPr>
            <w:rFonts w:ascii="Arial" w:cs="Arial" w:eastAsia="Arial" w:hAnsi="Arial"/>
            <w:sz w:val="18"/>
            <w:szCs w:val="18"/>
            <w:u w:val="single" w:color="auto"/>
            <w:color w:val="0000FF"/>
          </w:rPr>
          <w:t>Bylaws of H&amp;E Equipment Services (California), LLC (incorporated by reference to Exhibit 3.16 to Registration Statement on Form S-4 of</w:t>
        </w:r>
      </w:hyperlink>
      <w:r>
        <w:rPr>
          <w:rFonts w:ascii="Arial" w:cs="Arial" w:eastAsia="Arial" w:hAnsi="Arial"/>
          <w:sz w:val="18"/>
          <w:szCs w:val="18"/>
          <w:u w:val="single" w:color="auto"/>
          <w:color w:val="0000FF"/>
        </w:rPr>
        <w:t xml:space="preserve"> </w:t>
      </w:r>
      <w:hyperlink r:id="rId425">
        <w:r>
          <w:rPr>
            <w:rFonts w:ascii="Arial" w:cs="Arial" w:eastAsia="Arial" w:hAnsi="Arial"/>
            <w:sz w:val="18"/>
            <w:szCs w:val="18"/>
            <w:u w:val="single" w:color="auto"/>
            <w:color w:val="0000FF"/>
          </w:rPr>
          <w:t>H&amp;E Equipment Services, Inc. (File No. 333-185334), filed December 7, 2012)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-182245</wp:posOffset>
            </wp:positionV>
            <wp:extent cx="64147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641477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-45085</wp:posOffset>
            </wp:positionV>
            <wp:extent cx="36474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3647440" cy="8255"/>
                    </a:xfrm>
                    <a:prstGeom prst="rect">
                      <a:avLst/>
                    </a:prstGeom>
                    <a:noFill/>
                  </pic:spPr>
                </pic:pic>
              </a:graphicData>
            </a:graphic>
          </wp:anchor>
        </w:drawing>
      </w:r>
    </w:p>
    <w:p>
      <w:pPr>
        <w:spacing w:after="0" w:line="109" w:lineRule="exact"/>
        <w:rPr>
          <w:sz w:val="20"/>
          <w:szCs w:val="20"/>
          <w:color w:val="auto"/>
        </w:rPr>
      </w:pPr>
    </w:p>
    <w:p>
      <w:pPr>
        <w:ind w:left="840" w:right="80" w:hanging="750"/>
        <w:spacing w:after="0" w:line="307" w:lineRule="auto"/>
        <w:tabs>
          <w:tab w:leader="none" w:pos="820" w:val="left"/>
        </w:tabs>
        <w:rPr>
          <w:rFonts w:ascii="Arial" w:cs="Arial" w:eastAsia="Arial" w:hAnsi="Arial"/>
          <w:sz w:val="17"/>
          <w:szCs w:val="17"/>
          <w:color w:val="0000FF"/>
        </w:rPr>
      </w:pPr>
      <w:r>
        <w:rPr>
          <w:rFonts w:ascii="Arial" w:cs="Arial" w:eastAsia="Arial" w:hAnsi="Arial"/>
          <w:sz w:val="18"/>
          <w:szCs w:val="18"/>
          <w:color w:val="auto"/>
        </w:rPr>
        <w:t>3.17</w:t>
      </w:r>
      <w:r>
        <w:rPr>
          <w:sz w:val="20"/>
          <w:szCs w:val="20"/>
          <w:color w:val="auto"/>
        </w:rPr>
        <w:tab/>
      </w:r>
      <w:hyperlink r:id="rId428">
        <w:r>
          <w:rPr>
            <w:rFonts w:ascii="Arial" w:cs="Arial" w:eastAsia="Arial" w:hAnsi="Arial"/>
            <w:sz w:val="17"/>
            <w:szCs w:val="17"/>
            <w:u w:val="single" w:color="auto"/>
            <w:color w:val="0000FF"/>
          </w:rPr>
          <w:t>Amended and Restated Articles of Incorporation of H&amp;E Equipment Services (Mid-Atlantic), Inc. (incorporated by reference to Exhibit 3.17</w:t>
        </w:r>
      </w:hyperlink>
      <w:r>
        <w:rPr>
          <w:rFonts w:ascii="Arial" w:cs="Arial" w:eastAsia="Arial" w:hAnsi="Arial"/>
          <w:sz w:val="17"/>
          <w:szCs w:val="17"/>
          <w:u w:val="single" w:color="auto"/>
          <w:color w:val="0000FF"/>
        </w:rPr>
        <w:t xml:space="preserve"> </w:t>
      </w:r>
      <w:hyperlink r:id="rId428">
        <w:r>
          <w:rPr>
            <w:rFonts w:ascii="Arial" w:cs="Arial" w:eastAsia="Arial" w:hAnsi="Arial"/>
            <w:sz w:val="17"/>
            <w:szCs w:val="17"/>
            <w:u w:val="single" w:color="auto"/>
            <w:color w:val="0000FF"/>
          </w:rPr>
          <w:t>to Registration Statement on Form S-4 of H&amp;E Equipment Services, Inc. (File No. 333-185334), filed December 7, 2012)</w:t>
        </w:r>
        <w:r>
          <w:rPr>
            <w:rFonts w:ascii="Arial" w:cs="Arial" w:eastAsia="Arial" w:hAnsi="Arial"/>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-196215</wp:posOffset>
            </wp:positionV>
            <wp:extent cx="64681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646811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-59690</wp:posOffset>
            </wp:positionV>
            <wp:extent cx="55651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5565140" cy="8255"/>
                    </a:xfrm>
                    <a:prstGeom prst="rect">
                      <a:avLst/>
                    </a:prstGeom>
                    <a:noFill/>
                  </pic:spPr>
                </pic:pic>
              </a:graphicData>
            </a:graphic>
          </wp:anchor>
        </w:drawing>
      </w:r>
    </w:p>
    <w:p>
      <w:pPr>
        <w:spacing w:after="0" w:line="87" w:lineRule="exact"/>
        <w:rPr>
          <w:sz w:val="20"/>
          <w:szCs w:val="20"/>
          <w:color w:val="auto"/>
        </w:rPr>
      </w:pPr>
    </w:p>
    <w:p>
      <w:pPr>
        <w:ind w:left="840" w:right="20" w:hanging="750"/>
        <w:spacing w:after="0" w:line="277"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3.18</w:t>
      </w:r>
      <w:r>
        <w:rPr>
          <w:sz w:val="20"/>
          <w:szCs w:val="20"/>
          <w:color w:val="auto"/>
        </w:rPr>
        <w:tab/>
      </w:r>
      <w:hyperlink r:id="rId431">
        <w:r>
          <w:rPr>
            <w:rFonts w:ascii="Arial" w:cs="Arial" w:eastAsia="Arial" w:hAnsi="Arial"/>
            <w:sz w:val="18"/>
            <w:szCs w:val="18"/>
            <w:u w:val="single" w:color="auto"/>
            <w:color w:val="0000FF"/>
          </w:rPr>
          <w:t>Bylaws of H&amp;E Equipment Services (Mid-Atlantic), Inc. (incorporated by reference to Exhibit 3.18 to Registration Statement on Form S-4 of</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H&amp;E Equipment Services, Inc. (File No. 333-185334), filed December 7, 2012)</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-182245</wp:posOffset>
            </wp:positionV>
            <wp:extent cx="65062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-45085</wp:posOffset>
            </wp:positionV>
            <wp:extent cx="36474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3647440" cy="8255"/>
                    </a:xfrm>
                    <a:prstGeom prst="rect">
                      <a:avLst/>
                    </a:prstGeom>
                    <a:noFill/>
                  </pic:spPr>
                </pic:pic>
              </a:graphicData>
            </a:graphic>
          </wp:anchor>
        </w:drawing>
      </w:r>
    </w:p>
    <w:p>
      <w:pPr>
        <w:spacing w:after="0" w:line="109"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0000FF"/>
        </w:rPr>
        <w:t>Articles of Amendment and Articles of Incorporation of H&amp;E Equipment Services (Midwest), Inc. filed February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-10160</wp:posOffset>
            </wp:positionV>
            <wp:extent cx="56978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5697855" cy="8255"/>
                    </a:xfrm>
                    <a:prstGeom prst="rect">
                      <a:avLst/>
                    </a:prstGeom>
                    <a:noFill/>
                  </pic:spPr>
                </pic:pic>
              </a:graphicData>
            </a:graphic>
          </wp:anchor>
        </w:drawing>
      </w:r>
    </w:p>
    <w:p>
      <w:pPr>
        <w:spacing w:after="0" w:line="164"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0000FF"/>
        </w:rPr>
        <w:t>Amended and Restated Bylaws of H&amp;E Equipment Services (Midwest), Inc. filed February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-10160</wp:posOffset>
            </wp:positionV>
            <wp:extent cx="46939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4693920" cy="8255"/>
                    </a:xfrm>
                    <a:prstGeom prst="rect">
                      <a:avLst/>
                    </a:prstGeom>
                    <a:noFill/>
                  </pic:spPr>
                </pic:pic>
              </a:graphicData>
            </a:graphic>
          </wp:anchor>
        </w:drawing>
      </w:r>
    </w:p>
    <w:p>
      <w:pPr>
        <w:spacing w:after="0" w:line="164" w:lineRule="exact"/>
        <w:rPr>
          <w:sz w:val="20"/>
          <w:szCs w:val="20"/>
          <w:color w:val="auto"/>
        </w:rPr>
      </w:pPr>
    </w:p>
    <w:p>
      <w:pPr>
        <w:ind w:left="840" w:right="400" w:hanging="750"/>
        <w:spacing w:after="0" w:line="263"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4.1</w:t>
      </w:r>
      <w:r>
        <w:rPr>
          <w:sz w:val="20"/>
          <w:szCs w:val="20"/>
          <w:color w:val="auto"/>
        </w:rPr>
        <w:tab/>
      </w:r>
      <w:hyperlink r:id="rId436">
        <w:r>
          <w:rPr>
            <w:rFonts w:ascii="Arial" w:cs="Arial" w:eastAsia="Arial" w:hAnsi="Arial"/>
            <w:sz w:val="18"/>
            <w:szCs w:val="18"/>
            <w:u w:val="single" w:color="auto"/>
            <w:color w:val="0000FF"/>
          </w:rPr>
          <w:t>Amended and Restated Security Holders Agreement, dated as of February 3, 2006, among the Company and certain other parties thereto</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(incorporated by reference to Exhibit 4.1 to Current Report on Form 8-K of H&amp;E Equipment Services, Inc. (File No. 000-51759), filed</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February 3, 2006)</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-311150</wp:posOffset>
            </wp:positionV>
            <wp:extent cx="626491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626491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-173990</wp:posOffset>
            </wp:positionV>
            <wp:extent cx="61861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618617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-36830</wp:posOffset>
            </wp:positionV>
            <wp:extent cx="8210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22" w:lineRule="exact"/>
        <w:rPr>
          <w:rFonts w:ascii="Arial" w:cs="Arial" w:eastAsia="Arial" w:hAnsi="Arial"/>
          <w:sz w:val="18"/>
          <w:szCs w:val="18"/>
          <w:u w:val="single" w:color="auto"/>
          <w:color w:val="0000FF"/>
        </w:rPr>
      </w:pPr>
    </w:p>
    <w:p>
      <w:pPr>
        <w:jc w:val="both"/>
        <w:ind w:left="840" w:right="520" w:hanging="750"/>
        <w:spacing w:after="0" w:line="263"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4.2</w:t>
      </w:r>
      <w:r>
        <w:rPr>
          <w:sz w:val="20"/>
          <w:szCs w:val="20"/>
          <w:color w:val="auto"/>
        </w:rPr>
        <w:tab/>
      </w:r>
      <w:hyperlink r:id="rId440">
        <w:r>
          <w:rPr>
            <w:rFonts w:ascii="Arial" w:cs="Arial" w:eastAsia="Arial" w:hAnsi="Arial"/>
            <w:sz w:val="18"/>
            <w:szCs w:val="18"/>
            <w:u w:val="single" w:color="auto"/>
            <w:color w:val="0000FF"/>
          </w:rPr>
          <w:t>Amended and Restated Investor Rights Agreement, dated as of February 3, 2006, among the Company and certain other parties thereto</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(incorporated by reference to Exhibit 4.2 to Current Report on Form 8-K of H&amp;E Equipment Services, Inc. (File No. 000-51759), filed</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February 3, 2006)</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-311150</wp:posOffset>
            </wp:positionV>
            <wp:extent cx="61956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619569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-173990</wp:posOffset>
            </wp:positionV>
            <wp:extent cx="61861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618617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-36830</wp:posOffset>
            </wp:positionV>
            <wp:extent cx="8210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22" w:lineRule="exact"/>
        <w:rPr>
          <w:rFonts w:ascii="Arial" w:cs="Arial" w:eastAsia="Arial" w:hAnsi="Arial"/>
          <w:sz w:val="18"/>
          <w:szCs w:val="18"/>
          <w:u w:val="single" w:color="auto"/>
          <w:color w:val="0000FF"/>
        </w:rPr>
      </w:pPr>
    </w:p>
    <w:p>
      <w:pPr>
        <w:ind w:left="840" w:right="220" w:hanging="750"/>
        <w:spacing w:after="0" w:line="263"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4.3</w:t>
      </w:r>
      <w:r>
        <w:rPr>
          <w:sz w:val="20"/>
          <w:szCs w:val="20"/>
          <w:color w:val="auto"/>
        </w:rPr>
        <w:tab/>
      </w:r>
      <w:hyperlink r:id="rId444">
        <w:r>
          <w:rPr>
            <w:rFonts w:ascii="Arial" w:cs="Arial" w:eastAsia="Arial" w:hAnsi="Arial"/>
            <w:sz w:val="18"/>
            <w:szCs w:val="18"/>
            <w:u w:val="single" w:color="auto"/>
            <w:color w:val="0000FF"/>
          </w:rPr>
          <w:t>Amended and Restated Registration Rights Agreement, dated as of February 3, 2006, among the Company and certain other parties thereto</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(incorporated by reference to Exhibit 4.3 to Current Report on Form 8-K of H&amp;E Equipment Services, Inc. (File No. 000-51759), filed</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February 3, 2006)</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-311150</wp:posOffset>
            </wp:positionV>
            <wp:extent cx="63792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637921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-173990</wp:posOffset>
            </wp:positionV>
            <wp:extent cx="61861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618617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-36830</wp:posOffset>
            </wp:positionV>
            <wp:extent cx="8210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22" w:lineRule="exact"/>
        <w:rPr>
          <w:rFonts w:ascii="Arial" w:cs="Arial" w:eastAsia="Arial" w:hAnsi="Arial"/>
          <w:sz w:val="18"/>
          <w:szCs w:val="18"/>
          <w:u w:val="single" w:color="auto"/>
          <w:color w:val="0000FF"/>
        </w:rPr>
      </w:pPr>
    </w:p>
    <w:p>
      <w:pPr>
        <w:ind w:left="840" w:hanging="750"/>
        <w:spacing w:after="0" w:line="277" w:lineRule="auto"/>
        <w:tabs>
          <w:tab w:leader="none" w:pos="82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448">
        <w:r>
          <w:rPr>
            <w:rFonts w:ascii="Arial" w:cs="Arial" w:eastAsia="Arial" w:hAnsi="Arial"/>
            <w:sz w:val="18"/>
            <w:szCs w:val="18"/>
            <w:u w:val="single" w:color="auto"/>
            <w:color w:val="0000FF"/>
          </w:rPr>
          <w:t>Form of H&amp;E Equipment Services, Inc. common stock certificate (incorporated by reference to Exhibit 4.3 to Registration Statement on Form</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S-1 of H&amp;E Equipment Services, Inc. (File No. 333-128996), filed January 5, 2006)</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-182245</wp:posOffset>
            </wp:positionV>
            <wp:extent cx="65246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652462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-45085</wp:posOffset>
            </wp:positionV>
            <wp:extent cx="38442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3844290" cy="8255"/>
                    </a:xfrm>
                    <a:prstGeom prst="rect">
                      <a:avLst/>
                    </a:prstGeom>
                    <a:noFill/>
                  </pic:spPr>
                </pic:pic>
              </a:graphicData>
            </a:graphic>
          </wp:anchor>
        </w:drawing>
      </w:r>
    </w:p>
    <w:p>
      <w:pPr>
        <w:spacing w:after="0" w:line="109" w:lineRule="exact"/>
        <w:rPr>
          <w:sz w:val="20"/>
          <w:szCs w:val="20"/>
          <w:color w:val="auto"/>
        </w:rPr>
      </w:pPr>
    </w:p>
    <w:p>
      <w:pPr>
        <w:ind w:left="840" w:right="120" w:hanging="750"/>
        <w:spacing w:after="0" w:line="286" w:lineRule="auto"/>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r:id="rId451">
        <w:r>
          <w:rPr>
            <w:rFonts w:ascii="Arial" w:cs="Arial" w:eastAsia="Arial" w:hAnsi="Arial"/>
            <w:sz w:val="17"/>
            <w:szCs w:val="17"/>
            <w:u w:val="single" w:color="auto"/>
            <w:color w:val="0000FF"/>
          </w:rPr>
          <w:t>Indenture, dated December 14, 2020, by and among H&amp;E Equipment Services, Inc., the guarantors party thereto and The Bank of New York</w:t>
        </w:r>
      </w:hyperlink>
      <w:r>
        <w:rPr>
          <w:rFonts w:ascii="Arial" w:cs="Arial" w:eastAsia="Arial" w:hAnsi="Arial"/>
          <w:sz w:val="17"/>
          <w:szCs w:val="17"/>
          <w:u w:val="single" w:color="auto"/>
          <w:color w:val="0000FF"/>
        </w:rPr>
        <w:t xml:space="preserve"> </w:t>
      </w:r>
      <w:hyperlink r:id="rId451">
        <w:r>
          <w:rPr>
            <w:rFonts w:ascii="Arial" w:cs="Arial" w:eastAsia="Arial" w:hAnsi="Arial"/>
            <w:sz w:val="17"/>
            <w:szCs w:val="17"/>
            <w:u w:val="single" w:color="auto"/>
            <w:color w:val="0000FF"/>
          </w:rPr>
          <w:t>Mellon Trust Company, N.A, as Trustee, relating to the 3.8750% Senior Notes due 2028 (incorporated by reference to Exhibit 4.1 to the</w:t>
        </w:r>
      </w:hyperlink>
      <w:r>
        <w:rPr>
          <w:rFonts w:ascii="Arial" w:cs="Arial" w:eastAsia="Arial" w:hAnsi="Arial"/>
          <w:sz w:val="17"/>
          <w:szCs w:val="17"/>
          <w:u w:val="single" w:color="auto"/>
          <w:color w:val="0000FF"/>
        </w:rPr>
        <w:t xml:space="preserve"> </w:t>
      </w:r>
      <w:hyperlink r:id="rId451">
        <w:r>
          <w:rPr>
            <w:rFonts w:ascii="Arial" w:cs="Arial" w:eastAsia="Arial" w:hAnsi="Arial"/>
            <w:sz w:val="17"/>
            <w:szCs w:val="17"/>
            <w:u w:val="single" w:color="auto"/>
            <w:color w:val="0000FF"/>
          </w:rPr>
          <w:t>Current Report on Form 8-K of H&amp;E Equipment Services, Inc. (File No. 000-51759), filed December 16, 2020).</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-322580</wp:posOffset>
            </wp:positionV>
            <wp:extent cx="64471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644715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-185420</wp:posOffset>
            </wp:positionV>
            <wp:extent cx="62344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623443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-48895</wp:posOffset>
            </wp:positionV>
            <wp:extent cx="51409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5140960" cy="8255"/>
                    </a:xfrm>
                    <a:prstGeom prst="rect">
                      <a:avLst/>
                    </a:prstGeom>
                    <a:noFill/>
                  </pic:spPr>
                </pic:pic>
              </a:graphicData>
            </a:graphic>
          </wp:anchor>
        </w:drawing>
      </w:r>
    </w:p>
    <w:p>
      <w:pPr>
        <w:spacing w:after="0" w:line="104" w:lineRule="exact"/>
        <w:rPr>
          <w:rFonts w:ascii="Arial" w:cs="Arial" w:eastAsia="Arial" w:hAnsi="Arial"/>
          <w:sz w:val="17"/>
          <w:szCs w:val="17"/>
          <w:u w:val="single" w:color="auto"/>
          <w:color w:val="0000FF"/>
        </w:rPr>
      </w:pPr>
    </w:p>
    <w:p>
      <w:pPr>
        <w:ind w:left="80"/>
        <w:spacing w:after="0"/>
        <w:tabs>
          <w:tab w:leader="none" w:pos="8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0000FF"/>
        </w:rPr>
        <w:t>Description of H&amp;E Equipment Services, Inc.’s Common Stock.*</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-10160</wp:posOffset>
            </wp:positionV>
            <wp:extent cx="30048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164" w:lineRule="exact"/>
        <w:rPr>
          <w:rFonts w:ascii="Arial" w:cs="Arial" w:eastAsia="Arial" w:hAnsi="Arial"/>
          <w:sz w:val="17"/>
          <w:szCs w:val="17"/>
          <w:u w:val="single" w:color="auto"/>
          <w:color w:val="0000FF"/>
        </w:rPr>
      </w:pPr>
    </w:p>
    <w:p>
      <w:pPr>
        <w:ind w:left="840" w:right="140" w:hanging="840"/>
        <w:spacing w:after="0" w:line="275" w:lineRule="auto"/>
        <w:tabs>
          <w:tab w:leader="none" w:pos="82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456">
        <w:r>
          <w:rPr>
            <w:rFonts w:ascii="Arial" w:cs="Arial" w:eastAsia="Arial" w:hAnsi="Arial"/>
            <w:sz w:val="17"/>
            <w:szCs w:val="17"/>
            <w:u w:val="single" w:color="auto"/>
            <w:color w:val="0000FF"/>
          </w:rPr>
          <w:t>Fifth Amended and Restated Credit Agreement, dated December 22, 2017, by and among the Company, Great Northern Equipment, Inc.,</w:t>
        </w:r>
      </w:hyperlink>
      <w:r>
        <w:rPr>
          <w:rFonts w:ascii="Arial" w:cs="Arial" w:eastAsia="Arial" w:hAnsi="Arial"/>
          <w:sz w:val="17"/>
          <w:szCs w:val="17"/>
          <w:u w:val="single" w:color="auto"/>
          <w:color w:val="0000FF"/>
        </w:rPr>
        <w:t xml:space="preserve"> </w:t>
      </w:r>
      <w:hyperlink r:id="rId456">
        <w:r>
          <w:rPr>
            <w:rFonts w:ascii="Arial" w:cs="Arial" w:eastAsia="Arial" w:hAnsi="Arial"/>
            <w:sz w:val="17"/>
            <w:szCs w:val="17"/>
            <w:u w:val="single" w:color="auto"/>
            <w:color w:val="0000FF"/>
          </w:rPr>
          <w:t>H&amp;E Equipment Services (California), LLC and H&amp;E Equipment Services (Mid-Atlantic), Inc. (collectively, the “Borrowers”), Wells Fargo</w:t>
        </w:r>
      </w:hyperlink>
      <w:r>
        <w:rPr>
          <w:rFonts w:ascii="Arial" w:cs="Arial" w:eastAsia="Arial" w:hAnsi="Arial"/>
          <w:sz w:val="17"/>
          <w:szCs w:val="17"/>
          <w:u w:val="single" w:color="auto"/>
          <w:color w:val="0000FF"/>
        </w:rPr>
        <w:t xml:space="preserve"> </w:t>
      </w:r>
      <w:hyperlink r:id="rId456">
        <w:r>
          <w:rPr>
            <w:rFonts w:ascii="Arial" w:cs="Arial" w:eastAsia="Arial" w:hAnsi="Arial"/>
            <w:sz w:val="17"/>
            <w:szCs w:val="17"/>
            <w:u w:val="single" w:color="auto"/>
            <w:color w:val="0000FF"/>
          </w:rPr>
          <w:t>Capital Finance, LLC, as administrative agent for each member of the Lender Group and the Bank Product Providers, and the joint lead</w:t>
        </w:r>
      </w:hyperlink>
      <w:r>
        <w:rPr>
          <w:rFonts w:ascii="Arial" w:cs="Arial" w:eastAsia="Arial" w:hAnsi="Arial"/>
          <w:sz w:val="17"/>
          <w:szCs w:val="17"/>
          <w:u w:val="single" w:color="auto"/>
          <w:color w:val="0000FF"/>
        </w:rPr>
        <w:t xml:space="preserve"> </w:t>
      </w:r>
      <w:hyperlink r:id="rId456">
        <w:r>
          <w:rPr>
            <w:rFonts w:ascii="Arial" w:cs="Arial" w:eastAsia="Arial" w:hAnsi="Arial"/>
            <w:sz w:val="17"/>
            <w:szCs w:val="17"/>
            <w:u w:val="single" w:color="auto"/>
            <w:color w:val="0000FF"/>
          </w:rPr>
          <w:t>arrangers, joint book runners, co-syndication agents and documentation agent party thereto (incorporated by reference to Exhibit 10.1 to the</w:t>
        </w:r>
      </w:hyperlink>
      <w:r>
        <w:rPr>
          <w:rFonts w:ascii="Arial" w:cs="Arial" w:eastAsia="Arial" w:hAnsi="Arial"/>
          <w:sz w:val="17"/>
          <w:szCs w:val="17"/>
          <w:u w:val="single" w:color="auto"/>
          <w:color w:val="0000FF"/>
        </w:rPr>
        <w:t xml:space="preserve"> </w:t>
      </w:r>
      <w:hyperlink r:id="rId456">
        <w:r>
          <w:rPr>
            <w:rFonts w:ascii="Arial" w:cs="Arial" w:eastAsia="Arial" w:hAnsi="Arial"/>
            <w:sz w:val="17"/>
            <w:szCs w:val="17"/>
            <w:u w:val="single" w:color="auto"/>
            <w:color w:val="0000FF"/>
          </w:rPr>
          <w:t>Current Report on Form 8-K of H&amp;E Equipment Services, Inc. (File No. 000-51759), filed December 27, 2017).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-589915</wp:posOffset>
            </wp:positionV>
            <wp:extent cx="62928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629285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-453390</wp:posOffset>
            </wp:positionV>
            <wp:extent cx="64369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643699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-316230</wp:posOffset>
            </wp:positionV>
            <wp:extent cx="62210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622109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-179070</wp:posOffset>
            </wp:positionV>
            <wp:extent cx="64141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-41910</wp:posOffset>
            </wp:positionV>
            <wp:extent cx="51409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5140960" cy="8255"/>
                    </a:xfrm>
                    <a:prstGeom prst="rect">
                      <a:avLst/>
                    </a:prstGeom>
                    <a:noFill/>
                  </pic:spPr>
                </pic:pic>
              </a:graphicData>
            </a:graphic>
          </wp:anchor>
        </w:drawing>
      </w:r>
    </w:p>
    <w:p>
      <w:pPr>
        <w:spacing w:after="0" w:line="114" w:lineRule="exact"/>
        <w:rPr>
          <w:rFonts w:ascii="Arial" w:cs="Arial" w:eastAsia="Arial" w:hAnsi="Arial"/>
          <w:sz w:val="17"/>
          <w:szCs w:val="17"/>
          <w:u w:val="single" w:color="auto"/>
          <w:color w:val="0000FF"/>
        </w:rPr>
      </w:pPr>
    </w:p>
    <w:p>
      <w:pPr>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462">
        <w:r>
          <w:rPr>
            <w:rFonts w:ascii="Arial" w:cs="Arial" w:eastAsia="Arial" w:hAnsi="Arial"/>
            <w:sz w:val="16"/>
            <w:szCs w:val="16"/>
            <w:u w:val="single" w:color="auto"/>
            <w:color w:val="0000FF"/>
          </w:rPr>
          <w:t>First Amendment to the Fifth Amended and Restated Credit Agreement, dated February 1, 2019, by and among the Company, Great Northern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-10160</wp:posOffset>
            </wp:positionV>
            <wp:extent cx="65055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6505575" cy="8255"/>
                    </a:xfrm>
                    <a:prstGeom prst="rect">
                      <a:avLst/>
                    </a:prstGeom>
                    <a:noFill/>
                  </pic:spPr>
                </pic:pic>
              </a:graphicData>
            </a:graphic>
          </wp:anchor>
        </w:drawing>
      </w:r>
    </w:p>
    <w:p>
      <w:pPr>
        <w:spacing w:after="0" w:line="3" w:lineRule="exact"/>
        <w:rPr>
          <w:rFonts w:ascii="Arial" w:cs="Arial" w:eastAsia="Arial" w:hAnsi="Arial"/>
          <w:sz w:val="17"/>
          <w:szCs w:val="17"/>
          <w:u w:val="single" w:color="auto"/>
          <w:color w:val="0000FF"/>
        </w:rPr>
      </w:pPr>
    </w:p>
    <w:p>
      <w:pPr>
        <w:ind w:left="840" w:right="100"/>
        <w:spacing w:after="0" w:line="295" w:lineRule="auto"/>
        <w:rPr>
          <w:rFonts w:ascii="Arial" w:cs="Arial" w:eastAsia="Arial" w:hAnsi="Arial"/>
          <w:sz w:val="16"/>
          <w:szCs w:val="16"/>
          <w:u w:val="single" w:color="auto"/>
          <w:color w:val="0000FF"/>
        </w:rPr>
      </w:pPr>
      <w:hyperlink r:id="rId462">
        <w:r>
          <w:rPr>
            <w:rFonts w:ascii="Arial" w:cs="Arial" w:eastAsia="Arial" w:hAnsi="Arial"/>
            <w:sz w:val="16"/>
            <w:szCs w:val="16"/>
            <w:u w:val="single" w:color="auto"/>
            <w:color w:val="0000FF"/>
          </w:rPr>
          <w:t>Equipment, Inc., H&amp;E Equipment Services (California), LLC and H&amp;E Equipment Services (Mid-Atlantic), Inc. (collectively, the</w:t>
        </w:r>
      </w:hyperlink>
      <w:r>
        <w:rPr>
          <w:rFonts w:ascii="Arial" w:cs="Arial" w:eastAsia="Arial" w:hAnsi="Arial"/>
          <w:sz w:val="16"/>
          <w:szCs w:val="16"/>
          <w:u w:val="single" w:color="auto"/>
          <w:color w:val="0000FF"/>
        </w:rPr>
        <w:t xml:space="preserve"> </w:t>
      </w:r>
      <w:hyperlink r:id="rId462">
        <w:r>
          <w:rPr>
            <w:rFonts w:ascii="Arial" w:cs="Arial" w:eastAsia="Arial" w:hAnsi="Arial"/>
            <w:sz w:val="16"/>
            <w:szCs w:val="16"/>
            <w:u w:val="single" w:color="auto"/>
            <w:color w:val="0000FF"/>
          </w:rPr>
          <w:t>“Borrowers”), Wells Fargo Capital Finance, LLC, as administrative agent for each member of the Lender Group and the Bank Product</w:t>
        </w:r>
      </w:hyperlink>
      <w:r>
        <w:rPr>
          <w:rFonts w:ascii="Arial" w:cs="Arial" w:eastAsia="Arial" w:hAnsi="Arial"/>
          <w:sz w:val="16"/>
          <w:szCs w:val="16"/>
          <w:u w:val="single" w:color="auto"/>
          <w:color w:val="0000FF"/>
        </w:rPr>
        <w:t xml:space="preserve"> </w:t>
      </w:r>
      <w:hyperlink r:id="rId462">
        <w:r>
          <w:rPr>
            <w:rFonts w:ascii="Arial" w:cs="Arial" w:eastAsia="Arial" w:hAnsi="Arial"/>
            <w:sz w:val="16"/>
            <w:szCs w:val="16"/>
            <w:u w:val="single" w:color="auto"/>
            <w:color w:val="0000FF"/>
          </w:rPr>
          <w:t>Providers, and the joint lead arrangers, joint book runners, co-syndication agents and documentation agent party thereto (incorporated by</w:t>
        </w:r>
      </w:hyperlink>
      <w:r>
        <w:rPr>
          <w:rFonts w:ascii="Arial" w:cs="Arial" w:eastAsia="Arial" w:hAnsi="Arial"/>
          <w:sz w:val="16"/>
          <w:szCs w:val="16"/>
          <w:u w:val="single" w:color="auto"/>
          <w:color w:val="0000FF"/>
        </w:rPr>
        <w:t xml:space="preserve"> </w:t>
      </w:r>
      <w:hyperlink r:id="rId462">
        <w:r>
          <w:rPr>
            <w:rFonts w:ascii="Arial" w:cs="Arial" w:eastAsia="Arial" w:hAnsi="Arial"/>
            <w:sz w:val="16"/>
            <w:szCs w:val="16"/>
            <w:u w:val="single" w:color="auto"/>
            <w:color w:val="0000FF"/>
          </w:rPr>
          <w:t>reference to Exhibit 10.1 to the Current Report on Form 8-K of H&amp;E Equipment Services, Inc. (File No. 000-51759, filed February 4, 2019).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-462280</wp:posOffset>
            </wp:positionV>
            <wp:extent cx="59696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596963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-325755</wp:posOffset>
            </wp:positionV>
            <wp:extent cx="61652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616521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-188595</wp:posOffset>
            </wp:positionV>
            <wp:extent cx="62776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627761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-51435</wp:posOffset>
            </wp:positionV>
            <wp:extent cx="64369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6436995" cy="8255"/>
                    </a:xfrm>
                    <a:prstGeom prst="rect">
                      <a:avLst/>
                    </a:prstGeom>
                    <a:noFill/>
                  </pic:spPr>
                </pic:pic>
              </a:graphicData>
            </a:graphic>
          </wp:anchor>
        </w:drawing>
      </w:r>
    </w:p>
    <w:p>
      <w:pPr>
        <w:spacing w:after="0" w:line="99" w:lineRule="exact"/>
        <w:rPr>
          <w:rFonts w:ascii="Arial" w:cs="Arial" w:eastAsia="Arial" w:hAnsi="Arial"/>
          <w:sz w:val="16"/>
          <w:szCs w:val="16"/>
          <w:u w:val="single" w:color="auto"/>
          <w:color w:val="0000FF"/>
        </w:rPr>
      </w:pPr>
    </w:p>
    <w:p>
      <w:pPr>
        <w:ind w:left="840" w:right="180" w:hanging="840"/>
        <w:spacing w:after="0" w:line="296" w:lineRule="auto"/>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468">
        <w:r>
          <w:rPr>
            <w:rFonts w:ascii="Arial" w:cs="Arial" w:eastAsia="Arial" w:hAnsi="Arial"/>
            <w:sz w:val="16"/>
            <w:szCs w:val="16"/>
            <w:u w:val="single" w:color="auto"/>
            <w:color w:val="0000FF"/>
          </w:rPr>
          <w:t>Second Amendment to the Fifth Amended and Restated Credit Agreement, dated September 14, 2021, by and among the Company, Great</w:t>
        </w:r>
      </w:hyperlink>
      <w:r>
        <w:rPr>
          <w:rFonts w:ascii="Arial" w:cs="Arial" w:eastAsia="Arial" w:hAnsi="Arial"/>
          <w:sz w:val="16"/>
          <w:szCs w:val="16"/>
          <w:u w:val="single" w:color="auto"/>
          <w:color w:val="0000FF"/>
        </w:rPr>
        <w:t xml:space="preserve"> </w:t>
      </w:r>
      <w:hyperlink r:id="rId468">
        <w:r>
          <w:rPr>
            <w:rFonts w:ascii="Arial" w:cs="Arial" w:eastAsia="Arial" w:hAnsi="Arial"/>
            <w:sz w:val="16"/>
            <w:szCs w:val="16"/>
            <w:u w:val="single" w:color="auto"/>
            <w:color w:val="0000FF"/>
          </w:rPr>
          <w:t>Northern Equipment, Inc., H&amp;E Equipment Services (California), LLC and H&amp;E Equipment Services (Mid-Atlantic), Inc. (collectively, the</w:t>
        </w:r>
      </w:hyperlink>
      <w:r>
        <w:rPr>
          <w:rFonts w:ascii="Arial" w:cs="Arial" w:eastAsia="Arial" w:hAnsi="Arial"/>
          <w:sz w:val="16"/>
          <w:szCs w:val="16"/>
          <w:u w:val="single" w:color="auto"/>
          <w:color w:val="0000FF"/>
        </w:rPr>
        <w:t xml:space="preserve"> </w:t>
      </w:r>
      <w:hyperlink r:id="rId468">
        <w:r>
          <w:rPr>
            <w:rFonts w:ascii="Arial" w:cs="Arial" w:eastAsia="Arial" w:hAnsi="Arial"/>
            <w:sz w:val="16"/>
            <w:szCs w:val="16"/>
            <w:u w:val="single" w:color="auto"/>
            <w:color w:val="0000FF"/>
          </w:rPr>
          <w:t>“Borrowers”), Wells Fargo Bank National Association, as administrative agent for each member of the Lender Group and the Bank Product</w:t>
        </w:r>
      </w:hyperlink>
      <w:r>
        <w:rPr>
          <w:rFonts w:ascii="Arial" w:cs="Arial" w:eastAsia="Arial" w:hAnsi="Arial"/>
          <w:sz w:val="16"/>
          <w:szCs w:val="16"/>
          <w:u w:val="single" w:color="auto"/>
          <w:color w:val="0000FF"/>
        </w:rPr>
        <w:t xml:space="preserve"> </w:t>
      </w:r>
      <w:hyperlink r:id="rId468">
        <w:r>
          <w:rPr>
            <w:rFonts w:ascii="Arial" w:cs="Arial" w:eastAsia="Arial" w:hAnsi="Arial"/>
            <w:sz w:val="16"/>
            <w:szCs w:val="16"/>
            <w:u w:val="single" w:color="auto"/>
            <w:color w:val="0000FF"/>
          </w:rPr>
          <w:t>Providers, and the joint lead arrangers, joint book runners, co-syndication agents and documentation agent party thereto (incorporated by</w:t>
        </w:r>
      </w:hyperlink>
      <w:r>
        <w:rPr>
          <w:rFonts w:ascii="Arial" w:cs="Arial" w:eastAsia="Arial" w:hAnsi="Arial"/>
          <w:sz w:val="16"/>
          <w:szCs w:val="16"/>
          <w:u w:val="single" w:color="auto"/>
          <w:color w:val="0000FF"/>
        </w:rPr>
        <w:t xml:space="preserve"> </w:t>
      </w:r>
      <w:hyperlink r:id="rId468">
        <w:r>
          <w:rPr>
            <w:rFonts w:ascii="Arial" w:cs="Arial" w:eastAsia="Arial" w:hAnsi="Arial"/>
            <w:sz w:val="16"/>
            <w:szCs w:val="16"/>
            <w:u w:val="single" w:color="auto"/>
            <w:color w:val="0000FF"/>
          </w:rPr>
          <w:t>reference from Exhibit 10.1 to Form 10-Q of H&amp;E Equipment Services, Inc. (File No. 000-51759), filed November 2,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528320</wp:posOffset>
            </wp:positionH>
            <wp:positionV relativeFrom="paragraph">
              <wp:posOffset>-599440</wp:posOffset>
            </wp:positionV>
            <wp:extent cx="63246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632460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-462280</wp:posOffset>
            </wp:positionV>
            <wp:extent cx="641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641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-325120</wp:posOffset>
            </wp:positionV>
            <wp:extent cx="64027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640270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-188595</wp:posOffset>
            </wp:positionV>
            <wp:extent cx="62776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627761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-51435</wp:posOffset>
            </wp:positionV>
            <wp:extent cx="57080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5708015" cy="8255"/>
                    </a:xfrm>
                    <a:prstGeom prst="rect">
                      <a:avLst/>
                    </a:prstGeom>
                    <a:noFill/>
                  </pic:spPr>
                </pic:pic>
              </a:graphicData>
            </a:graphic>
          </wp:anchor>
        </w:drawing>
      </w:r>
    </w:p>
    <w:p>
      <w:pPr>
        <w:spacing w:after="0" w:line="302" w:lineRule="exact"/>
        <w:rPr>
          <w:rFonts w:ascii="Arial" w:cs="Arial" w:eastAsia="Arial" w:hAnsi="Arial"/>
          <w:sz w:val="16"/>
          <w:szCs w:val="16"/>
          <w:u w:val="single" w:color="auto"/>
          <w:color w:val="0000FF"/>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54" w:right="39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207"/>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10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Sixth Amended and Restated Credit Agreement, dated February 2, 2023, by and among the Company, Great Northern Equipment, Inc., H&amp;E</w:t>
            </w:r>
          </w:p>
        </w:tc>
      </w:tr>
      <w:tr>
        <w:trPr>
          <w:trHeight w:val="196"/>
        </w:trPr>
        <w:tc>
          <w:tcPr>
            <w:tcW w:w="940" w:type="dxa"/>
            <w:vAlign w:val="bottom"/>
          </w:tcPr>
          <w:p>
            <w:pPr>
              <w:spacing w:after="0"/>
              <w:rPr>
                <w:sz w:val="17"/>
                <w:szCs w:val="17"/>
                <w:color w:val="auto"/>
              </w:rPr>
            </w:pPr>
          </w:p>
        </w:tc>
        <w:tc>
          <w:tcPr>
            <w:tcW w:w="9600" w:type="dxa"/>
            <w:vAlign w:val="bottom"/>
            <w:tcBorders>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3"/>
              </w:rPr>
              <w:t>Equipment Services (California), LLC, H&amp;E Equipment Services (Midwest), Inc. and H&amp;E Equipment Services (Mid-Atlantic), Inc.</w:t>
            </w:r>
          </w:p>
        </w:tc>
        <w:tc>
          <w:tcPr>
            <w:tcW w:w="580" w:type="dxa"/>
            <w:vAlign w:val="bottom"/>
            <w:gridSpan w:val="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5" w:lineRule="exact"/>
              <w:rPr>
                <w:sz w:val="20"/>
                <w:szCs w:val="20"/>
                <w:color w:val="auto"/>
              </w:rPr>
            </w:pPr>
            <w:r>
              <w:rPr>
                <w:rFonts w:ascii="Arial" w:cs="Arial" w:eastAsia="Arial" w:hAnsi="Arial"/>
                <w:sz w:val="18"/>
                <w:szCs w:val="18"/>
                <w:color w:val="0000FF"/>
                <w:w w:val="91"/>
              </w:rPr>
              <w:t>(collectively, the “Borrowers”), Wells Fargo Bank, National Association, as administrative agent for each member of the Lender Group and</w:t>
            </w:r>
          </w:p>
        </w:tc>
        <w:tc>
          <w:tcPr>
            <w:tcW w:w="120" w:type="dxa"/>
            <w:vAlign w:val="bottom"/>
            <w:gridSpan w:val="3"/>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180" w:type="dxa"/>
            <w:vAlign w:val="bottom"/>
            <w:gridSpan w:val="20"/>
          </w:tcPr>
          <w:p>
            <w:pPr>
              <w:spacing w:after="0" w:line="195" w:lineRule="exact"/>
              <w:rPr>
                <w:sz w:val="20"/>
                <w:szCs w:val="20"/>
                <w:color w:val="auto"/>
              </w:rPr>
            </w:pPr>
            <w:r>
              <w:rPr>
                <w:rFonts w:ascii="Arial" w:cs="Arial" w:eastAsia="Arial" w:hAnsi="Arial"/>
                <w:sz w:val="18"/>
                <w:szCs w:val="18"/>
                <w:color w:val="0000FF"/>
                <w:w w:val="91"/>
              </w:rPr>
              <w:t>the Bank Product Providers, and the joint lead arrangers, joint book runners, co-syndication agents and documentation agent party thereto.*</w:t>
            </w:r>
          </w:p>
        </w:tc>
      </w:tr>
      <w:tr>
        <w:trPr>
          <w:trHeight w:val="20"/>
        </w:trPr>
        <w:tc>
          <w:tcPr>
            <w:tcW w:w="940" w:type="dxa"/>
            <w:vAlign w:val="bottom"/>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080" w:type="dxa"/>
            <w:vAlign w:val="bottom"/>
            <w:tcBorders>
              <w:bottom w:val="single" w:sz="8" w:color="0000FF"/>
            </w:tcBorders>
            <w:gridSpan w:val="18"/>
          </w:tcPr>
          <w:p>
            <w:pPr>
              <w:spacing w:after="0"/>
              <w:rPr>
                <w:rFonts w:ascii="Arial" w:cs="Arial" w:eastAsia="Arial" w:hAnsi="Arial"/>
                <w:sz w:val="18"/>
                <w:szCs w:val="18"/>
                <w:color w:val="0000FF"/>
                <w:w w:val="91"/>
              </w:rPr>
            </w:pPr>
            <w:hyperlink r:id="rId475">
              <w:r>
                <w:rPr>
                  <w:rFonts w:ascii="Arial" w:cs="Arial" w:eastAsia="Arial" w:hAnsi="Arial"/>
                  <w:sz w:val="18"/>
                  <w:szCs w:val="18"/>
                  <w:color w:val="0000FF"/>
                  <w:w w:val="91"/>
                </w:rPr>
                <w:t>H&amp;E Equipment Services, Inc. 2016 Stock-Based Incentive Compensation Plan (incorporated by reference to Appendix A to the Definitive</w:t>
              </w:r>
            </w:hyperlink>
          </w:p>
        </w:tc>
        <w:tc>
          <w:tcPr>
            <w:tcW w:w="10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180" w:type="dxa"/>
            <w:vAlign w:val="bottom"/>
            <w:gridSpan w:val="20"/>
          </w:tcPr>
          <w:p>
            <w:pPr>
              <w:spacing w:after="0" w:line="195" w:lineRule="exact"/>
              <w:rPr>
                <w:rFonts w:ascii="Arial" w:cs="Arial" w:eastAsia="Arial" w:hAnsi="Arial"/>
                <w:sz w:val="18"/>
                <w:szCs w:val="18"/>
                <w:color w:val="0000FF"/>
              </w:rPr>
            </w:pPr>
            <w:hyperlink r:id="rId475">
              <w:r>
                <w:rPr>
                  <w:rFonts w:ascii="Arial" w:cs="Arial" w:eastAsia="Arial" w:hAnsi="Arial"/>
                  <w:sz w:val="18"/>
                  <w:szCs w:val="18"/>
                  <w:color w:val="0000FF"/>
                </w:rPr>
                <w:t>Proxy Statement of H&amp;E Equipment Services, Inc. (File No. 000-51759), filed April 1, 2016.</w:t>
              </w:r>
              <w:r>
                <w:rPr>
                  <w:rFonts w:ascii="Arial" w:cs="Arial" w:eastAsia="Arial" w:hAnsi="Arial"/>
                  <w:sz w:val="18"/>
                  <w:szCs w:val="18"/>
                  <w:color w:val="000000"/>
                </w:rPr>
                <w:t>†</w:t>
              </w:r>
            </w:hyperlink>
          </w:p>
        </w:tc>
      </w:tr>
      <w:tr>
        <w:trPr>
          <w:trHeight w:val="20"/>
        </w:trPr>
        <w:tc>
          <w:tcPr>
            <w:tcW w:w="940" w:type="dxa"/>
            <w:vAlign w:val="bottom"/>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10040" w:type="dxa"/>
            <w:vAlign w:val="bottom"/>
            <w:tcBorders>
              <w:bottom w:val="single" w:sz="8" w:color="0000FF"/>
            </w:tcBorders>
            <w:gridSpan w:val="16"/>
          </w:tcPr>
          <w:p>
            <w:pPr>
              <w:spacing w:after="0"/>
              <w:rPr>
                <w:rFonts w:ascii="Arial" w:cs="Arial" w:eastAsia="Arial" w:hAnsi="Arial"/>
                <w:sz w:val="18"/>
                <w:szCs w:val="18"/>
                <w:color w:val="0000FF"/>
                <w:w w:val="92"/>
              </w:rPr>
            </w:pPr>
            <w:hyperlink r:id="rId476">
              <w:r>
                <w:rPr>
                  <w:rFonts w:ascii="Arial" w:cs="Arial" w:eastAsia="Arial" w:hAnsi="Arial"/>
                  <w:sz w:val="18"/>
                  <w:szCs w:val="18"/>
                  <w:color w:val="0000FF"/>
                  <w:w w:val="92"/>
                </w:rPr>
                <w:t>Form of Restricted Stock Award Agreement for Officers of H&amp;E Equipment Services, Inc. (incorporated by reference from Exhibit 10.1 to</w:t>
              </w:r>
            </w:hyperlink>
          </w:p>
        </w:tc>
        <w:tc>
          <w:tcPr>
            <w:tcW w:w="14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180" w:type="dxa"/>
            <w:vAlign w:val="bottom"/>
            <w:gridSpan w:val="20"/>
          </w:tcPr>
          <w:p>
            <w:pPr>
              <w:spacing w:after="0" w:line="195" w:lineRule="exact"/>
              <w:rPr>
                <w:rFonts w:ascii="Arial" w:cs="Arial" w:eastAsia="Arial" w:hAnsi="Arial"/>
                <w:sz w:val="18"/>
                <w:szCs w:val="18"/>
                <w:color w:val="0000FF"/>
              </w:rPr>
            </w:pPr>
            <w:hyperlink r:id="rId476">
              <w:r>
                <w:rPr>
                  <w:rFonts w:ascii="Arial" w:cs="Arial" w:eastAsia="Arial" w:hAnsi="Arial"/>
                  <w:sz w:val="18"/>
                  <w:szCs w:val="18"/>
                  <w:color w:val="0000FF"/>
                </w:rPr>
                <w:t xml:space="preserve">Form 10-Q of H&amp;E Equipment Services, Inc. (File No. 000-51759), filed November 3, 2011). </w:t>
              </w:r>
              <w:r>
                <w:rPr>
                  <w:rFonts w:ascii="Arial" w:cs="Arial" w:eastAsia="Arial" w:hAnsi="Arial"/>
                  <w:sz w:val="18"/>
                  <w:szCs w:val="18"/>
                  <w:color w:val="000000"/>
                </w:rPr>
                <w:t>†</w:t>
              </w:r>
            </w:hyperlink>
          </w:p>
        </w:tc>
      </w:tr>
      <w:tr>
        <w:trPr>
          <w:trHeight w:val="20"/>
        </w:trPr>
        <w:tc>
          <w:tcPr>
            <w:tcW w:w="940" w:type="dxa"/>
            <w:vAlign w:val="bottom"/>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10160" w:type="dxa"/>
            <w:vAlign w:val="bottom"/>
            <w:tcBorders>
              <w:bottom w:val="single" w:sz="8" w:color="0000FF"/>
            </w:tcBorders>
            <w:gridSpan w:val="19"/>
          </w:tcPr>
          <w:p>
            <w:pPr>
              <w:spacing w:after="0"/>
              <w:rPr>
                <w:rFonts w:ascii="Arial" w:cs="Arial" w:eastAsia="Arial" w:hAnsi="Arial"/>
                <w:sz w:val="18"/>
                <w:szCs w:val="18"/>
                <w:color w:val="0000FF"/>
                <w:w w:val="90"/>
              </w:rPr>
            </w:pPr>
            <w:hyperlink r:id="rId477">
              <w:r>
                <w:rPr>
                  <w:rFonts w:ascii="Arial" w:cs="Arial" w:eastAsia="Arial" w:hAnsi="Arial"/>
                  <w:sz w:val="18"/>
                  <w:szCs w:val="18"/>
                  <w:color w:val="0000FF"/>
                  <w:w w:val="90"/>
                </w:rPr>
                <w:t>Restrictive Covenant Agreement, dated August 14, 2015, by and between the Company and Bradley W. Barber (incorporated by reference to</w:t>
              </w:r>
            </w:hyperlink>
          </w:p>
        </w:tc>
        <w:tc>
          <w:tcPr>
            <w:tcW w:w="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920" w:type="dxa"/>
            <w:vAlign w:val="bottom"/>
            <w:tcBorders>
              <w:bottom w:val="single" w:sz="8" w:color="0000FF"/>
            </w:tcBorders>
            <w:gridSpan w:val="7"/>
          </w:tcPr>
          <w:p>
            <w:pPr>
              <w:spacing w:after="0" w:line="195" w:lineRule="exact"/>
              <w:rPr>
                <w:rFonts w:ascii="Arial" w:cs="Arial" w:eastAsia="Arial" w:hAnsi="Arial"/>
                <w:sz w:val="18"/>
                <w:szCs w:val="18"/>
                <w:color w:val="0000FF"/>
                <w:w w:val="92"/>
              </w:rPr>
            </w:pPr>
            <w:hyperlink r:id="rId477">
              <w:r>
                <w:rPr>
                  <w:rFonts w:ascii="Arial" w:cs="Arial" w:eastAsia="Arial" w:hAnsi="Arial"/>
                  <w:sz w:val="18"/>
                  <w:szCs w:val="18"/>
                  <w:color w:val="0000FF"/>
                  <w:w w:val="92"/>
                </w:rPr>
                <w:t>Exhibit 10.1 to Form 10-Q of H&amp;E Equipment Services, Inc. (File No. 000-51759), filed October 29, 2015). †</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12"/>
          </w:tcPr>
          <w:p>
            <w:pPr>
              <w:spacing w:after="0"/>
              <w:rPr>
                <w:sz w:val="17"/>
                <w:szCs w:val="17"/>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10.8</w:t>
            </w:r>
          </w:p>
        </w:tc>
        <w:tc>
          <w:tcPr>
            <w:tcW w:w="10040" w:type="dxa"/>
            <w:vAlign w:val="bottom"/>
            <w:tcBorders>
              <w:bottom w:val="single" w:sz="8" w:color="0000FF"/>
            </w:tcBorders>
            <w:gridSpan w:val="16"/>
          </w:tcPr>
          <w:p>
            <w:pPr>
              <w:spacing w:after="0"/>
              <w:rPr>
                <w:rFonts w:ascii="Arial" w:cs="Arial" w:eastAsia="Arial" w:hAnsi="Arial"/>
                <w:sz w:val="18"/>
                <w:szCs w:val="18"/>
                <w:color w:val="0000FF"/>
                <w:w w:val="89"/>
              </w:rPr>
            </w:pPr>
            <w:hyperlink r:id="rId478">
              <w:r>
                <w:rPr>
                  <w:rFonts w:ascii="Arial" w:cs="Arial" w:eastAsia="Arial" w:hAnsi="Arial"/>
                  <w:sz w:val="18"/>
                  <w:szCs w:val="18"/>
                  <w:color w:val="0000FF"/>
                  <w:w w:val="89"/>
                </w:rPr>
                <w:t>Restrictive Covenant Agreement, dated October 12, 2015, by and between the Company and Leslie S. Magee (incorporated by reference to</w:t>
              </w:r>
            </w:hyperlink>
          </w:p>
        </w:tc>
        <w:tc>
          <w:tcPr>
            <w:tcW w:w="140" w:type="dxa"/>
            <w:vAlign w:val="bottom"/>
            <w:gridSpan w:val="4"/>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260" w:type="dxa"/>
            <w:vAlign w:val="bottom"/>
            <w:tcBorders>
              <w:bottom w:val="single" w:sz="8" w:color="0000FF"/>
            </w:tcBorders>
            <w:gridSpan w:val="9"/>
          </w:tcPr>
          <w:p>
            <w:pPr>
              <w:spacing w:after="0" w:line="195" w:lineRule="exact"/>
              <w:rPr>
                <w:rFonts w:ascii="Arial" w:cs="Arial" w:eastAsia="Arial" w:hAnsi="Arial"/>
                <w:sz w:val="18"/>
                <w:szCs w:val="18"/>
                <w:color w:val="0000FF"/>
                <w:w w:val="92"/>
              </w:rPr>
            </w:pPr>
            <w:hyperlink r:id="rId478">
              <w:r>
                <w:rPr>
                  <w:rFonts w:ascii="Arial" w:cs="Arial" w:eastAsia="Arial" w:hAnsi="Arial"/>
                  <w:sz w:val="18"/>
                  <w:szCs w:val="18"/>
                  <w:color w:val="0000FF"/>
                  <w:w w:val="92"/>
                </w:rPr>
                <w:t>Exhibit 10.12 to Form 10-K of H&amp;E Equipment Services, Inc. (File No. 000-51579), filed on February 25, 2016).†</w:t>
              </w:r>
            </w:hyperlink>
          </w:p>
        </w:tc>
        <w:tc>
          <w:tcPr>
            <w:tcW w:w="20" w:type="dxa"/>
            <w:vAlign w:val="bottom"/>
            <w:tcBorders>
              <w:bottom w:val="single" w:sz="8" w:color="0000EE"/>
            </w:tcBorders>
          </w:tcPr>
          <w:p>
            <w:pPr>
              <w:spacing w:after="0"/>
              <w:rPr>
                <w:sz w:val="17"/>
                <w:szCs w:val="17"/>
                <w:color w:val="auto"/>
              </w:rPr>
            </w:pPr>
          </w:p>
        </w:tc>
        <w:tc>
          <w:tcPr>
            <w:tcW w:w="1900" w:type="dxa"/>
            <w:vAlign w:val="bottom"/>
            <w:gridSpan w:val="10"/>
          </w:tcPr>
          <w:p>
            <w:pPr>
              <w:spacing w:after="0"/>
              <w:rPr>
                <w:sz w:val="17"/>
                <w:szCs w:val="17"/>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10.9</w:t>
            </w:r>
          </w:p>
        </w:tc>
        <w:tc>
          <w:tcPr>
            <w:tcW w:w="9660" w:type="dxa"/>
            <w:vAlign w:val="bottom"/>
            <w:tcBorders>
              <w:bottom w:val="single" w:sz="8" w:color="0000FF"/>
            </w:tcBorders>
            <w:gridSpan w:val="15"/>
          </w:tcPr>
          <w:p>
            <w:pPr>
              <w:spacing w:after="0"/>
              <w:rPr>
                <w:rFonts w:ascii="Arial" w:cs="Arial" w:eastAsia="Arial" w:hAnsi="Arial"/>
                <w:sz w:val="18"/>
                <w:szCs w:val="18"/>
                <w:color w:val="0000FF"/>
                <w:w w:val="91"/>
              </w:rPr>
            </w:pPr>
            <w:hyperlink r:id="rId479">
              <w:r>
                <w:rPr>
                  <w:rFonts w:ascii="Arial" w:cs="Arial" w:eastAsia="Arial" w:hAnsi="Arial"/>
                  <w:sz w:val="18"/>
                  <w:szCs w:val="18"/>
                  <w:color w:val="0000FF"/>
                  <w:w w:val="91"/>
                </w:rPr>
                <w:t>Restrictive Covenant Agreement, dated March 4, 2022, by and between the Company and John McDowell Engquist (incorporated by</w:t>
              </w:r>
            </w:hyperlink>
          </w:p>
        </w:tc>
        <w:tc>
          <w:tcPr>
            <w:tcW w:w="52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800" w:type="dxa"/>
            <w:vAlign w:val="bottom"/>
            <w:tcBorders>
              <w:bottom w:val="single" w:sz="8" w:color="0000FF"/>
            </w:tcBorders>
            <w:gridSpan w:val="11"/>
          </w:tcPr>
          <w:p>
            <w:pPr>
              <w:spacing w:after="0" w:line="195" w:lineRule="exact"/>
              <w:rPr>
                <w:rFonts w:ascii="Arial" w:cs="Arial" w:eastAsia="Arial" w:hAnsi="Arial"/>
                <w:sz w:val="18"/>
                <w:szCs w:val="18"/>
                <w:color w:val="0000FF"/>
                <w:w w:val="92"/>
              </w:rPr>
            </w:pPr>
            <w:hyperlink r:id="rId479">
              <w:r>
                <w:rPr>
                  <w:rFonts w:ascii="Arial" w:cs="Arial" w:eastAsia="Arial" w:hAnsi="Arial"/>
                  <w:sz w:val="18"/>
                  <w:szCs w:val="18"/>
                  <w:color w:val="0000FF"/>
                  <w:w w:val="92"/>
                </w:rPr>
                <w:t>reference to Exhibit 10.1 to Form 10-Q of H&amp;E Equipment Services, Inc. (File No. 000-51579), filed on April 27, 2022).†</w:t>
              </w:r>
            </w:hyperlink>
          </w:p>
        </w:tc>
        <w:tc>
          <w:tcPr>
            <w:tcW w:w="20" w:type="dxa"/>
            <w:vAlign w:val="bottom"/>
            <w:tcBorders>
              <w:bottom w:val="single" w:sz="8" w:color="0000EE"/>
            </w:tcBorders>
          </w:tcPr>
          <w:p>
            <w:pPr>
              <w:spacing w:after="0"/>
              <w:rPr>
                <w:sz w:val="17"/>
                <w:szCs w:val="17"/>
                <w:color w:val="auto"/>
              </w:rPr>
            </w:pPr>
          </w:p>
        </w:tc>
        <w:tc>
          <w:tcPr>
            <w:tcW w:w="1360" w:type="dxa"/>
            <w:vAlign w:val="bottom"/>
            <w:gridSpan w:val="8"/>
          </w:tcPr>
          <w:p>
            <w:pPr>
              <w:spacing w:after="0"/>
              <w:rPr>
                <w:sz w:val="17"/>
                <w:szCs w:val="17"/>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18.1</w:t>
            </w:r>
          </w:p>
        </w:tc>
        <w:tc>
          <w:tcPr>
            <w:tcW w:w="10180" w:type="dxa"/>
            <w:vAlign w:val="bottom"/>
            <w:tcBorders>
              <w:bottom w:val="single" w:sz="8" w:color="0000FF"/>
            </w:tcBorders>
            <w:gridSpan w:val="20"/>
          </w:tcPr>
          <w:p>
            <w:pPr>
              <w:spacing w:after="0"/>
              <w:rPr>
                <w:rFonts w:ascii="Arial" w:cs="Arial" w:eastAsia="Arial" w:hAnsi="Arial"/>
                <w:sz w:val="18"/>
                <w:szCs w:val="18"/>
                <w:color w:val="0000FF"/>
                <w:w w:val="92"/>
              </w:rPr>
            </w:pPr>
            <w:hyperlink r:id="rId480">
              <w:r>
                <w:rPr>
                  <w:rFonts w:ascii="Arial" w:cs="Arial" w:eastAsia="Arial" w:hAnsi="Arial"/>
                  <w:sz w:val="18"/>
                  <w:szCs w:val="18"/>
                  <w:color w:val="0000FF"/>
                  <w:w w:val="92"/>
                </w:rPr>
                <w:t>BDO Seidman, LLP Preferability Letter (incorporated by reference to Exhibit 18.1 to Form 10-K of H&amp;E Equipment Services, Inc. (File No.</w:t>
              </w:r>
            </w:hyperlink>
          </w:p>
        </w:tc>
      </w:tr>
      <w:tr>
        <w:trPr>
          <w:trHeight w:val="196"/>
        </w:trPr>
        <w:tc>
          <w:tcPr>
            <w:tcW w:w="940" w:type="dxa"/>
            <w:vAlign w:val="bottom"/>
          </w:tcPr>
          <w:p>
            <w:pPr>
              <w:spacing w:after="0"/>
              <w:rPr>
                <w:sz w:val="17"/>
                <w:szCs w:val="17"/>
                <w:color w:val="auto"/>
              </w:rPr>
            </w:pPr>
          </w:p>
        </w:tc>
        <w:tc>
          <w:tcPr>
            <w:tcW w:w="10180" w:type="dxa"/>
            <w:vAlign w:val="bottom"/>
            <w:gridSpan w:val="20"/>
          </w:tcPr>
          <w:p>
            <w:pPr>
              <w:spacing w:after="0" w:line="195" w:lineRule="exact"/>
              <w:rPr>
                <w:rFonts w:ascii="Arial" w:cs="Arial" w:eastAsia="Arial" w:hAnsi="Arial"/>
                <w:sz w:val="18"/>
                <w:szCs w:val="18"/>
                <w:color w:val="0000FF"/>
              </w:rPr>
            </w:pPr>
            <w:hyperlink r:id="rId480">
              <w:r>
                <w:rPr>
                  <w:rFonts w:ascii="Arial" w:cs="Arial" w:eastAsia="Arial" w:hAnsi="Arial"/>
                  <w:sz w:val="18"/>
                  <w:szCs w:val="18"/>
                  <w:color w:val="0000FF"/>
                </w:rPr>
                <w:t>000-51759), filed March 7, 2008)</w:t>
              </w:r>
              <w:r>
                <w:rPr>
                  <w:rFonts w:ascii="Arial" w:cs="Arial" w:eastAsia="Arial" w:hAnsi="Arial"/>
                  <w:sz w:val="18"/>
                  <w:szCs w:val="18"/>
                  <w:color w:val="000000"/>
                </w:rPr>
                <w:t>.</w:t>
              </w:r>
            </w:hyperlink>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21.1</w:t>
            </w:r>
          </w:p>
        </w:tc>
        <w:tc>
          <w:tcPr>
            <w:tcW w:w="24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9"/>
              </w:rPr>
              <w:t>Subsidiaries of the registrant.*</w:t>
            </w:r>
          </w:p>
        </w:tc>
        <w:tc>
          <w:tcPr>
            <w:tcW w:w="7780" w:type="dxa"/>
            <w:vAlign w:val="bottom"/>
            <w:gridSpan w:val="17"/>
          </w:tcPr>
          <w:p>
            <w:pPr>
              <w:spacing w:after="0"/>
              <w:rPr>
                <w:sz w:val="24"/>
                <w:szCs w:val="24"/>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23.1</w:t>
            </w:r>
          </w:p>
        </w:tc>
        <w:tc>
          <w:tcPr>
            <w:tcW w:w="2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5"/>
              </w:rPr>
              <w:t>Consent of BDO USA, LLP.*</w:t>
            </w:r>
          </w:p>
        </w:tc>
        <w:tc>
          <w:tcPr>
            <w:tcW w:w="8000" w:type="dxa"/>
            <w:vAlign w:val="bottom"/>
            <w:gridSpan w:val="18"/>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31.1</w:t>
            </w:r>
          </w:p>
        </w:tc>
        <w:tc>
          <w:tcPr>
            <w:tcW w:w="10180" w:type="dxa"/>
            <w:vAlign w:val="bottom"/>
            <w:gridSpan w:val="20"/>
          </w:tcPr>
          <w:p>
            <w:pPr>
              <w:spacing w:after="0"/>
              <w:rPr>
                <w:sz w:val="20"/>
                <w:szCs w:val="20"/>
                <w:color w:val="auto"/>
              </w:rPr>
            </w:pPr>
            <w:r>
              <w:rPr>
                <w:rFonts w:ascii="Arial" w:cs="Arial" w:eastAsia="Arial" w:hAnsi="Arial"/>
                <w:sz w:val="18"/>
                <w:szCs w:val="18"/>
                <w:color w:val="0000FF"/>
              </w:rPr>
              <w:t>Certification Pursuant to Section 302 of the Sarbanes-Oxley Act of 2002.*</w:t>
            </w:r>
          </w:p>
        </w:tc>
      </w:tr>
      <w:tr>
        <w:trPr>
          <w:trHeight w:val="20"/>
        </w:trPr>
        <w:tc>
          <w:tcPr>
            <w:tcW w:w="940" w:type="dxa"/>
            <w:vAlign w:val="bottom"/>
          </w:tcPr>
          <w:p>
            <w:pPr>
              <w:spacing w:after="0" w:line="20" w:lineRule="exact"/>
              <w:rPr>
                <w:sz w:val="1"/>
                <w:szCs w:val="1"/>
                <w:color w:val="auto"/>
              </w:rPr>
            </w:pPr>
          </w:p>
        </w:tc>
        <w:tc>
          <w:tcPr>
            <w:tcW w:w="5360" w:type="dxa"/>
            <w:vAlign w:val="bottom"/>
            <w:tcBorders>
              <w:right w:val="single" w:sz="8" w:color="0000EE"/>
            </w:tcBorders>
            <w:gridSpan w:val="4"/>
            <w:shd w:val="clear" w:color="auto" w:fill="0000FF"/>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31.2</w:t>
            </w:r>
          </w:p>
        </w:tc>
        <w:tc>
          <w:tcPr>
            <w:tcW w:w="10180" w:type="dxa"/>
            <w:vAlign w:val="bottom"/>
            <w:gridSpan w:val="20"/>
          </w:tcPr>
          <w:p>
            <w:pPr>
              <w:spacing w:after="0"/>
              <w:rPr>
                <w:sz w:val="20"/>
                <w:szCs w:val="20"/>
                <w:color w:val="auto"/>
              </w:rPr>
            </w:pPr>
            <w:r>
              <w:rPr>
                <w:rFonts w:ascii="Arial" w:cs="Arial" w:eastAsia="Arial" w:hAnsi="Arial"/>
                <w:sz w:val="18"/>
                <w:szCs w:val="18"/>
                <w:color w:val="0000FF"/>
              </w:rPr>
              <w:t>Certification Pursuant to Section 302 of the Sarbanes-Oxley Act of 2002.*</w:t>
            </w:r>
          </w:p>
        </w:tc>
      </w:tr>
      <w:tr>
        <w:trPr>
          <w:trHeight w:val="20"/>
        </w:trPr>
        <w:tc>
          <w:tcPr>
            <w:tcW w:w="940" w:type="dxa"/>
            <w:vAlign w:val="bottom"/>
          </w:tcPr>
          <w:p>
            <w:pPr>
              <w:spacing w:after="0" w:line="20" w:lineRule="exact"/>
              <w:rPr>
                <w:sz w:val="1"/>
                <w:szCs w:val="1"/>
                <w:color w:val="auto"/>
              </w:rPr>
            </w:pPr>
          </w:p>
        </w:tc>
        <w:tc>
          <w:tcPr>
            <w:tcW w:w="5360" w:type="dxa"/>
            <w:vAlign w:val="bottom"/>
            <w:tcBorders>
              <w:right w:val="single" w:sz="8" w:color="0000EE"/>
            </w:tcBorders>
            <w:gridSpan w:val="4"/>
            <w:shd w:val="clear" w:color="auto" w:fill="0000FF"/>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r>
      <w:tr>
        <w:trPr>
          <w:trHeight w:val="371"/>
        </w:trPr>
        <w:tc>
          <w:tcPr>
            <w:tcW w:w="940" w:type="dxa"/>
            <w:vAlign w:val="bottom"/>
          </w:tcPr>
          <w:p>
            <w:pPr>
              <w:jc w:val="right"/>
              <w:ind w:right="450"/>
              <w:spacing w:after="0"/>
              <w:rPr>
                <w:sz w:val="20"/>
                <w:szCs w:val="20"/>
                <w:color w:val="auto"/>
              </w:rPr>
            </w:pPr>
            <w:r>
              <w:rPr>
                <w:rFonts w:ascii="Arial" w:cs="Arial" w:eastAsia="Arial" w:hAnsi="Arial"/>
                <w:sz w:val="18"/>
                <w:szCs w:val="18"/>
                <w:color w:val="auto"/>
              </w:rPr>
              <w:t>32.1</w:t>
            </w:r>
          </w:p>
        </w:tc>
        <w:tc>
          <w:tcPr>
            <w:tcW w:w="95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Certifications of Chief Executive Officer and Chief Financial Officer Pursuant to Section 906 of the Sarbanes-Oxley Act of 2002.**</w:t>
            </w:r>
          </w:p>
        </w:tc>
        <w:tc>
          <w:tcPr>
            <w:tcW w:w="680" w:type="dxa"/>
            <w:vAlign w:val="bottom"/>
            <w:gridSpan w:val="7"/>
          </w:tcPr>
          <w:p>
            <w:pPr>
              <w:spacing w:after="0"/>
              <w:rPr>
                <w:sz w:val="24"/>
                <w:szCs w:val="24"/>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right="3660" w:firstLine="21"/>
        <w:spacing w:after="0" w:line="375" w:lineRule="auto"/>
        <w:tabs>
          <w:tab w:leader="none" w:pos="9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05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Costs and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4"/>
              </w:rPr>
              <w:t>Deductions</w:t>
            </w: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End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of Year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76"/>
              <w:spacing w:after="0"/>
              <w:rPr>
                <w:sz w:val="20"/>
                <w:szCs w:val="20"/>
                <w:color w:val="auto"/>
              </w:rPr>
            </w:pPr>
            <w:r>
              <w:rPr>
                <w:rFonts w:ascii="Arial" w:cs="Arial" w:eastAsia="Arial" w:hAnsi="Arial"/>
                <w:sz w:val="14"/>
                <w:szCs w:val="14"/>
                <w:b w:val="1"/>
                <w:bCs w:val="1"/>
                <w:color w:val="auto"/>
                <w:w w:val="85"/>
              </w:rPr>
              <w:t>Expenses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of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Year Ended December 31, 2022</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0"/>
              <w:spacing w:after="0"/>
              <w:rPr>
                <w:sz w:val="20"/>
                <w:szCs w:val="20"/>
                <w:color w:val="auto"/>
              </w:rPr>
            </w:pPr>
            <w:r>
              <w:rPr>
                <w:rFonts w:ascii="Arial" w:cs="Arial" w:eastAsia="Arial" w:hAnsi="Arial"/>
                <w:sz w:val="18"/>
                <w:szCs w:val="18"/>
                <w:color w:val="auto"/>
              </w:rPr>
              <w:t>Allowance for doubtful accounts receivable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Allowance for inventory obsolescence</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(51 )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(856 )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0"/>
              <w:spacing w:after="0"/>
              <w:rPr>
                <w:sz w:val="20"/>
                <w:szCs w:val="20"/>
                <w:color w:val="auto"/>
              </w:rPr>
            </w:pPr>
            <w:r>
              <w:rPr>
                <w:rFonts w:ascii="Arial" w:cs="Arial" w:eastAsia="Arial" w:hAnsi="Arial"/>
                <w:sz w:val="18"/>
                <w:szCs w:val="18"/>
                <w:color w:val="auto"/>
              </w:rPr>
              <w:t>Allowance for doubtful accounts receivable (a)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(2,455 )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Allowance for inventory obsolescence (b)</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(331 )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(2,786 )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20" w:type="dxa"/>
            <w:vAlign w:val="bottom"/>
          </w:tcPr>
          <w:p>
            <w:pPr>
              <w:ind w:left="200"/>
              <w:spacing w:after="0"/>
              <w:rPr>
                <w:sz w:val="20"/>
                <w:szCs w:val="20"/>
                <w:color w:val="auto"/>
              </w:rPr>
            </w:pPr>
            <w:r>
              <w:rPr>
                <w:rFonts w:ascii="Arial" w:cs="Arial" w:eastAsia="Arial" w:hAnsi="Arial"/>
                <w:sz w:val="18"/>
                <w:szCs w:val="18"/>
                <w:color w:val="auto"/>
              </w:rPr>
              <w:t>Allowance for doubtful accounts receivable (a)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(4,513 )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Allowance for inventory obsolescence (b)</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(108 )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5,567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(4,621 )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-1489075</wp:posOffset>
            </wp:positionV>
            <wp:extent cx="76835" cy="1885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-1489075</wp:posOffset>
            </wp:positionV>
            <wp:extent cx="68580"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-1489075</wp:posOffset>
            </wp:positionV>
            <wp:extent cx="68580" cy="1885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1885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-838200</wp:posOffset>
            </wp:positionV>
            <wp:extent cx="76835" cy="1885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-838200</wp:posOffset>
            </wp:positionV>
            <wp:extent cx="68580" cy="1885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-838200</wp:posOffset>
            </wp:positionV>
            <wp:extent cx="68580" cy="1885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885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-187960</wp:posOffset>
            </wp:positionV>
            <wp:extent cx="76835" cy="1885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-187960</wp:posOffset>
            </wp:positionV>
            <wp:extent cx="68580" cy="1885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68580"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35" w:lineRule="exact"/>
        <w:rPr>
          <w:sz w:val="20"/>
          <w:szCs w:val="20"/>
          <w:color w:val="auto"/>
        </w:rPr>
      </w:pPr>
    </w:p>
    <w:p>
      <w:pPr>
        <w:ind w:left="1020" w:right="340" w:hanging="504"/>
        <w:spacing w:after="0" w:line="258"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Allowance for doubtful accounts receivables includes $252 related to discontinued operations for the balance at the beginning of the year ended December 31, 2021 and the balance at the end of the year ended December 31, 2020.</w:t>
      </w:r>
    </w:p>
    <w:p>
      <w:pPr>
        <w:ind w:left="1020" w:right="320" w:hanging="504"/>
        <w:spacing w:after="0" w:line="260"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Allowance for inventory obsolescence includes $120 related to discontinued operations for the balance at the beginning of the year ended December 31, 2021 and the balance at the end of the year ended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22, 2023.</w:t>
      </w:r>
    </w:p>
    <w:p>
      <w:pPr>
        <w:spacing w:after="0" w:line="18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H&amp;E EQUIPMENT SERVICES, INC.</w:t>
      </w:r>
    </w:p>
    <w:p>
      <w:pPr>
        <w:spacing w:after="0" w:line="25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151765</wp:posOffset>
            </wp:positionV>
            <wp:extent cx="26460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6">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23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Bradley W. Barber</w:t>
      </w:r>
    </w:p>
    <w:p>
      <w:pPr>
        <w:spacing w:after="0" w:line="25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Its: Chief Executive Officer and Director</w:t>
      </w:r>
    </w:p>
    <w:p>
      <w:pPr>
        <w:spacing w:after="0" w:line="200" w:lineRule="exact"/>
        <w:rPr>
          <w:sz w:val="20"/>
          <w:szCs w:val="20"/>
          <w:color w:val="auto"/>
        </w:rPr>
      </w:pPr>
    </w:p>
    <w:p>
      <w:pPr>
        <w:spacing w:after="0" w:line="362"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6"/>
                <w:szCs w:val="16"/>
                <w:color w:val="auto"/>
              </w:rPr>
            </w:pPr>
          </w:p>
        </w:tc>
        <w:tc>
          <w:tcPr>
            <w:tcW w:w="446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6"/>
                <w:szCs w:val="16"/>
                <w:color w:val="auto"/>
              </w:rPr>
            </w:pPr>
          </w:p>
        </w:tc>
        <w:tc>
          <w:tcPr>
            <w:tcW w:w="16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71"/>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Bradley W. Barber</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Bradley W. Barber</w:t>
            </w:r>
          </w:p>
        </w:tc>
        <w:tc>
          <w:tcPr>
            <w:tcW w:w="34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Leslie S. Magee</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Leslie S. Magee</w:t>
            </w:r>
          </w:p>
        </w:tc>
        <w:tc>
          <w:tcPr>
            <w:tcW w:w="34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Engquist</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Executive Chairman of the Board</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John M. Engquist</w:t>
            </w:r>
          </w:p>
        </w:tc>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Paul N. Arnold</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Paul N. Arnold</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Gary W. Bagley</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Gary W. Bagley</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Bruce C. Bruckmann</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Bruce C. Bruckmann</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Patrick L. Edsell</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Patrick L. Edsell</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Thomas J. Galligan III</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Thomas J. Galligan III</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Lawrence C. Karlson</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Lawrence C. Karlson</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Pr>
          <w:p>
            <w:pPr>
              <w:spacing w:after="0"/>
              <w:rPr>
                <w:sz w:val="20"/>
                <w:szCs w:val="20"/>
                <w:color w:val="auto"/>
              </w:rPr>
            </w:pPr>
            <w:r>
              <w:rPr>
                <w:rFonts w:ascii="Arial" w:cs="Arial" w:eastAsia="Arial" w:hAnsi="Arial"/>
                <w:sz w:val="18"/>
                <w:szCs w:val="18"/>
                <w:color w:val="auto"/>
              </w:rPr>
              <w:t>/s/ Mary Pat Thompson</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Mary Pat Thompson</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Jacob Thomas</w:t>
            </w:r>
          </w:p>
        </w:tc>
        <w:tc>
          <w:tcPr>
            <w:tcW w:w="34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February 22, 2023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Jacob Thomas</w:t>
            </w:r>
          </w:p>
        </w:tc>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800" w:type="dxa"/>
            <w:vAlign w:val="bottom"/>
            <w:gridSpan w:val="2"/>
          </w:tcPr>
          <w:p>
            <w:pPr>
              <w:jc w:val="right"/>
              <w:ind w:right="367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151515"/>
        </w:rPr>
        <w:t>Exhibit 3.19</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151515"/>
        </w:rPr>
        <w:t>ARTICLES OF AMENDMENT</w:t>
      </w:r>
    </w:p>
    <w:p>
      <w:pPr>
        <w:spacing w:after="0" w:line="229" w:lineRule="exact"/>
        <w:rPr>
          <w:sz w:val="20"/>
          <w:szCs w:val="20"/>
          <w:color w:val="auto"/>
        </w:rPr>
      </w:pPr>
    </w:p>
    <w:p>
      <w:pPr>
        <w:ind w:left="3400"/>
        <w:spacing w:after="0"/>
        <w:rPr>
          <w:sz w:val="20"/>
          <w:szCs w:val="20"/>
          <w:color w:val="auto"/>
        </w:rPr>
      </w:pPr>
      <w:r>
        <w:rPr>
          <w:rFonts w:ascii="Arial" w:cs="Arial" w:eastAsia="Arial" w:hAnsi="Arial"/>
          <w:sz w:val="18"/>
          <w:szCs w:val="18"/>
          <w:color w:val="151515"/>
        </w:rPr>
        <w:t>ARTICLE I - NAME AND PRINCIPAL OFFICE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BUSINESS ID 2001121800145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BUSINESS TYPE Domestic For-Profit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BUSINESS NAME ONE SOURCE EQUIPMENT RENTALS,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PRINCIPAL OFFICE ADDRESS 7500 Pecue Ln, Baton Rouge, LA, 70809,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DATE AMENDMENT WAS ADOPTED 10/03/2022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51515"/>
        </w:rPr>
        <w:t>Effective Date 10/03/2022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Effective Time 04:14PM</w:t>
      </w:r>
    </w:p>
    <w:p>
      <w:pPr>
        <w:spacing w:after="0" w:line="210" w:lineRule="exact"/>
        <w:rPr>
          <w:sz w:val="20"/>
          <w:szCs w:val="20"/>
          <w:color w:val="auto"/>
        </w:rPr>
      </w:pPr>
    </w:p>
    <w:p>
      <w:pPr>
        <w:ind w:left="4120"/>
        <w:spacing w:after="0"/>
        <w:rPr>
          <w:sz w:val="20"/>
          <w:szCs w:val="20"/>
          <w:color w:val="auto"/>
        </w:rPr>
      </w:pPr>
      <w:r>
        <w:rPr>
          <w:rFonts w:ascii="Arial" w:cs="Arial" w:eastAsia="Arial" w:hAnsi="Arial"/>
          <w:sz w:val="18"/>
          <w:szCs w:val="18"/>
          <w:color w:val="151515"/>
        </w:rPr>
        <w:t>ARTICLE III - PERIOD OF DURATION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DATE OF ADOPTION 10/01/2022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EXPIRATION DATE perpetual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51515"/>
        </w:rPr>
        <w:t>ARTICLE III - PRINCIPAL OFFICE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DATE OF ADOPTION 10/01/2022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PRINCIPAL OFFICE ADDRESS 7500 Pecue Ln, Baton Rouge, LA 70809, USA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51515"/>
        </w:rPr>
        <w:t>ARTICLE I - BUSINESS NAME 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DATE OF ADOPTION 10/01/2022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NEW BUSINESS NAME H&amp;E Equipment Services (Midwest), Inc.</w:t>
      </w:r>
    </w:p>
    <w:p>
      <w:pPr>
        <w:spacing w:after="0" w:line="210" w:lineRule="exact"/>
        <w:rPr>
          <w:sz w:val="20"/>
          <w:szCs w:val="20"/>
          <w:color w:val="auto"/>
        </w:rPr>
      </w:pPr>
    </w:p>
    <w:p>
      <w:pPr>
        <w:ind w:left="3540"/>
        <w:spacing w:after="0"/>
        <w:rPr>
          <w:sz w:val="20"/>
          <w:szCs w:val="20"/>
          <w:color w:val="auto"/>
        </w:rPr>
      </w:pPr>
      <w:r>
        <w:rPr>
          <w:rFonts w:ascii="Arial" w:cs="Arial" w:eastAsia="Arial" w:hAnsi="Arial"/>
          <w:sz w:val="18"/>
          <w:szCs w:val="18"/>
          <w:color w:val="151515"/>
        </w:rPr>
        <w:t>ARTICLE V - GOVERNING PERSON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DATE OF ADOPTION 10/01/2022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TITLE CEO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NAME Bradley W. Barber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ADDRESS 7500 Pecue Lane, Baton Rouge, LA 70809, USA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51515"/>
        </w:rPr>
        <w:t>TITLE CFO and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NAME Leslie S. Magee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ADDRESS 7500 Pecue Lane, Baton Rouge, LA 70809, USA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51515"/>
        </w:rPr>
        <w:t>TITLE COO and 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NAME John M. Engquist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ADDRESS 7500 Pecue Lane, Baton Rouge, LA 70809, USA</w:t>
      </w:r>
    </w:p>
    <w:p>
      <w:pPr>
        <w:spacing w:after="0" w:line="210" w:lineRule="exact"/>
        <w:rPr>
          <w:sz w:val="20"/>
          <w:szCs w:val="20"/>
          <w:color w:val="auto"/>
        </w:rPr>
      </w:pPr>
    </w:p>
    <w:p>
      <w:pPr>
        <w:ind w:left="4060"/>
        <w:spacing w:after="0"/>
        <w:rPr>
          <w:sz w:val="20"/>
          <w:szCs w:val="20"/>
          <w:color w:val="auto"/>
        </w:rPr>
      </w:pPr>
      <w:r>
        <w:rPr>
          <w:rFonts w:ascii="Arial" w:cs="Arial" w:eastAsia="Arial" w:hAnsi="Arial"/>
          <w:sz w:val="18"/>
          <w:szCs w:val="18"/>
          <w:color w:val="151515"/>
        </w:rPr>
        <w:t>ARTICLE I - 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51515"/>
        </w:rPr>
        <w:t>DATE OF ADOPTION 10/01/2022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MANNER OF ADOPTION AND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The shareholders of the Corporation entitled to vote in respect to the amendment, adopted the proposed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The amendment was adopted by: (Shareholder approval may be by either A or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51515"/>
        </w:rPr>
        <w:t>B. Unanimous written consent executed on 10/01/2022 and signed by all shareholders entitled to vote.</w:t>
      </w: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50" w:right="9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151515"/>
        </w:rPr>
        <w:t>SIGNATURE</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151515"/>
        </w:rPr>
        <w:t>THE MANNER OF THE ADOPTION OF THE ARTICLES OF BUSINESS AMENDMENT AND THE VOTE BY WHICH THEY WERE ADOPTED CONSTITUTE FULL LEGAL COMPLIANCE WITH THE PROVISIONS OF THE ACT, THE ARTICLES OF INCORPORATION, AND THE BYLAWS OF THE CORPORATION.</w:t>
      </w:r>
    </w:p>
    <w:p>
      <w:pPr>
        <w:spacing w:after="0" w:line="183"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151515"/>
        </w:rPr>
        <w:t>THE UNDERSIGNED OFFICER OF THIS CORPORATION EXISTING PURSUANT TO THE PROVISIONS OF THE INDIANA BUSINESS CORPORATION LAW DESIRES TO GIVE NOTICE OF CORPORATE ACTION EFFECTUATING BUSINESS AMENDMENT OF CERTAIN PROVISIONS OF ITS ARTICLES OF INCORPORATION.</w:t>
      </w:r>
    </w:p>
    <w:p>
      <w:pPr>
        <w:spacing w:after="0" w:line="1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151515"/>
        </w:rPr>
        <w:t>IN WITNESS WHEREOF, THE UNDERSIGNED HEREBY VERIFIES, SUBJECT TO THE PENALTIES OF PERJURY, THAT THE STATEMENTS CONTAINED HEREIN ARE TRUE, THIS DAY October 3, 2022.</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51515"/>
        </w:rPr>
        <w:t>THE UNDERSIGNED ACKNOWLEDGES THAT A PERSON COMMITS A CLASS A MISDEMEANOR BY SIGNING A DOCUMENT THAT THE PERSON KNOWS IS FALSE IN A MATERIAL RESPECT WITH THE INTENT THAT THE DOCUMENT BE DELIVERED TO THE SECRETARY OF STATE FOR FILING.</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151515"/>
        </w:rPr>
        <w:t>SIGNATURE Wesley Hebert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51515"/>
        </w:rPr>
        <w:t>TITLE Legal Representative</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151515"/>
        </w:rPr>
        <w:t>Business ID : 2001121800145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151515"/>
        </w:rPr>
        <w:t>Filing No. : 9576377</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5" w:name="page86"/>
    <w:bookmarkEnd w:id="85"/>
    <w:p>
      <w:pPr>
        <w:jc w:val="center"/>
        <w:ind w:right="80"/>
        <w:spacing w:after="0"/>
        <w:rPr>
          <w:sz w:val="20"/>
          <w:szCs w:val="20"/>
          <w:color w:val="auto"/>
        </w:rPr>
      </w:pPr>
      <w:r>
        <w:rPr>
          <w:rFonts w:ascii="Arial" w:cs="Arial" w:eastAsia="Arial" w:hAnsi="Arial"/>
          <w:sz w:val="18"/>
          <w:szCs w:val="18"/>
          <w:b w:val="1"/>
          <w:bCs w:val="1"/>
          <w:color w:val="151515"/>
        </w:rPr>
        <w:t>ONE SOURCE EQUIPMENT RENTALS,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181818"/>
        </w:rPr>
        <w:t>SECOND AMENDED AND RESTATED ARTICLES OF INCORPORATION</w:t>
      </w:r>
    </w:p>
    <w:p>
      <w:pPr>
        <w:spacing w:after="0" w:line="229" w:lineRule="exact"/>
        <w:rPr>
          <w:sz w:val="20"/>
          <w:szCs w:val="20"/>
          <w:color w:val="auto"/>
        </w:rPr>
      </w:pPr>
    </w:p>
    <w:p>
      <w:pPr>
        <w:ind w:right="60" w:firstLine="753"/>
        <w:spacing w:after="0" w:line="341" w:lineRule="auto"/>
        <w:rPr>
          <w:sz w:val="20"/>
          <w:szCs w:val="20"/>
          <w:color w:val="auto"/>
        </w:rPr>
      </w:pPr>
      <w:r>
        <w:rPr>
          <w:rFonts w:ascii="Arial" w:cs="Arial" w:eastAsia="Arial" w:hAnsi="Arial"/>
          <w:sz w:val="16"/>
          <w:szCs w:val="16"/>
          <w:color w:val="0F0F0F"/>
        </w:rPr>
        <w:t>One Source Equipment Rentals, Inc. (the "Corporation"), having been organized under the provisions of the Indiana Business Corporation Law, as amended (the "Act"), hereby sets forth its Second Amended and Restated Articles of Incorporation ("Articles of Incorporation") as follows: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0F0F0F"/>
        </w:rPr>
        <w:t>ARTICLE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0F0F0F"/>
        </w:rPr>
        <w:t>Name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101010"/>
        </w:rPr>
        <w:t>The name of the Corporation is One Source Equipment Rentals,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D0D0D"/>
        </w:rPr>
        <w:t>ARTICLE II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0D0D0D"/>
        </w:rPr>
        <w:t>Registered Office and Agent</w:t>
      </w:r>
    </w:p>
    <w:p>
      <w:pPr>
        <w:spacing w:after="0" w:line="210" w:lineRule="exact"/>
        <w:rPr>
          <w:sz w:val="20"/>
          <w:szCs w:val="20"/>
          <w:color w:val="auto"/>
        </w:rPr>
      </w:pPr>
    </w:p>
    <w:p>
      <w:pPr>
        <w:ind w:left="20" w:right="40" w:firstLine="744"/>
        <w:spacing w:after="0" w:line="277" w:lineRule="auto"/>
        <w:rPr>
          <w:sz w:val="20"/>
          <w:szCs w:val="20"/>
          <w:color w:val="auto"/>
        </w:rPr>
      </w:pPr>
      <w:r>
        <w:rPr>
          <w:rFonts w:ascii="Arial" w:cs="Arial" w:eastAsia="Arial" w:hAnsi="Arial"/>
          <w:sz w:val="18"/>
          <w:szCs w:val="18"/>
          <w:color w:val="0E0E0E"/>
        </w:rPr>
        <w:t>The street address of the Registered Office of the Corporation is 251 E. Ohio, STE 500, Indianapolis, Indiana 46204, and the name of the Corporation's Registered Agent at that office is Corporation Service Company.</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F0F0F"/>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F0F0F"/>
        </w:rPr>
        <w:t>Term of the Corporation</w:t>
      </w:r>
    </w:p>
    <w:p>
      <w:pPr>
        <w:spacing w:after="0" w:line="210" w:lineRule="exact"/>
        <w:rPr>
          <w:sz w:val="20"/>
          <w:szCs w:val="20"/>
          <w:color w:val="auto"/>
        </w:rPr>
      </w:pPr>
    </w:p>
    <w:p>
      <w:pPr>
        <w:ind w:left="780"/>
        <w:spacing w:after="0"/>
        <w:rPr>
          <w:sz w:val="20"/>
          <w:szCs w:val="20"/>
          <w:color w:val="auto"/>
        </w:rPr>
      </w:pPr>
      <w:r>
        <w:rPr>
          <w:rFonts w:ascii="Arial" w:cs="Arial" w:eastAsia="Arial" w:hAnsi="Arial"/>
          <w:sz w:val="18"/>
          <w:szCs w:val="18"/>
          <w:color w:val="0D0D0D"/>
        </w:rPr>
        <w:t>The term of existence of the Corporation shall be perpetual.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101010"/>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101010"/>
        </w:rPr>
        <w:t>Authorized Shares</w:t>
      </w:r>
    </w:p>
    <w:p>
      <w:pPr>
        <w:spacing w:after="0" w:line="210" w:lineRule="exact"/>
        <w:rPr>
          <w:sz w:val="20"/>
          <w:szCs w:val="20"/>
          <w:color w:val="auto"/>
        </w:rPr>
      </w:pPr>
    </w:p>
    <w:p>
      <w:pPr>
        <w:jc w:val="both"/>
        <w:ind w:left="40" w:right="20" w:firstLine="755"/>
        <w:spacing w:after="0" w:line="263" w:lineRule="auto"/>
        <w:rPr>
          <w:sz w:val="20"/>
          <w:szCs w:val="20"/>
          <w:color w:val="auto"/>
        </w:rPr>
      </w:pPr>
      <w:r>
        <w:rPr>
          <w:rFonts w:ascii="Arial" w:cs="Arial" w:eastAsia="Arial" w:hAnsi="Arial"/>
          <w:sz w:val="18"/>
          <w:szCs w:val="18"/>
          <w:color w:val="0E0E0E"/>
        </w:rPr>
        <w:t>Section 4.1. Number of Shares. The aggregate number of shares of capital stock which the Corporation has authority to issue is One Million (1,000,000) shares of no par value common stock. Each share shall entitle the registered holder thereof to one (1) vote. All shares shall have equal voting rights.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F0F0F"/>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0F0F0F"/>
        </w:rPr>
        <w:t>Board of Directors</w:t>
      </w:r>
    </w:p>
    <w:p>
      <w:pPr>
        <w:spacing w:after="0" w:line="210" w:lineRule="exact"/>
        <w:rPr>
          <w:sz w:val="20"/>
          <w:szCs w:val="20"/>
          <w:color w:val="auto"/>
        </w:rPr>
      </w:pPr>
    </w:p>
    <w:p>
      <w:pPr>
        <w:ind w:left="820"/>
        <w:spacing w:after="0"/>
        <w:rPr>
          <w:sz w:val="20"/>
          <w:szCs w:val="20"/>
          <w:color w:val="auto"/>
        </w:rPr>
      </w:pPr>
      <w:r>
        <w:rPr>
          <w:rFonts w:ascii="Arial" w:cs="Arial" w:eastAsia="Arial" w:hAnsi="Arial"/>
          <w:sz w:val="16"/>
          <w:szCs w:val="16"/>
          <w:u w:val="single" w:color="auto"/>
          <w:color w:val="0E0E0E"/>
        </w:rPr>
        <w:t>Section 5.1. Number of Directors</w:t>
      </w:r>
      <w:r>
        <w:rPr>
          <w:rFonts w:ascii="Arial" w:cs="Arial" w:eastAsia="Arial" w:hAnsi="Arial"/>
          <w:sz w:val="16"/>
          <w:szCs w:val="16"/>
          <w:color w:val="0E0E0E"/>
        </w:rPr>
        <w:t>. The Board of Directors of the Corporation shall be composed of at least one (1) but not more than fifteen</w:t>
      </w:r>
    </w:p>
    <w:p>
      <w:pPr>
        <w:spacing w:after="0" w:line="46" w:lineRule="exact"/>
        <w:rPr>
          <w:sz w:val="20"/>
          <w:szCs w:val="20"/>
          <w:color w:val="auto"/>
        </w:rPr>
      </w:pPr>
    </w:p>
    <w:p>
      <w:pPr>
        <w:ind w:left="40" w:firstLine="9"/>
        <w:spacing w:after="0" w:line="260" w:lineRule="auto"/>
        <w:tabs>
          <w:tab w:leader="none" w:pos="391" w:val="left"/>
        </w:tabs>
        <w:numPr>
          <w:ilvl w:val="0"/>
          <w:numId w:val="58"/>
        </w:numPr>
        <w:rPr>
          <w:rFonts w:ascii="Arial" w:cs="Arial" w:eastAsia="Arial" w:hAnsi="Arial"/>
          <w:sz w:val="18"/>
          <w:szCs w:val="18"/>
          <w:color w:val="0E0E0E"/>
        </w:rPr>
      </w:pPr>
      <w:r>
        <w:rPr>
          <w:rFonts w:ascii="Arial" w:cs="Arial" w:eastAsia="Arial" w:hAnsi="Arial"/>
          <w:sz w:val="18"/>
          <w:szCs w:val="18"/>
          <w:color w:val="0E0E0E"/>
        </w:rPr>
        <w:t>members. Each director shall hold office until his successor shall have been elected and qualified. The number of directors may be changed from time to time by the Bylaws of the Corporation to any number.</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D0D0D"/>
        </w:rPr>
        <w:t>Section 5.2. Qualifications of Directors</w:t>
      </w:r>
      <w:r>
        <w:rPr>
          <w:rFonts w:ascii="Arial" w:cs="Arial" w:eastAsia="Arial" w:hAnsi="Arial"/>
          <w:sz w:val="18"/>
          <w:szCs w:val="18"/>
          <w:color w:val="0D0D0D"/>
        </w:rPr>
        <w:t>. Directors are not required to be shareholders of the Corporation.</w:t>
      </w:r>
    </w:p>
    <w:p>
      <w:pPr>
        <w:spacing w:after="0" w:line="225" w:lineRule="exact"/>
        <w:rPr>
          <w:sz w:val="20"/>
          <w:szCs w:val="20"/>
          <w:color w:val="auto"/>
        </w:rPr>
      </w:pPr>
    </w:p>
    <w:p>
      <w:pPr>
        <w:ind w:right="40" w:firstLine="747"/>
        <w:spacing w:after="0" w:line="341" w:lineRule="auto"/>
        <w:rPr>
          <w:sz w:val="20"/>
          <w:szCs w:val="20"/>
          <w:color w:val="auto"/>
        </w:rPr>
      </w:pPr>
      <w:r>
        <w:rPr>
          <w:rFonts w:ascii="Arial" w:cs="Arial" w:eastAsia="Arial" w:hAnsi="Arial"/>
          <w:sz w:val="16"/>
          <w:szCs w:val="16"/>
          <w:u w:val="single" w:color="auto"/>
          <w:color w:val="auto"/>
        </w:rPr>
        <w:t>Section 5.3. Removal</w:t>
      </w:r>
      <w:r>
        <w:rPr>
          <w:rFonts w:ascii="Arial" w:cs="Arial" w:eastAsia="Arial" w:hAnsi="Arial"/>
          <w:sz w:val="16"/>
          <w:szCs w:val="16"/>
          <w:color w:val="auto"/>
        </w:rPr>
        <w:t>. Any director may be removed with or without cause only by the affirmative vote by the holders of a majority of the actual number of the outstanding shares entitled to vote for the election of directors at any meeting of such shareholders called for that purpose.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Provisions for Regulation of Business and Conduct of Affairs of the Corporation</w:t>
      </w:r>
    </w:p>
    <w:p>
      <w:pPr>
        <w:spacing w:after="0" w:line="210" w:lineRule="exact"/>
        <w:rPr>
          <w:sz w:val="20"/>
          <w:szCs w:val="20"/>
          <w:color w:val="auto"/>
        </w:rPr>
      </w:pPr>
    </w:p>
    <w:p>
      <w:pPr>
        <w:jc w:val="both"/>
        <w:ind w:left="20" w:right="20" w:firstLine="749"/>
        <w:spacing w:after="0" w:line="307" w:lineRule="auto"/>
        <w:rPr>
          <w:sz w:val="20"/>
          <w:szCs w:val="20"/>
          <w:color w:val="auto"/>
        </w:rPr>
      </w:pPr>
      <w:r>
        <w:rPr>
          <w:rFonts w:ascii="Arial" w:cs="Arial" w:eastAsia="Arial" w:hAnsi="Arial"/>
          <w:sz w:val="17"/>
          <w:szCs w:val="17"/>
          <w:u w:val="single" w:color="auto"/>
          <w:color w:val="auto"/>
        </w:rPr>
        <w:t>Section 6.1. Bylaws</w:t>
      </w:r>
      <w:r>
        <w:rPr>
          <w:rFonts w:ascii="Arial" w:cs="Arial" w:eastAsia="Arial" w:hAnsi="Arial"/>
          <w:sz w:val="17"/>
          <w:szCs w:val="17"/>
          <w:color w:val="auto"/>
        </w:rPr>
        <w:t>. The Board of Directors shall, by a majority vote of the actual number of directors elected and qualified from time to time, have the power, without the assent or vote of the shareholders, to make, alter, amend, or repeal the Bylaws of the Corporation.</w:t>
      </w:r>
    </w:p>
    <w:p>
      <w:pPr>
        <w:spacing w:after="0" w:line="147" w:lineRule="exact"/>
        <w:rPr>
          <w:sz w:val="20"/>
          <w:szCs w:val="20"/>
          <w:color w:val="auto"/>
        </w:rPr>
      </w:pPr>
    </w:p>
    <w:p>
      <w:pPr>
        <w:jc w:val="both"/>
        <w:ind w:left="20" w:right="20" w:firstLine="758"/>
        <w:spacing w:after="0" w:line="279" w:lineRule="auto"/>
        <w:rPr>
          <w:sz w:val="20"/>
          <w:szCs w:val="20"/>
          <w:color w:val="auto"/>
        </w:rPr>
      </w:pPr>
      <w:r>
        <w:rPr>
          <w:rFonts w:ascii="Arial" w:cs="Arial" w:eastAsia="Arial" w:hAnsi="Arial"/>
          <w:sz w:val="17"/>
          <w:szCs w:val="17"/>
          <w:u w:val="single" w:color="auto"/>
          <w:color w:val="auto"/>
        </w:rPr>
        <w:t>Section 6.2. Powers of Directors</w:t>
      </w:r>
      <w:r>
        <w:rPr>
          <w:rFonts w:ascii="Arial" w:cs="Arial" w:eastAsia="Arial" w:hAnsi="Arial"/>
          <w:sz w:val="17"/>
          <w:szCs w:val="17"/>
          <w:color w:val="auto"/>
        </w:rPr>
        <w:t>. In addition to the powers and the authority granted by these Articles of Incorporation, the Bylaws, or by statute expressly conferred, the Board of Directors of the Corporation is hereby authorized to exercise all powers and to do all acts and things as may be exercised or done under the laws of the State of Indiana by a corporation organized and existing under the provisions of the Act or any successor law, as then in effect and applicable to the Corporation and not specifically prohibited or limited by these Articles of Incorporation.</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215900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350" w:right="479" w:bottom="1440" w:gutter="0" w:footer="0" w:header="0"/>
        </w:sectPr>
      </w:pPr>
    </w:p>
    <w:bookmarkStart w:id="86" w:name="page87"/>
    <w:bookmarkEnd w:id="86"/>
    <w:p>
      <w:pPr>
        <w:ind w:left="53"/>
        <w:spacing w:after="0"/>
        <w:tabs>
          <w:tab w:leader="none" w:pos="1113" w:val="left"/>
        </w:tabs>
        <w:rPr>
          <w:sz w:val="20"/>
          <w:szCs w:val="20"/>
          <w:color w:val="auto"/>
        </w:rPr>
      </w:pPr>
      <w:r>
        <w:rPr>
          <w:rFonts w:ascii="Arial" w:cs="Arial" w:eastAsia="Arial" w:hAnsi="Arial"/>
          <w:sz w:val="18"/>
          <w:szCs w:val="18"/>
          <w:u w:val="single" w:color="auto"/>
          <w:color w:val="auto"/>
        </w:rPr>
        <w:t>Section 6.3.</w:t>
      </w:r>
      <w:r>
        <w:rPr>
          <w:sz w:val="20"/>
          <w:szCs w:val="20"/>
          <w:color w:val="auto"/>
        </w:rPr>
        <w:tab/>
      </w: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w:t>
      </w:r>
    </w:p>
    <w:p>
      <w:pPr>
        <w:spacing w:after="0" w:line="184" w:lineRule="exact"/>
        <w:rPr>
          <w:sz w:val="20"/>
          <w:szCs w:val="20"/>
          <w:color w:val="auto"/>
        </w:rPr>
      </w:pPr>
    </w:p>
    <w:p>
      <w:pPr>
        <w:ind w:left="833" w:hanging="833"/>
        <w:spacing w:after="0"/>
        <w:tabs>
          <w:tab w:leader="none" w:pos="83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6.3, the following terms shall have the following meanings:</w:t>
      </w:r>
    </w:p>
    <w:p>
      <w:pPr>
        <w:spacing w:after="0" w:line="197" w:lineRule="exact"/>
        <w:rPr>
          <w:rFonts w:ascii="Arial" w:cs="Arial" w:eastAsia="Arial" w:hAnsi="Arial"/>
          <w:sz w:val="18"/>
          <w:szCs w:val="18"/>
          <w:color w:val="auto"/>
        </w:rPr>
      </w:pPr>
    </w:p>
    <w:p>
      <w:pPr>
        <w:jc w:val="both"/>
        <w:ind w:left="1673" w:right="20" w:hanging="835"/>
        <w:spacing w:after="0" w:line="254" w:lineRule="auto"/>
        <w:tabs>
          <w:tab w:leader="none" w:pos="1673"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"Liabilities" and "Expenses" shall mean monetary obligations incurred by or on behalf of a director or officer in connection with the investigation, defense, or appeal of a Proceeding or in satisfying a claim thereunder and shall include, but shall not be limited to, attorneys' fees, paralegal fees, court costs, filing fees, fees and costs incurred in arbitration, mediation or other forms of alternative dispute resolution, costs of investigations, experts (including, without limitation, accounting, criminal and forensic experts) and disbursements, amounts of judgments, fines or penalties, excise taxes assessed with respect to an employee benefit plan, and amounts paid in settlement by or on behalf of a director or officer.</w:t>
      </w:r>
    </w:p>
    <w:p>
      <w:pPr>
        <w:spacing w:after="0" w:line="152" w:lineRule="exact"/>
        <w:rPr>
          <w:rFonts w:ascii="Arial" w:cs="Arial" w:eastAsia="Arial" w:hAnsi="Arial"/>
          <w:sz w:val="18"/>
          <w:szCs w:val="18"/>
          <w:color w:val="auto"/>
        </w:rPr>
      </w:pPr>
    </w:p>
    <w:p>
      <w:pPr>
        <w:jc w:val="both"/>
        <w:ind w:left="1673" w:hanging="835"/>
        <w:spacing w:after="0" w:line="263" w:lineRule="auto"/>
        <w:tabs>
          <w:tab w:leader="none" w:pos="1673" w:val="left"/>
        </w:tabs>
        <w:numPr>
          <w:ilvl w:val="1"/>
          <w:numId w:val="59"/>
        </w:numPr>
        <w:rPr>
          <w:rFonts w:ascii="Arial" w:cs="Arial" w:eastAsia="Arial" w:hAnsi="Arial"/>
          <w:sz w:val="18"/>
          <w:szCs w:val="18"/>
          <w:color w:val="auto"/>
        </w:rPr>
      </w:pPr>
      <w:r>
        <w:rPr>
          <w:rFonts w:ascii="Arial" w:cs="Arial" w:eastAsia="Arial" w:hAnsi="Arial"/>
          <w:sz w:val="18"/>
          <w:szCs w:val="18"/>
          <w:color w:val="auto"/>
        </w:rPr>
        <w:t>"Other Enterprise" shal1 mean any corporation, partnership, limited liability company, joint venture, trust, employee benefit plan, or other entity or enterprise, whether for profit or not, for which a director or officer is or was serving, at the request of the Corporation, as a director, officer, partner, trustee, employee, or agent.</w:t>
      </w:r>
    </w:p>
    <w:p>
      <w:pPr>
        <w:spacing w:after="0" w:line="142" w:lineRule="exact"/>
        <w:rPr>
          <w:rFonts w:ascii="Arial" w:cs="Arial" w:eastAsia="Arial" w:hAnsi="Arial"/>
          <w:sz w:val="18"/>
          <w:szCs w:val="18"/>
          <w:color w:val="auto"/>
        </w:rPr>
      </w:pPr>
    </w:p>
    <w:p>
      <w:pPr>
        <w:ind w:left="1673" w:hanging="835"/>
        <w:spacing w:after="0" w:line="277" w:lineRule="auto"/>
        <w:tabs>
          <w:tab w:leader="none" w:pos="167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"At the request of the Corporation" shall include a request made by resolution by the Board of Directors or by action of any corporate officer to any director or other officer of the Corporation.</w:t>
      </w:r>
    </w:p>
    <w:p>
      <w:pPr>
        <w:spacing w:after="0" w:line="142" w:lineRule="exact"/>
        <w:rPr>
          <w:rFonts w:ascii="Arial" w:cs="Arial" w:eastAsia="Arial" w:hAnsi="Arial"/>
          <w:sz w:val="18"/>
          <w:szCs w:val="18"/>
          <w:color w:val="auto"/>
        </w:rPr>
      </w:pPr>
    </w:p>
    <w:p>
      <w:pPr>
        <w:jc w:val="both"/>
        <w:ind w:left="1653" w:right="60" w:hanging="815"/>
        <w:spacing w:after="0" w:line="270" w:lineRule="auto"/>
        <w:tabs>
          <w:tab w:leader="none" w:pos="1653" w:val="left"/>
        </w:tabs>
        <w:numPr>
          <w:ilvl w:val="1"/>
          <w:numId w:val="59"/>
        </w:numPr>
        <w:rPr>
          <w:rFonts w:ascii="Arial" w:cs="Arial" w:eastAsia="Arial" w:hAnsi="Arial"/>
          <w:sz w:val="17"/>
          <w:szCs w:val="17"/>
          <w:color w:val="auto"/>
        </w:rPr>
      </w:pPr>
      <w:r>
        <w:rPr>
          <w:rFonts w:ascii="Arial" w:cs="Arial" w:eastAsia="Arial" w:hAnsi="Arial"/>
          <w:sz w:val="17"/>
          <w:szCs w:val="17"/>
          <w:color w:val="auto"/>
        </w:rPr>
        <w:t>"Proceeding" shall mean any claim, action, suit, or proceeding (whether brought against, by, or in the right of the Corporation or Other Enterprise or otherwise), civil, criminal, administrative, or investigative, whether formal or informal, including arbitration, mediation, or other forms of alternative dispute resolution and whether actual or threatened or in connection with an appeal relating thereto, in which a director or officer may become involved, as a party or otherwise, (A) by reason of him or her being or having been a director or officer of the Corporation (and, if applicable, an employee or agent of the Corporation) or a director, manager, officer, partner, trustee, employee, or agent of an Other Enterprise or arising out of his or her status as such, or (B) by reason of any past or future action taken or not taken by a director or officer in any such capacity, whether or not he or she continues to be such at the time he or she incurs Liabilities and Expenses under the Proceeding.</w:t>
      </w:r>
    </w:p>
    <w:p>
      <w:pPr>
        <w:spacing w:after="0" w:line="137" w:lineRule="exact"/>
        <w:rPr>
          <w:rFonts w:ascii="Arial" w:cs="Arial" w:eastAsia="Arial" w:hAnsi="Arial"/>
          <w:sz w:val="17"/>
          <w:szCs w:val="17"/>
          <w:color w:val="auto"/>
        </w:rPr>
      </w:pPr>
    </w:p>
    <w:p>
      <w:pPr>
        <w:jc w:val="both"/>
        <w:ind w:left="1653" w:right="40" w:hanging="815"/>
        <w:spacing w:after="0" w:line="270" w:lineRule="auto"/>
        <w:tabs>
          <w:tab w:leader="none" w:pos="1653" w:val="left"/>
        </w:tabs>
        <w:numPr>
          <w:ilvl w:val="1"/>
          <w:numId w:val="59"/>
        </w:numPr>
        <w:rPr>
          <w:rFonts w:ascii="Arial" w:cs="Arial" w:eastAsia="Arial" w:hAnsi="Arial"/>
          <w:sz w:val="17"/>
          <w:szCs w:val="17"/>
          <w:color w:val="auto"/>
        </w:rPr>
      </w:pPr>
      <w:r>
        <w:rPr>
          <w:rFonts w:ascii="Arial" w:cs="Arial" w:eastAsia="Arial" w:hAnsi="Arial"/>
          <w:sz w:val="17"/>
          <w:szCs w:val="17"/>
          <w:color w:val="auto"/>
        </w:rPr>
        <w:t>"Standard of Conduct" shall mean that a director or officer, based on facts then known to the director or officer, discharged the duties as a director or officer, including duties as a member of a committee, in good faith in what he or she reasonably believed to be in or not opposed to the best interests of the Corporation or Other Enterprise, as the case may be, and, in addition, in any criminal Proceeding had reasonable cause to believe his conduct was lawful or no reasonable cause to believe that his or her conduct was unlawful. The termination of any Proceeding, by judgment, order, settlement (whether with or without court approval), or conviction or upon a plea of guilty, shall not create a presumption that the director or officer did not meet the Standard of Conduct. The termination of any Proceeding by a consent decree or upon a plea of nolo contendere, or its equivalent, shall create the presumption that the director or officer met the Standard of Conduct.</w:t>
      </w:r>
    </w:p>
    <w:p>
      <w:pPr>
        <w:spacing w:after="0" w:line="137" w:lineRule="exact"/>
        <w:rPr>
          <w:rFonts w:ascii="Arial" w:cs="Arial" w:eastAsia="Arial" w:hAnsi="Arial"/>
          <w:sz w:val="17"/>
          <w:szCs w:val="17"/>
          <w:color w:val="auto"/>
        </w:rPr>
      </w:pPr>
    </w:p>
    <w:p>
      <w:pPr>
        <w:jc w:val="both"/>
        <w:ind w:left="833" w:right="40" w:hanging="833"/>
        <w:spacing w:after="0" w:line="263" w:lineRule="auto"/>
        <w:tabs>
          <w:tab w:leader="none" w:pos="83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If a director or officer is made a party to or threatened to be made a party to any Proceeding, or is involved as a witness or otherwise in, the Corporation shall indemnify the director or officer against Liabilities and Expenses incurred by him or her in connection with such Proceeding in the following circumstances:</w:t>
      </w:r>
    </w:p>
    <w:p>
      <w:pPr>
        <w:spacing w:after="0" w:line="155" w:lineRule="exact"/>
        <w:rPr>
          <w:rFonts w:ascii="Arial" w:cs="Arial" w:eastAsia="Arial" w:hAnsi="Arial"/>
          <w:sz w:val="18"/>
          <w:szCs w:val="18"/>
          <w:color w:val="auto"/>
        </w:rPr>
      </w:pPr>
    </w:p>
    <w:p>
      <w:pPr>
        <w:jc w:val="both"/>
        <w:ind w:left="1673" w:right="40" w:hanging="835"/>
        <w:spacing w:after="0" w:line="279" w:lineRule="auto"/>
        <w:tabs>
          <w:tab w:leader="none" w:pos="1673"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a director or officer has been wholly successful on the merits or otherwise with respect to any such Proceeding, he or she shall be entitled to indemnification for Liabilities and Expenses as a matter of right. If a Proceeding is terminated against the director or officer by consent decree or upon a plea of nolo contendere, or its equivalent, the director or officer shall not be deemed to have been "wholly successful" with respect to such Proceeding.</w:t>
      </w:r>
    </w:p>
    <w:p>
      <w:pPr>
        <w:spacing w:after="0" w:line="62" w:lineRule="exact"/>
        <w:rPr>
          <w:sz w:val="20"/>
          <w:szCs w:val="20"/>
          <w:color w:val="auto"/>
        </w:rPr>
      </w:pPr>
    </w:p>
    <w:p>
      <w:pPr>
        <w:ind w:left="473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215900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73"/>
          </w:cols>
          <w:pgMar w:left="1167" w:top="570" w:right="459" w:bottom="1440" w:gutter="0" w:footer="0" w:header="0"/>
        </w:sectPr>
      </w:pPr>
    </w:p>
    <w:bookmarkStart w:id="87" w:name="page88"/>
    <w:bookmarkEnd w:id="87"/>
    <w:p>
      <w:pPr>
        <w:jc w:val="both"/>
        <w:ind w:left="1673" w:right="140" w:hanging="835"/>
        <w:spacing w:after="0" w:line="268" w:lineRule="auto"/>
        <w:tabs>
          <w:tab w:leader="none" w:pos="16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all other situations, a director or officer shall be entitled to indemnification for Liabilities and Expenses as a matter of right unless the director or officer has breached or failed to perform his or her duties as a director or officer in compliance with the Standard of Conduct and, with respect to any action or failure to act by the director or officer which is at issue in such Proceeding, such action or failure to act constituted willful misconduct or recklessness. To be entitled to indemnification pursuant to this Section 6.3(b)(ii), the director or officer must notify the Corporation of the commencement of the Proceeding in accordance with Section 6.3(e) hereof and request indemnification. A review of the request for indemnification and the facts and circumstances underlying the Proceeding sha11 be made in accordance With one of the procedures described below, and the director or officer shall be entitled to indemnification as a matter of right unless, in accordance with such procedure, it is determined beyond a reasonable doubt that the director or officer breached or failed to perform the duties of the office in compliance with the Standard of Conduct, ru1d the breach or failure to perform constituted willful misconduct or recklessness. Any one of the following procedures may be used to make the review and determination of a director's or officer's request for indemnification under this Section 6.3(b)(ii):</w:t>
      </w:r>
    </w:p>
    <w:p>
      <w:pPr>
        <w:spacing w:after="0" w:line="155" w:lineRule="exact"/>
        <w:rPr>
          <w:rFonts w:ascii="Arial" w:cs="Arial" w:eastAsia="Arial" w:hAnsi="Arial"/>
          <w:sz w:val="17"/>
          <w:szCs w:val="17"/>
          <w:color w:val="auto"/>
        </w:rPr>
      </w:pPr>
    </w:p>
    <w:p>
      <w:pPr>
        <w:ind w:left="2513" w:hanging="835"/>
        <w:spacing w:after="0" w:line="277" w:lineRule="auto"/>
        <w:tabs>
          <w:tab w:leader="none" w:pos="25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are not parties to, or who have been wholly successful with respect to, such Proceeding; or</w:t>
      </w:r>
    </w:p>
    <w:p>
      <w:pPr>
        <w:spacing w:after="0" w:line="128" w:lineRule="exact"/>
        <w:rPr>
          <w:rFonts w:ascii="Arial" w:cs="Arial" w:eastAsia="Arial" w:hAnsi="Arial"/>
          <w:sz w:val="18"/>
          <w:szCs w:val="18"/>
          <w:color w:val="auto"/>
        </w:rPr>
      </w:pPr>
    </w:p>
    <w:p>
      <w:pPr>
        <w:jc w:val="both"/>
        <w:ind w:left="2513" w:hanging="835"/>
        <w:spacing w:after="0" w:line="259" w:lineRule="auto"/>
        <w:tabs>
          <w:tab w:leader="none" w:pos="25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 quorum cannot be obtained under Section 6.3(b)(ii)(A) hereof, by a majority vote of a committee duly designated by the Board of Directors (in the designation of which, directors who are parties to such Proceeding may participate), consisting solely of two or more directors who are not parties to, or who have been wholly successful with respect to, such Proceeding; or</w:t>
      </w:r>
    </w:p>
    <w:p>
      <w:pPr>
        <w:spacing w:after="0" w:line="144" w:lineRule="exact"/>
        <w:rPr>
          <w:rFonts w:ascii="Arial" w:cs="Arial" w:eastAsia="Arial" w:hAnsi="Arial"/>
          <w:sz w:val="18"/>
          <w:szCs w:val="18"/>
          <w:color w:val="auto"/>
        </w:rPr>
      </w:pPr>
    </w:p>
    <w:p>
      <w:pPr>
        <w:jc w:val="both"/>
        <w:ind w:left="2513" w:right="20" w:hanging="835"/>
        <w:spacing w:after="0" w:line="263" w:lineRule="auto"/>
        <w:tabs>
          <w:tab w:leader="none" w:pos="25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by independent legal counsel selected by a majority vote of the full Board of Directors (in which selection, directors who are parties to such Proceeding may participate) and which may be outside counsel regularly employed by the Corporation; or</w:t>
      </w:r>
    </w:p>
    <w:p>
      <w:pPr>
        <w:spacing w:after="0" w:line="155" w:lineRule="exact"/>
        <w:rPr>
          <w:rFonts w:ascii="Arial" w:cs="Arial" w:eastAsia="Arial" w:hAnsi="Arial"/>
          <w:sz w:val="18"/>
          <w:szCs w:val="18"/>
          <w:color w:val="auto"/>
        </w:rPr>
      </w:pPr>
    </w:p>
    <w:p>
      <w:pPr>
        <w:ind w:left="2513" w:hanging="835"/>
        <w:spacing w:after="0" w:line="277" w:lineRule="auto"/>
        <w:tabs>
          <w:tab w:leader="none" w:pos="25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by the shareholders of the Corporation, but shares owned by or voted under control of directors who are at the time parties to the proceeding may not be voted on the determination.</w:t>
      </w:r>
    </w:p>
    <w:p>
      <w:pPr>
        <w:spacing w:after="0" w:line="129" w:lineRule="exact"/>
        <w:rPr>
          <w:sz w:val="20"/>
          <w:szCs w:val="20"/>
          <w:color w:val="auto"/>
        </w:rPr>
      </w:pPr>
    </w:p>
    <w:p>
      <w:pPr>
        <w:ind w:left="413"/>
        <w:spacing w:after="0"/>
        <w:rPr>
          <w:sz w:val="20"/>
          <w:szCs w:val="20"/>
          <w:color w:val="auto"/>
        </w:rPr>
      </w:pPr>
      <w:r>
        <w:rPr>
          <w:rFonts w:ascii="Arial" w:cs="Arial" w:eastAsia="Arial" w:hAnsi="Arial"/>
          <w:sz w:val="17"/>
          <w:szCs w:val="17"/>
          <w:color w:val="auto"/>
        </w:rPr>
        <w:t>Any determination made in accordance with the above procedures shall be binding on the Corporation and the director or officer.</w:t>
      </w:r>
    </w:p>
    <w:p>
      <w:pPr>
        <w:spacing w:after="0" w:line="196" w:lineRule="exact"/>
        <w:rPr>
          <w:sz w:val="20"/>
          <w:szCs w:val="20"/>
          <w:color w:val="auto"/>
        </w:rPr>
      </w:pPr>
    </w:p>
    <w:p>
      <w:pPr>
        <w:ind w:left="1673" w:right="140" w:hanging="835"/>
        <w:spacing w:after="0" w:line="307" w:lineRule="auto"/>
        <w:tabs>
          <w:tab w:leader="none" w:pos="1673" w:val="left"/>
        </w:tabs>
        <w:numPr>
          <w:ilvl w:val="1"/>
          <w:numId w:val="61"/>
        </w:numPr>
        <w:rPr>
          <w:rFonts w:ascii="Arial" w:cs="Arial" w:eastAsia="Arial" w:hAnsi="Arial"/>
          <w:sz w:val="17"/>
          <w:szCs w:val="17"/>
          <w:color w:val="auto"/>
        </w:rPr>
      </w:pPr>
      <w:r>
        <w:rPr>
          <w:rFonts w:ascii="Arial" w:cs="Arial" w:eastAsia="Arial" w:hAnsi="Arial"/>
          <w:sz w:val="17"/>
          <w:szCs w:val="17"/>
          <w:color w:val="auto"/>
        </w:rPr>
        <w:t>If several claims, issues, or matters of action are involved, a director or officer may be entitled to indemnification as to some matters even though he or she is not entitled to indemnification as to other matters.</w:t>
      </w:r>
    </w:p>
    <w:p>
      <w:pPr>
        <w:spacing w:after="0" w:line="120" w:lineRule="exact"/>
        <w:rPr>
          <w:rFonts w:ascii="Arial" w:cs="Arial" w:eastAsia="Arial" w:hAnsi="Arial"/>
          <w:sz w:val="17"/>
          <w:szCs w:val="17"/>
          <w:color w:val="auto"/>
        </w:rPr>
      </w:pPr>
    </w:p>
    <w:p>
      <w:pPr>
        <w:jc w:val="both"/>
        <w:ind w:left="1673" w:right="120" w:hanging="835"/>
        <w:spacing w:after="0" w:line="263" w:lineRule="auto"/>
        <w:tabs>
          <w:tab w:leader="none" w:pos="167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indemnification herein provided shall be applicable to Proceedings made or commenced after the adoption of this Section 6.3 whether arising from acts or omissions to act which occurred before or after the adoption of this Section 6.3.</w:t>
      </w:r>
    </w:p>
    <w:p>
      <w:pPr>
        <w:spacing w:after="0" w:line="142" w:lineRule="exact"/>
        <w:rPr>
          <w:rFonts w:ascii="Arial" w:cs="Arial" w:eastAsia="Arial" w:hAnsi="Arial"/>
          <w:sz w:val="18"/>
          <w:szCs w:val="18"/>
          <w:color w:val="auto"/>
        </w:rPr>
      </w:pPr>
    </w:p>
    <w:p>
      <w:pPr>
        <w:jc w:val="both"/>
        <w:ind w:left="833" w:hanging="833"/>
        <w:spacing w:after="0" w:line="237" w:lineRule="auto"/>
        <w:tabs>
          <w:tab w:leader="none" w:pos="83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Prepaid Liabilities and Expenses.</w:t>
      </w:r>
      <w:r>
        <w:rPr>
          <w:rFonts w:ascii="Arial" w:cs="Arial" w:eastAsia="Arial" w:hAnsi="Arial"/>
          <w:sz w:val="18"/>
          <w:szCs w:val="18"/>
          <w:color w:val="auto"/>
        </w:rPr>
        <w:t xml:space="preserve"> TI1c Liabilities and Expenses which are incurred or are payable by a director or officer in connection with any Proceeding shall be paid by the Corporation in advance promptly after submission of proper evidence thereof to the Corporation, with the understanding and agreement between such director or officer and the Corporation that, in the event it shall ultimately be determined as provided herein that the director </w:t>
      </w:r>
      <w:r>
        <w:rPr>
          <w:rFonts w:ascii="Arial" w:cs="Arial" w:eastAsia="Arial" w:hAnsi="Arial"/>
          <w:sz w:val="24"/>
          <w:szCs w:val="24"/>
          <w:color w:val="auto"/>
          <w:vertAlign w:val="subscript"/>
        </w:rPr>
        <w:t>OT</w:t>
      </w:r>
      <w:r>
        <w:rPr>
          <w:rFonts w:ascii="Arial" w:cs="Arial" w:eastAsia="Arial" w:hAnsi="Arial"/>
          <w:sz w:val="18"/>
          <w:szCs w:val="18"/>
          <w:color w:val="auto"/>
        </w:rPr>
        <w:t xml:space="preserve"> officer was not entitled to be indemnified, or was not entit1ed to be fully indemnified, the director or officer shall repay to the Corporation such amount, </w:t>
      </w:r>
      <w:r>
        <w:rPr>
          <w:rFonts w:ascii="Arial" w:cs="Arial" w:eastAsia="Arial" w:hAnsi="Arial"/>
          <w:sz w:val="24"/>
          <w:szCs w:val="24"/>
          <w:color w:val="auto"/>
          <w:vertAlign w:val="subscript"/>
        </w:rPr>
        <w:t>OT</w:t>
      </w:r>
      <w:r>
        <w:rPr>
          <w:rFonts w:ascii="Arial" w:cs="Arial" w:eastAsia="Arial" w:hAnsi="Arial"/>
          <w:sz w:val="18"/>
          <w:szCs w:val="18"/>
          <w:color w:val="auto"/>
        </w:rPr>
        <w:t xml:space="preserve"> the appropriate portion thereof, so paid or advanced.</w:t>
      </w:r>
    </w:p>
    <w:p>
      <w:pPr>
        <w:spacing w:after="0" w:line="161" w:lineRule="exact"/>
        <w:rPr>
          <w:rFonts w:ascii="Arial" w:cs="Arial" w:eastAsia="Arial" w:hAnsi="Arial"/>
          <w:sz w:val="18"/>
          <w:szCs w:val="18"/>
          <w:color w:val="auto"/>
        </w:rPr>
      </w:pPr>
    </w:p>
    <w:p>
      <w:pPr>
        <w:ind w:left="833" w:hanging="833"/>
        <w:spacing w:after="0" w:line="277" w:lineRule="auto"/>
        <w:tabs>
          <w:tab w:leader="none" w:pos="83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Exceptions to Indemnification</w:t>
      </w:r>
      <w:r>
        <w:rPr>
          <w:rFonts w:ascii="Arial" w:cs="Arial" w:eastAsia="Arial" w:hAnsi="Arial"/>
          <w:sz w:val="18"/>
          <w:szCs w:val="18"/>
          <w:color w:val="auto"/>
        </w:rPr>
        <w:t>. Notwithstanding any other provisions of this Section 6.3 to the contrary, the Corporation shall not indemnify a director or officer:</w:t>
      </w:r>
    </w:p>
    <w:p>
      <w:pPr>
        <w:spacing w:after="0" w:line="169" w:lineRule="exact"/>
        <w:rPr>
          <w:rFonts w:ascii="Arial" w:cs="Arial" w:eastAsia="Arial" w:hAnsi="Arial"/>
          <w:sz w:val="18"/>
          <w:szCs w:val="18"/>
          <w:color w:val="auto"/>
        </w:rPr>
      </w:pPr>
    </w:p>
    <w:p>
      <w:pPr>
        <w:jc w:val="both"/>
        <w:ind w:left="1653" w:right="180" w:hanging="815"/>
        <w:spacing w:after="0" w:line="263" w:lineRule="auto"/>
        <w:tabs>
          <w:tab w:leader="none" w:pos="1653"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any Liabilities or Expenses for which payment is actually made to or on behalf of a director or officer under a valid and collectible insurance policy, except in respect of any excess beyond the amount of payment under such insurance policy; or</w:t>
      </w:r>
    </w:p>
    <w:p>
      <w:pPr>
        <w:spacing w:after="0" w:line="75" w:lineRule="exact"/>
        <w:rPr>
          <w:sz w:val="20"/>
          <w:szCs w:val="20"/>
          <w:color w:val="auto"/>
        </w:rPr>
      </w:pPr>
    </w:p>
    <w:p>
      <w:pPr>
        <w:ind w:left="473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215900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3"/>
          </w:cols>
          <w:pgMar w:left="1167" w:top="530" w:right="339" w:bottom="1440" w:gutter="0" w:footer="0" w:header="0"/>
        </w:sectPr>
      </w:pPr>
    </w:p>
    <w:bookmarkStart w:id="88" w:name="page89"/>
    <w:bookmarkEnd w:id="88"/>
    <w:p>
      <w:pPr>
        <w:jc w:val="both"/>
        <w:ind w:left="1653" w:right="160" w:hanging="815"/>
        <w:spacing w:after="0" w:line="263" w:lineRule="auto"/>
        <w:tabs>
          <w:tab w:leader="none" w:pos="1653"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any Liabilities or Expenses incurred in a suit or claim against the director or officer arising out of or based upon actions attributable to the director or officer in which the director or officer gained any personal profit or advantage to which he or she was not legally entitled.</w:t>
      </w:r>
    </w:p>
    <w:p>
      <w:pPr>
        <w:spacing w:after="0" w:line="142" w:lineRule="exact"/>
        <w:rPr>
          <w:rFonts w:ascii="Arial" w:cs="Arial" w:eastAsia="Arial" w:hAnsi="Arial"/>
          <w:sz w:val="18"/>
          <w:szCs w:val="18"/>
          <w:color w:val="auto"/>
        </w:rPr>
      </w:pPr>
    </w:p>
    <w:p>
      <w:pPr>
        <w:jc w:val="both"/>
        <w:ind w:left="833" w:right="160" w:hanging="833"/>
        <w:spacing w:after="0" w:line="296" w:lineRule="auto"/>
        <w:tabs>
          <w:tab w:leader="none" w:pos="83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Notification and Defense of Proceedings.</w:t>
      </w:r>
      <w:r>
        <w:rPr>
          <w:rFonts w:ascii="Arial" w:cs="Arial" w:eastAsia="Arial" w:hAnsi="Arial"/>
          <w:sz w:val="16"/>
          <w:szCs w:val="16"/>
          <w:color w:val="auto"/>
        </w:rPr>
        <w:t xml:space="preserve"> Promptly after receipt by a director or officer of notice of the commencement of any Proceeding, the director or officer will, if a request for indemnification in respect thereof is to be made against the Corporation under this Section 6.3, notify the Corporation of the commencement thereof, but the failure to so notify the Corporation will not relieve it from any obligation which it may have to the director or officer under this Section 6.3 or otherwise. With respect to any such Proceeding as to which the director or officer notifies the Corporation of the commencement thereof:</w:t>
      </w:r>
    </w:p>
    <w:p>
      <w:pPr>
        <w:spacing w:after="0" w:line="132" w:lineRule="exact"/>
        <w:rPr>
          <w:rFonts w:ascii="Arial" w:cs="Arial" w:eastAsia="Arial" w:hAnsi="Arial"/>
          <w:sz w:val="16"/>
          <w:szCs w:val="16"/>
          <w:color w:val="auto"/>
        </w:rPr>
      </w:pPr>
    </w:p>
    <w:p>
      <w:pPr>
        <w:ind w:left="1673" w:hanging="835"/>
        <w:spacing w:after="0"/>
        <w:tabs>
          <w:tab w:leader="none" w:pos="16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Corporation will be entitled to participate therein at its own expense; and</w:t>
      </w:r>
    </w:p>
    <w:p>
      <w:pPr>
        <w:spacing w:after="0" w:line="184" w:lineRule="exact"/>
        <w:rPr>
          <w:sz w:val="20"/>
          <w:szCs w:val="20"/>
          <w:color w:val="auto"/>
        </w:rPr>
      </w:pPr>
    </w:p>
    <w:p>
      <w:pPr>
        <w:jc w:val="both"/>
        <w:ind w:left="1673" w:hanging="835"/>
        <w:spacing w:after="0" w:line="290" w:lineRule="auto"/>
        <w:tabs>
          <w:tab w:leader="none" w:pos="1673"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otherwise provided below, to the extent that it may so desire, the Corporation, jointly with any other indemnifying party similarly notified, will be entitled to assume the defense thereof, with counsel reasonably satisfactory to the director or officer. After notice from the Corporation to the director or officer of its election to assume the defense of the director or officer in the Proceeding, the Corporation will not be liable to the director or officer under this Section 6.3 for any legal or other Expenses subsequently incurred by the director or officer in connection with the defense thereof other than reasonable costs of investigation or as otherwise provided below. The director or officer shall have the right to employ counsel in such Proceeding, but the Expenses of such counsel incurred after notice from the Corporation of its assumption of the defense thereof shall be at the expense of the director or officer unless:</w:t>
      </w:r>
    </w:p>
    <w:p>
      <w:pPr>
        <w:spacing w:after="0" w:line="122" w:lineRule="exact"/>
        <w:rPr>
          <w:rFonts w:ascii="Arial" w:cs="Arial" w:eastAsia="Arial" w:hAnsi="Arial"/>
          <w:sz w:val="16"/>
          <w:szCs w:val="16"/>
          <w:color w:val="auto"/>
        </w:rPr>
      </w:pPr>
    </w:p>
    <w:p>
      <w:pPr>
        <w:ind w:left="2493" w:hanging="815"/>
        <w:spacing w:after="0"/>
        <w:tabs>
          <w:tab w:leader="none" w:pos="249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employment of counsel by the director or officer has been authorized by the Corporation; or</w:t>
      </w:r>
    </w:p>
    <w:p>
      <w:pPr>
        <w:spacing w:after="0" w:line="197" w:lineRule="exact"/>
        <w:rPr>
          <w:rFonts w:ascii="Arial" w:cs="Arial" w:eastAsia="Arial" w:hAnsi="Arial"/>
          <w:sz w:val="18"/>
          <w:szCs w:val="18"/>
          <w:color w:val="auto"/>
        </w:rPr>
      </w:pPr>
    </w:p>
    <w:p>
      <w:pPr>
        <w:ind w:left="2513" w:right="140" w:hanging="835"/>
        <w:spacing w:after="0" w:line="307" w:lineRule="auto"/>
        <w:tabs>
          <w:tab w:leader="none" w:pos="2513"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director or officer shall have reasonably concluded that there may be a conflict of interest between the Corporation and the director or officer in the conduct of the defense of such Proceeding; or</w:t>
      </w:r>
    </w:p>
    <w:p>
      <w:pPr>
        <w:spacing w:after="0" w:line="106" w:lineRule="exact"/>
        <w:rPr>
          <w:rFonts w:ascii="Arial" w:cs="Arial" w:eastAsia="Arial" w:hAnsi="Arial"/>
          <w:sz w:val="17"/>
          <w:szCs w:val="17"/>
          <w:color w:val="auto"/>
        </w:rPr>
      </w:pPr>
    </w:p>
    <w:p>
      <w:pPr>
        <w:ind w:left="2513" w:hanging="835"/>
        <w:spacing w:after="0"/>
        <w:tabs>
          <w:tab w:leader="none" w:pos="2513"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Corporation shall not in fact have employed counsel to assume the defense of such Proceeding;</w:t>
      </w:r>
    </w:p>
    <w:p>
      <w:pPr>
        <w:spacing w:after="0" w:line="35" w:lineRule="exact"/>
        <w:rPr>
          <w:sz w:val="20"/>
          <w:szCs w:val="20"/>
          <w:color w:val="auto"/>
        </w:rPr>
      </w:pPr>
    </w:p>
    <w:p>
      <w:pPr>
        <w:jc w:val="both"/>
        <w:ind w:left="353" w:right="180" w:hanging="3"/>
        <w:spacing w:after="0" w:line="255" w:lineRule="auto"/>
        <w:rPr>
          <w:sz w:val="20"/>
          <w:szCs w:val="20"/>
          <w:color w:val="auto"/>
        </w:rPr>
      </w:pPr>
      <w:r>
        <w:rPr>
          <w:rFonts w:ascii="Arial" w:cs="Arial" w:eastAsia="Arial" w:hAnsi="Arial"/>
          <w:sz w:val="18"/>
          <w:szCs w:val="18"/>
          <w:color w:val="auto"/>
        </w:rPr>
        <w:t>in each of which cases the Expenses of counsel employed by the director or officer shall be paid by the Corporation, The Corporation shall not be entitled to assume the defense of any Proceeding brought by or in the right of the Corporation or as to which the director or officer shall have made the conclusion provided for in Section 6J(e)(ii)(B) hereof; and</w:t>
      </w:r>
    </w:p>
    <w:p>
      <w:pPr>
        <w:spacing w:after="0" w:line="148" w:lineRule="exact"/>
        <w:rPr>
          <w:sz w:val="20"/>
          <w:szCs w:val="20"/>
          <w:color w:val="auto"/>
        </w:rPr>
      </w:pPr>
    </w:p>
    <w:p>
      <w:pPr>
        <w:jc w:val="both"/>
        <w:ind w:left="1653" w:right="160" w:hanging="815"/>
        <w:spacing w:after="0" w:line="256" w:lineRule="auto"/>
        <w:tabs>
          <w:tab w:leader="none" w:pos="1653"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Corporation shall not be liable to indemnify a director or officer under this Section 6.3 for any amounts paid in settlement of any Proceeding without the Corporation's prior written consent. The Corporation shall not settle any action or claim in any manner which would impose any penalty or limitation on a director or officer without the director's or officer's prior written consent. Neither the Corporation nor a director or officer will unreasonably withhold its or his or her consent to any proposed settlement.</w:t>
      </w:r>
    </w:p>
    <w:p>
      <w:pPr>
        <w:spacing w:after="0" w:line="163" w:lineRule="exact"/>
        <w:rPr>
          <w:rFonts w:ascii="Arial" w:cs="Arial" w:eastAsia="Arial" w:hAnsi="Arial"/>
          <w:sz w:val="18"/>
          <w:szCs w:val="18"/>
          <w:color w:val="auto"/>
        </w:rPr>
      </w:pPr>
    </w:p>
    <w:p>
      <w:pPr>
        <w:jc w:val="both"/>
        <w:ind w:left="833" w:hanging="833"/>
        <w:spacing w:after="0" w:line="256" w:lineRule="auto"/>
        <w:tabs>
          <w:tab w:leader="none" w:pos="83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Other Rights and Remedies</w:t>
      </w:r>
      <w:r>
        <w:rPr>
          <w:rFonts w:ascii="Arial" w:cs="Arial" w:eastAsia="Arial" w:hAnsi="Arial"/>
          <w:sz w:val="18"/>
          <w:szCs w:val="18"/>
          <w:color w:val="auto"/>
        </w:rPr>
        <w:t>. The rights of indemnification provided under this Section 6.3 are not exhaustive and shall be in addition to any rights to which a director or officer may otherwise be entitled by contract or as a matter of law. Irrespective of the provisions of this Section 6.3, the Corporation may, at any time and from time to time, indemnify directors, officers, employees, and other persons to the full extent permitted by the provisions of the Indiana Business Corporation Law, or any successor law, as then in effect, whether with regard to past or future matters.</w:t>
      </w:r>
    </w:p>
    <w:p>
      <w:pPr>
        <w:spacing w:after="0" w:line="150" w:lineRule="exact"/>
        <w:rPr>
          <w:rFonts w:ascii="Arial" w:cs="Arial" w:eastAsia="Arial" w:hAnsi="Arial"/>
          <w:sz w:val="18"/>
          <w:szCs w:val="18"/>
          <w:color w:val="auto"/>
        </w:rPr>
      </w:pPr>
    </w:p>
    <w:p>
      <w:pPr>
        <w:ind w:left="833" w:right="20" w:hanging="833"/>
        <w:spacing w:after="0" w:line="277" w:lineRule="auto"/>
        <w:tabs>
          <w:tab w:leader="none" w:pos="83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Continuation of Indemnity</w:t>
      </w:r>
      <w:r>
        <w:rPr>
          <w:rFonts w:ascii="Arial" w:cs="Arial" w:eastAsia="Arial" w:hAnsi="Arial"/>
          <w:sz w:val="18"/>
          <w:szCs w:val="18"/>
          <w:color w:val="auto"/>
        </w:rPr>
        <w:t>. All obligations of the Corporation under this Section 6.3 shall survive the termination of a director's or officer's service in any capacity covered by this Section 6.3.</w:t>
      </w:r>
    </w:p>
    <w:p>
      <w:pPr>
        <w:spacing w:after="0" w:line="62" w:lineRule="exact"/>
        <w:rPr>
          <w:sz w:val="20"/>
          <w:szCs w:val="20"/>
          <w:color w:val="auto"/>
        </w:rPr>
      </w:pPr>
    </w:p>
    <w:p>
      <w:pPr>
        <w:ind w:left="473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215900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3"/>
          </w:cols>
          <w:pgMar w:left="1167" w:top="570" w:right="339" w:bottom="1440" w:gutter="0" w:footer="0" w:header="0"/>
        </w:sectPr>
      </w:pPr>
    </w:p>
    <w:bookmarkStart w:id="89" w:name="page90"/>
    <w:bookmarkEnd w:id="89"/>
    <w:p>
      <w:pPr>
        <w:jc w:val="both"/>
        <w:ind w:left="1560" w:hanging="833"/>
        <w:spacing w:after="0" w:line="275" w:lineRule="auto"/>
        <w:tabs>
          <w:tab w:leader="none" w:pos="15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director, officer, employee, or other person or any person who is or was serving at the request of the Corporation as a director, officer, manager, partner, trustee, employee, or agent of an Other Enterprise against any liability asserted against such person and incurred by such person in any capacity or arising out of his or her status as such, whether or not the Corporation would have the power to indemnify such person against such liability under the provisions of applicable law, this Section 6.3, or otherwise.</w:t>
      </w:r>
    </w:p>
    <w:p>
      <w:pPr>
        <w:spacing w:after="0" w:line="147" w:lineRule="exact"/>
        <w:rPr>
          <w:rFonts w:ascii="Arial" w:cs="Arial" w:eastAsia="Arial" w:hAnsi="Arial"/>
          <w:sz w:val="17"/>
          <w:szCs w:val="17"/>
          <w:color w:val="auto"/>
        </w:rPr>
      </w:pPr>
    </w:p>
    <w:p>
      <w:pPr>
        <w:ind w:left="1560" w:right="20" w:hanging="833"/>
        <w:spacing w:after="0" w:line="277" w:lineRule="auto"/>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Benefit</w:t>
      </w:r>
      <w:r>
        <w:rPr>
          <w:rFonts w:ascii="Arial" w:cs="Arial" w:eastAsia="Arial" w:hAnsi="Arial"/>
          <w:sz w:val="18"/>
          <w:szCs w:val="18"/>
          <w:color w:val="auto"/>
        </w:rPr>
        <w:t>. The provisions of this Section 6.3 shall inure to the benefit of each director or officer of the Corporation and his or her respective heirs, personal representatives, and assigns and the Corporation and its successors and assigns.</w:t>
      </w:r>
    </w:p>
    <w:p>
      <w:pPr>
        <w:spacing w:after="0" w:line="128" w:lineRule="exact"/>
        <w:rPr>
          <w:rFonts w:ascii="Arial" w:cs="Arial" w:eastAsia="Arial" w:hAnsi="Arial"/>
          <w:sz w:val="18"/>
          <w:szCs w:val="18"/>
          <w:color w:val="auto"/>
        </w:rPr>
      </w:pPr>
    </w:p>
    <w:p>
      <w:pPr>
        <w:jc w:val="both"/>
        <w:ind w:left="1560" w:hanging="833"/>
        <w:spacing w:after="0" w:line="259" w:lineRule="auto"/>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Section 6.3 shall, for any reason, be held to be invalid, illegal, or unenforceable in any respect, such invalidity, illegality, or unenforceability shall not affect any other provision of this Section 6.3, but this Section 6.3 shall be construed as if such invalid, illegal, or unenforceable provision or provisions bad never been contained herein.</w:t>
      </w:r>
    </w:p>
    <w:p>
      <w:pPr>
        <w:spacing w:after="0" w:line="144" w:lineRule="exact"/>
        <w:rPr>
          <w:rFonts w:ascii="Arial" w:cs="Arial" w:eastAsia="Arial" w:hAnsi="Arial"/>
          <w:sz w:val="18"/>
          <w:szCs w:val="18"/>
          <w:color w:val="auto"/>
        </w:rPr>
      </w:pPr>
    </w:p>
    <w:p>
      <w:pPr>
        <w:jc w:val="both"/>
        <w:ind w:left="1560" w:hanging="833"/>
        <w:spacing w:after="0" w:line="288" w:lineRule="auto"/>
        <w:tabs>
          <w:tab w:leader="none" w:pos="15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Contractual Rights and Applicability</w:t>
      </w:r>
      <w:r>
        <w:rPr>
          <w:rFonts w:ascii="Arial" w:cs="Arial" w:eastAsia="Arial" w:hAnsi="Arial"/>
          <w:sz w:val="16"/>
          <w:szCs w:val="16"/>
          <w:color w:val="auto"/>
        </w:rPr>
        <w:t xml:space="preserve">. It is the intent of this Section 6.3 to empower the Corporation to provide indemnification and advancement of Expenses to the fullest extent allowed by law. Except as otherwise expressly provided herein, indemnification shall be provided without regard to the legal or equitable theory of the Proceeding, including, without limitation, criminal claims, conspiracy claims, joint, several, comparative or sole negligence, breach of contract or warranty, strict liability, breach of fiduciary duty, mismanagement, corporate waste, or violation of federal or state securities law or any other laws, regulation or policy. The right to be indemnified or be reimbursed or advanced Expenses pursuant hereto (a) is a contract right based upon good and valuable consideration, pursuant to which the person entitled thereto may bring suit </w:t>
      </w:r>
      <w:r>
        <w:rPr>
          <w:rFonts w:ascii="Arial" w:cs="Arial" w:eastAsia="Arial" w:hAnsi="Arial"/>
          <w:sz w:val="16"/>
          <w:szCs w:val="16"/>
          <w:i w:val="1"/>
          <w:iCs w:val="1"/>
          <w:color w:val="auto"/>
        </w:rPr>
        <w:t>as</w:t>
      </w:r>
      <w:r>
        <w:rPr>
          <w:rFonts w:ascii="Arial" w:cs="Arial" w:eastAsia="Arial" w:hAnsi="Arial"/>
          <w:sz w:val="16"/>
          <w:szCs w:val="16"/>
          <w:color w:val="auto"/>
        </w:rPr>
        <w:t xml:space="preserve"> if the provisions thereof were set forth in a separate written contract between the person and the Corporation, (b) is intended to be retroactive and shall be available with respect to events occurring prior to the adoption hereof, (c) shall continue to exist after the rescission or restrictive modification hereof, and (d) shall inure to the benefit of the heirs and personal representatives of any present or former director or officer.</w:t>
      </w:r>
    </w:p>
    <w:p>
      <w:pPr>
        <w:spacing w:after="0" w:line="138" w:lineRule="exact"/>
        <w:rPr>
          <w:rFonts w:ascii="Arial" w:cs="Arial" w:eastAsia="Arial" w:hAnsi="Arial"/>
          <w:sz w:val="16"/>
          <w:szCs w:val="16"/>
          <w:color w:val="auto"/>
        </w:rPr>
      </w:pPr>
    </w:p>
    <w:p>
      <w:pPr>
        <w:jc w:val="both"/>
        <w:ind w:left="1560" w:hanging="833"/>
        <w:spacing w:after="0" w:line="263" w:lineRule="auto"/>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by the Board of Directors from time to time, grant rights to indemnification and advancement of Expenses to employees and agents of the Corporation to the full extent of the provisions of this Section 6.3 with respect to the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indemnification of, and advancement of Expenses to, directors or officers of the Corporation.</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Miscellaneous</w:t>
      </w:r>
    </w:p>
    <w:p>
      <w:pPr>
        <w:spacing w:after="0" w:line="210" w:lineRule="exact"/>
        <w:rPr>
          <w:sz w:val="20"/>
          <w:szCs w:val="20"/>
          <w:color w:val="auto"/>
        </w:rPr>
      </w:pPr>
    </w:p>
    <w:p>
      <w:pPr>
        <w:jc w:val="both"/>
        <w:ind w:right="140" w:firstLine="752"/>
        <w:spacing w:after="0" w:line="263" w:lineRule="auto"/>
        <w:rPr>
          <w:sz w:val="20"/>
          <w:szCs w:val="20"/>
          <w:color w:val="auto"/>
        </w:rPr>
      </w:pPr>
      <w:r>
        <w:rPr>
          <w:rFonts w:ascii="Arial" w:cs="Arial" w:eastAsia="Arial" w:hAnsi="Arial"/>
          <w:sz w:val="18"/>
          <w:szCs w:val="18"/>
          <w:u w:val="single" w:color="auto"/>
          <w:color w:val="auto"/>
        </w:rPr>
        <w:t>Section 7.1. Headings</w:t>
      </w:r>
      <w:r>
        <w:rPr>
          <w:rFonts w:ascii="Arial" w:cs="Arial" w:eastAsia="Arial" w:hAnsi="Arial"/>
          <w:sz w:val="18"/>
          <w:szCs w:val="18"/>
          <w:color w:val="auto"/>
        </w:rPr>
        <w:t>. The headings, captions, and section titles in these Articles of Incorporation have been inserted solely for ease of reference and are not intended to define, construe, describe, or limit the scope or intent of the terms, covenants, or restrictions of these Articles of Incorporation.</w:t>
      </w:r>
    </w:p>
    <w:p>
      <w:pPr>
        <w:spacing w:after="0" w:line="183" w:lineRule="exact"/>
        <w:rPr>
          <w:sz w:val="20"/>
          <w:szCs w:val="20"/>
          <w:color w:val="auto"/>
        </w:rPr>
      </w:pPr>
    </w:p>
    <w:p>
      <w:pPr>
        <w:jc w:val="both"/>
        <w:ind w:right="140" w:firstLine="756"/>
        <w:spacing w:after="0" w:line="311" w:lineRule="auto"/>
        <w:rPr>
          <w:sz w:val="20"/>
          <w:szCs w:val="20"/>
          <w:color w:val="auto"/>
        </w:rPr>
      </w:pPr>
      <w:r>
        <w:rPr>
          <w:rFonts w:ascii="Arial" w:cs="Arial" w:eastAsia="Arial" w:hAnsi="Arial"/>
          <w:sz w:val="16"/>
          <w:szCs w:val="16"/>
          <w:u w:val="single" w:color="auto"/>
          <w:color w:val="auto"/>
        </w:rPr>
        <w:t>Section 7.2. Certain References.</w:t>
      </w:r>
      <w:r>
        <w:rPr>
          <w:rFonts w:ascii="Arial" w:cs="Arial" w:eastAsia="Arial" w:hAnsi="Arial"/>
          <w:sz w:val="16"/>
          <w:szCs w:val="16"/>
          <w:color w:val="auto"/>
        </w:rPr>
        <w:t xml:space="preserve"> Whenever in these Articles of Incorporation a singular word is used, it shall also include the plural wherever required by the context and vice versa. All references in these Articles of Incorporation to the neuter, masculine, or feminine shall mean or apply to the appropriate gender wherever required by the context of these Articles of Incorporation or to properly identify the appropriate persons or parties.</w:t>
      </w:r>
    </w:p>
    <w:p>
      <w:pPr>
        <w:spacing w:after="0" w:line="1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Effective Date</w:t>
      </w:r>
    </w:p>
    <w:p>
      <w:pPr>
        <w:spacing w:after="0" w:line="210" w:lineRule="exact"/>
        <w:rPr>
          <w:sz w:val="20"/>
          <w:szCs w:val="20"/>
          <w:color w:val="auto"/>
        </w:rPr>
      </w:pPr>
    </w:p>
    <w:p>
      <w:pPr>
        <w:jc w:val="both"/>
        <w:ind w:left="20" w:right="140" w:firstLine="750"/>
        <w:spacing w:after="0" w:line="307" w:lineRule="auto"/>
        <w:rPr>
          <w:sz w:val="20"/>
          <w:szCs w:val="20"/>
          <w:color w:val="auto"/>
        </w:rPr>
      </w:pPr>
      <w:r>
        <w:rPr>
          <w:rFonts w:ascii="Arial" w:cs="Arial" w:eastAsia="Arial" w:hAnsi="Arial"/>
          <w:sz w:val="17"/>
          <w:szCs w:val="17"/>
          <w:color w:val="auto"/>
        </w:rPr>
        <w:t>The effective date of adoption of the Second Amended and Restated Articles of Incorporation of the Corporation shall be the date on which these Second Amended and Restated Articles of Incorporation are filed with the Office of the Secretary of State of the State of Indiana.</w:t>
      </w:r>
    </w:p>
    <w:p>
      <w:pPr>
        <w:spacing w:after="0" w:line="25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215900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530" w:right="339" w:bottom="1440" w:gutter="0" w:footer="0" w:header="0"/>
        </w:sectPr>
      </w:pPr>
    </w:p>
    <w:bookmarkStart w:id="90" w:name="page91"/>
    <w:bookmarkEnd w:id="90"/>
    <w:p>
      <w:pPr>
        <w:ind w:firstLine="747"/>
        <w:spacing w:after="0" w:line="281" w:lineRule="auto"/>
        <w:rPr>
          <w:sz w:val="20"/>
          <w:szCs w:val="20"/>
          <w:color w:val="auto"/>
        </w:rPr>
      </w:pPr>
      <w:r>
        <w:rPr>
          <w:rFonts w:ascii="Arial" w:cs="Arial" w:eastAsia="Arial" w:hAnsi="Arial"/>
          <w:sz w:val="18"/>
          <w:szCs w:val="18"/>
          <w:color w:val="auto"/>
        </w:rPr>
        <w:t xml:space="preserve">The undersigned officer of the Corporation hereby verifies, subject to penalty for perjury, </w:t>
      </w:r>
      <w:r>
        <w:rPr>
          <w:rFonts w:ascii="Arial" w:cs="Arial" w:eastAsia="Arial" w:hAnsi="Arial"/>
          <w:sz w:val="18"/>
          <w:szCs w:val="18"/>
          <w:b w:val="1"/>
          <w:bCs w:val="1"/>
          <w:color w:val="auto"/>
        </w:rPr>
        <w:t>that the foregoing constitutes the Second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Amended and Restated Articles of Incorporation of the </w:t>
      </w:r>
      <w:r>
        <w:rPr>
          <w:rFonts w:ascii="Arial" w:cs="Arial" w:eastAsia="Arial" w:hAnsi="Arial"/>
          <w:sz w:val="18"/>
          <w:szCs w:val="18"/>
          <w:color w:val="auto"/>
        </w:rPr>
        <w:t>Corporation as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744220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350" w:right="4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3.20</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AMENDED AND RESTATED</w:t>
      </w:r>
    </w:p>
    <w:p>
      <w:pPr>
        <w:spacing w:after="0" w:line="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BYLAWS OF</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H&amp;E EQUIPMENT SERVICES (MIDWEST), INC.</w:t>
      </w:r>
    </w:p>
    <w:p>
      <w:pPr>
        <w:spacing w:after="0" w:line="2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 Indiana corporation)</w:t>
      </w:r>
    </w:p>
    <w:p>
      <w:pPr>
        <w:spacing w:after="0" w:line="242"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6"/>
          <w:szCs w:val="16"/>
          <w:color w:val="auto"/>
        </w:rPr>
        <w:t>OFFICES</w:t>
      </w:r>
    </w:p>
    <w:p>
      <w:pPr>
        <w:spacing w:after="0" w:line="222" w:lineRule="exact"/>
        <w:rPr>
          <w:sz w:val="20"/>
          <w:szCs w:val="20"/>
          <w:color w:val="auto"/>
        </w:rPr>
      </w:pPr>
    </w:p>
    <w:p>
      <w:pPr>
        <w:jc w:val="both"/>
        <w:ind w:left="40" w:right="180" w:firstLine="719"/>
        <w:spacing w:after="0" w:line="252" w:lineRule="auto"/>
        <w:rPr>
          <w:sz w:val="20"/>
          <w:szCs w:val="20"/>
          <w:color w:val="auto"/>
        </w:rPr>
      </w:pPr>
      <w:r>
        <w:rPr>
          <w:rFonts w:ascii="Arial" w:cs="Arial" w:eastAsia="Arial" w:hAnsi="Arial"/>
          <w:sz w:val="20"/>
          <w:szCs w:val="20"/>
          <w:color w:val="262626"/>
        </w:rPr>
        <w:t xml:space="preserve">1.01 </w:t>
      </w:r>
      <w:r>
        <w:rPr>
          <w:rFonts w:ascii="Arial" w:cs="Arial" w:eastAsia="Arial" w:hAnsi="Arial"/>
          <w:sz w:val="17"/>
          <w:szCs w:val="17"/>
          <w:u w:val="single" w:color="auto"/>
          <w:color w:val="000000"/>
        </w:rPr>
        <w:t>Principal and Business Offices.</w:t>
      </w:r>
      <w:r>
        <w:rPr>
          <w:rFonts w:ascii="Arial" w:cs="Arial" w:eastAsia="Arial" w:hAnsi="Arial"/>
          <w:sz w:val="20"/>
          <w:szCs w:val="20"/>
          <w:color w:val="262626"/>
        </w:rPr>
        <w:t xml:space="preserve"> </w:t>
      </w:r>
      <w:r>
        <w:rPr>
          <w:rFonts w:ascii="Arial" w:cs="Arial" w:eastAsia="Arial" w:hAnsi="Arial"/>
          <w:sz w:val="17"/>
          <w:szCs w:val="17"/>
          <w:color w:val="000000"/>
        </w:rPr>
        <w:t>H&amp;E Equipment Services (Midwest), Inc. (the "Corporation") may have such principal and other</w:t>
      </w:r>
      <w:r>
        <w:rPr>
          <w:rFonts w:ascii="Arial" w:cs="Arial" w:eastAsia="Arial" w:hAnsi="Arial"/>
          <w:sz w:val="20"/>
          <w:szCs w:val="20"/>
          <w:color w:val="262626"/>
        </w:rPr>
        <w:t xml:space="preserve"> </w:t>
      </w:r>
      <w:r>
        <w:rPr>
          <w:rFonts w:ascii="Arial" w:cs="Arial" w:eastAsia="Arial" w:hAnsi="Arial"/>
          <w:sz w:val="17"/>
          <w:szCs w:val="17"/>
          <w:color w:val="000000"/>
        </w:rPr>
        <w:t>business offices, either within or without the State of Indiana, as the Board of Directors may designate or as the business of the corporation may require from time to time.</w:t>
      </w:r>
    </w:p>
    <w:p>
      <w:pPr>
        <w:spacing w:after="0" w:line="188" w:lineRule="exact"/>
        <w:rPr>
          <w:sz w:val="20"/>
          <w:szCs w:val="20"/>
          <w:color w:val="auto"/>
        </w:rPr>
      </w:pPr>
    </w:p>
    <w:p>
      <w:pPr>
        <w:jc w:val="both"/>
        <w:ind w:left="60" w:right="160" w:firstLine="719"/>
        <w:spacing w:after="0" w:line="255" w:lineRule="auto"/>
        <w:rPr>
          <w:sz w:val="20"/>
          <w:szCs w:val="20"/>
          <w:color w:val="auto"/>
        </w:rPr>
      </w:pPr>
      <w:r>
        <w:rPr>
          <w:rFonts w:ascii="Arial" w:cs="Arial" w:eastAsia="Arial" w:hAnsi="Arial"/>
          <w:sz w:val="20"/>
          <w:szCs w:val="20"/>
          <w:color w:val="262626"/>
        </w:rPr>
        <w:t xml:space="preserve">1.02 </w:t>
      </w:r>
      <w:r>
        <w:rPr>
          <w:rFonts w:ascii="Arial" w:cs="Arial" w:eastAsia="Arial" w:hAnsi="Arial"/>
          <w:sz w:val="17"/>
          <w:szCs w:val="17"/>
          <w:u w:val="single" w:color="auto"/>
          <w:color w:val="000000"/>
        </w:rPr>
        <w:t>Registered Office.</w:t>
      </w:r>
      <w:r>
        <w:rPr>
          <w:rFonts w:ascii="Arial" w:cs="Arial" w:eastAsia="Arial" w:hAnsi="Arial"/>
          <w:sz w:val="20"/>
          <w:szCs w:val="20"/>
          <w:color w:val="262626"/>
        </w:rPr>
        <w:t xml:space="preserve"> </w:t>
      </w:r>
      <w:r>
        <w:rPr>
          <w:rFonts w:ascii="Arial" w:cs="Arial" w:eastAsia="Arial" w:hAnsi="Arial"/>
          <w:sz w:val="17"/>
          <w:szCs w:val="17"/>
          <w:color w:val="000000"/>
        </w:rPr>
        <w:t>The registered office of the corporation required by law to be maintained in the State of Indiana may be, but need</w:t>
      </w:r>
      <w:r>
        <w:rPr>
          <w:rFonts w:ascii="Arial" w:cs="Arial" w:eastAsia="Arial" w:hAnsi="Arial"/>
          <w:sz w:val="20"/>
          <w:szCs w:val="20"/>
          <w:color w:val="262626"/>
        </w:rPr>
        <w:t xml:space="preserve"> </w:t>
      </w:r>
      <w:r>
        <w:rPr>
          <w:rFonts w:ascii="Arial" w:cs="Arial" w:eastAsia="Arial" w:hAnsi="Arial"/>
          <w:sz w:val="17"/>
          <w:szCs w:val="17"/>
          <w:color w:val="000000"/>
        </w:rPr>
        <w:t>not be, identical with the principal office in the State of Indiana, and the address of the registered office may be changed from time to time by the Board of Directors or by the registered agent. The business office of the registered agent of the corporation shall be identical to such registered office.</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ARTICLE II. SHAREHOLDERS</w:t>
      </w:r>
    </w:p>
    <w:p>
      <w:pPr>
        <w:spacing w:after="0" w:line="235" w:lineRule="exact"/>
        <w:rPr>
          <w:sz w:val="20"/>
          <w:szCs w:val="20"/>
          <w:color w:val="auto"/>
        </w:rPr>
      </w:pPr>
    </w:p>
    <w:p>
      <w:pPr>
        <w:jc w:val="both"/>
        <w:ind w:left="60" w:right="160" w:firstLine="704"/>
        <w:spacing w:after="0" w:line="255" w:lineRule="auto"/>
        <w:rPr>
          <w:sz w:val="20"/>
          <w:szCs w:val="20"/>
          <w:color w:val="auto"/>
        </w:rPr>
      </w:pPr>
      <w:r>
        <w:rPr>
          <w:rFonts w:ascii="Arial" w:cs="Arial" w:eastAsia="Arial" w:hAnsi="Arial"/>
          <w:sz w:val="20"/>
          <w:szCs w:val="20"/>
          <w:color w:val="262626"/>
        </w:rPr>
        <w:t xml:space="preserve">2.01 </w:t>
      </w:r>
      <w:r>
        <w:rPr>
          <w:rFonts w:ascii="Arial" w:cs="Arial" w:eastAsia="Arial" w:hAnsi="Arial"/>
          <w:sz w:val="17"/>
          <w:szCs w:val="17"/>
          <w:u w:val="single" w:color="auto"/>
          <w:color w:val="000000"/>
        </w:rPr>
        <w:t>Annual Meeting.</w:t>
      </w:r>
      <w:r>
        <w:rPr>
          <w:rFonts w:ascii="Arial" w:cs="Arial" w:eastAsia="Arial" w:hAnsi="Arial"/>
          <w:sz w:val="20"/>
          <w:szCs w:val="20"/>
          <w:color w:val="262626"/>
        </w:rPr>
        <w:t xml:space="preserve"> </w:t>
      </w:r>
      <w:r>
        <w:rPr>
          <w:rFonts w:ascii="Arial" w:cs="Arial" w:eastAsia="Arial" w:hAnsi="Arial"/>
          <w:sz w:val="17"/>
          <w:szCs w:val="17"/>
          <w:color w:val="000000"/>
        </w:rPr>
        <w:t>The annual meeting of the shareholders shall be held at 2:00 p.m., on the 31</w:t>
      </w:r>
      <w:r>
        <w:rPr>
          <w:rFonts w:ascii="Arial" w:cs="Arial" w:eastAsia="Arial" w:hAnsi="Arial"/>
          <w:sz w:val="12"/>
          <w:szCs w:val="12"/>
          <w:color w:val="000000"/>
        </w:rPr>
        <w:t>st</w:t>
      </w:r>
      <w:r>
        <w:rPr>
          <w:rFonts w:ascii="Arial" w:cs="Arial" w:eastAsia="Arial" w:hAnsi="Arial"/>
          <w:sz w:val="20"/>
          <w:szCs w:val="20"/>
          <w:color w:val="262626"/>
        </w:rPr>
        <w:t xml:space="preserve"> </w:t>
      </w:r>
      <w:r>
        <w:rPr>
          <w:rFonts w:ascii="Arial" w:cs="Arial" w:eastAsia="Arial" w:hAnsi="Arial"/>
          <w:sz w:val="17"/>
          <w:szCs w:val="17"/>
          <w:color w:val="000000"/>
        </w:rPr>
        <w:t>day of December each year, or at</w:t>
      </w:r>
      <w:r>
        <w:rPr>
          <w:rFonts w:ascii="Arial" w:cs="Arial" w:eastAsia="Arial" w:hAnsi="Arial"/>
          <w:sz w:val="20"/>
          <w:szCs w:val="20"/>
          <w:color w:val="262626"/>
        </w:rPr>
        <w:t xml:space="preserve"> </w:t>
      </w:r>
      <w:r>
        <w:rPr>
          <w:rFonts w:ascii="Arial" w:cs="Arial" w:eastAsia="Arial" w:hAnsi="Arial"/>
          <w:sz w:val="17"/>
          <w:szCs w:val="17"/>
          <w:color w:val="000000"/>
        </w:rPr>
        <w:t>such other time and date within thirty days before or after such date as may be fixed by or under the authority of the Board of Directors, for the purpose of electing directors and for the transaction of such other business as may come before the meeting. If the day fixed for the annual meeting shall be a legal holiday in the State of Indiana, such meeting shall be held on the next succeeding business day.</w:t>
      </w:r>
    </w:p>
    <w:p>
      <w:pPr>
        <w:spacing w:after="0" w:line="188" w:lineRule="exact"/>
        <w:rPr>
          <w:sz w:val="20"/>
          <w:szCs w:val="20"/>
          <w:color w:val="auto"/>
        </w:rPr>
      </w:pPr>
    </w:p>
    <w:p>
      <w:pPr>
        <w:jc w:val="both"/>
        <w:ind w:left="60" w:right="160" w:firstLine="704"/>
        <w:spacing w:after="0" w:line="275" w:lineRule="auto"/>
        <w:rPr>
          <w:sz w:val="20"/>
          <w:szCs w:val="20"/>
          <w:color w:val="auto"/>
        </w:rPr>
      </w:pPr>
      <w:r>
        <w:rPr>
          <w:rFonts w:ascii="Arial" w:cs="Arial" w:eastAsia="Arial" w:hAnsi="Arial"/>
          <w:sz w:val="19"/>
          <w:szCs w:val="19"/>
          <w:color w:val="262626"/>
        </w:rPr>
        <w:t xml:space="preserve">2.02 </w:t>
      </w:r>
      <w:r>
        <w:rPr>
          <w:rFonts w:ascii="Arial" w:cs="Arial" w:eastAsia="Arial" w:hAnsi="Arial"/>
          <w:sz w:val="16"/>
          <w:szCs w:val="16"/>
          <w:u w:val="single" w:color="auto"/>
          <w:color w:val="000000"/>
        </w:rPr>
        <w:t>Special Meetings.</w:t>
      </w:r>
      <w:r>
        <w:rPr>
          <w:rFonts w:ascii="Arial" w:cs="Arial" w:eastAsia="Arial" w:hAnsi="Arial"/>
          <w:sz w:val="19"/>
          <w:szCs w:val="19"/>
          <w:color w:val="262626"/>
        </w:rPr>
        <w:t xml:space="preserve"> </w:t>
      </w:r>
      <w:r>
        <w:rPr>
          <w:rFonts w:ascii="Arial" w:cs="Arial" w:eastAsia="Arial" w:hAnsi="Arial"/>
          <w:sz w:val="16"/>
          <w:szCs w:val="16"/>
          <w:color w:val="000000"/>
        </w:rPr>
        <w:t>Special meetings of the shareholders, for any purpose or purposes, unless otherwise prescribed by the Indiana</w:t>
      </w:r>
      <w:r>
        <w:rPr>
          <w:rFonts w:ascii="Arial" w:cs="Arial" w:eastAsia="Arial" w:hAnsi="Arial"/>
          <w:sz w:val="19"/>
          <w:szCs w:val="19"/>
          <w:color w:val="262626"/>
        </w:rPr>
        <w:t xml:space="preserve"> </w:t>
      </w:r>
      <w:r>
        <w:rPr>
          <w:rFonts w:ascii="Arial" w:cs="Arial" w:eastAsia="Arial" w:hAnsi="Arial"/>
          <w:sz w:val="16"/>
          <w:szCs w:val="16"/>
          <w:color w:val="000000"/>
        </w:rPr>
        <w:t>Business Corporation Law, may be called by the Board of Directors or the President. The corporation shall call a special meeting of shareholders in the event that the holders of at least 10% of all of the votes entitled to be cast on any issue proposed to be considered at the proposed special meeting sign, date and deliver to the corporation one or more written demands for the meeting describing one or more purposes for which it is to be held. The corporation shall give notice of such a special meeting within thirty days after the date that the demand is delivered to the corporation.</w:t>
      </w:r>
    </w:p>
    <w:p>
      <w:pPr>
        <w:spacing w:after="0" w:line="175" w:lineRule="exact"/>
        <w:rPr>
          <w:sz w:val="20"/>
          <w:szCs w:val="20"/>
          <w:color w:val="auto"/>
        </w:rPr>
      </w:pPr>
    </w:p>
    <w:p>
      <w:pPr>
        <w:jc w:val="both"/>
        <w:ind w:left="80" w:right="160" w:firstLine="694"/>
        <w:spacing w:after="0" w:line="252" w:lineRule="auto"/>
        <w:rPr>
          <w:sz w:val="20"/>
          <w:szCs w:val="20"/>
          <w:color w:val="auto"/>
        </w:rPr>
      </w:pPr>
      <w:r>
        <w:rPr>
          <w:rFonts w:ascii="Arial" w:cs="Arial" w:eastAsia="Arial" w:hAnsi="Arial"/>
          <w:sz w:val="20"/>
          <w:szCs w:val="20"/>
          <w:color w:val="262626"/>
        </w:rPr>
        <w:t xml:space="preserve">2.03 </w:t>
      </w:r>
      <w:r>
        <w:rPr>
          <w:rFonts w:ascii="Arial" w:cs="Arial" w:eastAsia="Arial" w:hAnsi="Arial"/>
          <w:sz w:val="17"/>
          <w:szCs w:val="17"/>
          <w:u w:val="single" w:color="auto"/>
          <w:color w:val="000000"/>
        </w:rPr>
        <w:t>Place of Meeting.</w:t>
      </w:r>
      <w:r>
        <w:rPr>
          <w:rFonts w:ascii="Arial" w:cs="Arial" w:eastAsia="Arial" w:hAnsi="Arial"/>
          <w:sz w:val="20"/>
          <w:szCs w:val="20"/>
          <w:color w:val="262626"/>
        </w:rPr>
        <w:t xml:space="preserve"> </w:t>
      </w:r>
      <w:r>
        <w:rPr>
          <w:rFonts w:ascii="Arial" w:cs="Arial" w:eastAsia="Arial" w:hAnsi="Arial"/>
          <w:sz w:val="17"/>
          <w:szCs w:val="17"/>
          <w:color w:val="000000"/>
        </w:rPr>
        <w:t>The Board of Directors may designate any place, either within or without the State of Indiana, as the place of</w:t>
      </w:r>
      <w:r>
        <w:rPr>
          <w:rFonts w:ascii="Arial" w:cs="Arial" w:eastAsia="Arial" w:hAnsi="Arial"/>
          <w:sz w:val="20"/>
          <w:szCs w:val="20"/>
          <w:color w:val="262626"/>
        </w:rPr>
        <w:t xml:space="preserve"> </w:t>
      </w:r>
      <w:r>
        <w:rPr>
          <w:rFonts w:ascii="Arial" w:cs="Arial" w:eastAsia="Arial" w:hAnsi="Arial"/>
          <w:sz w:val="17"/>
          <w:szCs w:val="17"/>
          <w:color w:val="000000"/>
        </w:rPr>
        <w:t>meeting for any annual or special meeting of shareholders. If no designation is made, the place of meeting shall be the principal office of the corporation. Any meeting may be adjourned to reconvene at any place designated by vote of the shares represented thereat.</w:t>
      </w:r>
    </w:p>
    <w:p>
      <w:pPr>
        <w:spacing w:after="0" w:line="161" w:lineRule="exact"/>
        <w:rPr>
          <w:sz w:val="20"/>
          <w:szCs w:val="20"/>
          <w:color w:val="auto"/>
        </w:rPr>
      </w:pPr>
    </w:p>
    <w:p>
      <w:pPr>
        <w:jc w:val="both"/>
        <w:ind w:left="80" w:right="160" w:firstLine="704"/>
        <w:spacing w:after="0" w:line="284" w:lineRule="auto"/>
        <w:rPr>
          <w:sz w:val="20"/>
          <w:szCs w:val="20"/>
          <w:color w:val="auto"/>
        </w:rPr>
      </w:pPr>
      <w:r>
        <w:rPr>
          <w:rFonts w:ascii="Arial" w:cs="Arial" w:eastAsia="Arial" w:hAnsi="Arial"/>
          <w:sz w:val="19"/>
          <w:szCs w:val="19"/>
          <w:color w:val="262626"/>
        </w:rPr>
        <w:t xml:space="preserve">2.04 </w:t>
      </w:r>
      <w:r>
        <w:rPr>
          <w:rFonts w:ascii="Arial" w:cs="Arial" w:eastAsia="Arial" w:hAnsi="Arial"/>
          <w:sz w:val="16"/>
          <w:szCs w:val="16"/>
          <w:u w:val="single" w:color="auto"/>
          <w:color w:val="000000"/>
        </w:rPr>
        <w:t>Notice of Meeting.</w:t>
      </w:r>
      <w:r>
        <w:rPr>
          <w:rFonts w:ascii="Arial" w:cs="Arial" w:eastAsia="Arial" w:hAnsi="Arial"/>
          <w:sz w:val="19"/>
          <w:szCs w:val="19"/>
          <w:color w:val="262626"/>
        </w:rPr>
        <w:t xml:space="preserve"> </w:t>
      </w:r>
      <w:r>
        <w:rPr>
          <w:rFonts w:ascii="Arial" w:cs="Arial" w:eastAsia="Arial" w:hAnsi="Arial"/>
          <w:sz w:val="16"/>
          <w:szCs w:val="16"/>
          <w:color w:val="000000"/>
        </w:rPr>
        <w:t>Written notice stating the date, time and place of any meeting of shareholders and, in case of a special meeting,</w:t>
      </w:r>
      <w:r>
        <w:rPr>
          <w:rFonts w:ascii="Arial" w:cs="Arial" w:eastAsia="Arial" w:hAnsi="Arial"/>
          <w:sz w:val="19"/>
          <w:szCs w:val="19"/>
          <w:color w:val="262626"/>
        </w:rPr>
        <w:t xml:space="preserve"> </w:t>
      </w:r>
      <w:r>
        <w:rPr>
          <w:rFonts w:ascii="Arial" w:cs="Arial" w:eastAsia="Arial" w:hAnsi="Arial"/>
          <w:sz w:val="16"/>
          <w:szCs w:val="16"/>
          <w:color w:val="000000"/>
        </w:rPr>
        <w:t xml:space="preserve">the purpose or purposes for which the meeting is called, shall be delivered not less than ten days nor more than sixty days before the date of the meeting (unless a different time is provided by the Indiana Business Corporation Law or the articles of incorporation), either personally or by mail, by or at the direction of the President or the Secretary, to each shareholder of record entitled to vote at such meeting and to such other persons as required by the Indiana Business Corporation Law. If mailed, such notice shall be deemed to be effective when deposited in the United States mail, addressed to the shareholder at his or her address as it appears on the stock record books of the corporation, with postage thereon prepaid. If an annual or special meeting of shareholders is adjourned to a different date, time or place, the corporation shall not be required to give notice of the new date, time or place if the new date, time or place is announced at the meeting before adjournment; </w:t>
      </w:r>
      <w:r>
        <w:rPr>
          <w:rFonts w:ascii="Arial" w:cs="Arial" w:eastAsia="Arial" w:hAnsi="Arial"/>
          <w:sz w:val="16"/>
          <w:szCs w:val="16"/>
          <w:u w:val="single" w:color="auto"/>
          <w:color w:val="000000"/>
        </w:rPr>
        <w:t>provided, however,</w:t>
      </w:r>
      <w:r>
        <w:rPr>
          <w:rFonts w:ascii="Arial" w:cs="Arial" w:eastAsia="Arial" w:hAnsi="Arial"/>
          <w:sz w:val="16"/>
          <w:szCs w:val="16"/>
          <w:color w:val="000000"/>
        </w:rPr>
        <w:t xml:space="preserve"> that if a new record date for an adjourned meeting is or must be fixed, the corporation shall give notice of the adjourned meeting to persons who are shareholders as of the new record date.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1F1F1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92" w:name="page93"/>
    <w:bookmarkEnd w:id="92"/>
    <w:p>
      <w:pPr>
        <w:jc w:val="both"/>
        <w:ind w:left="100" w:firstLine="719"/>
        <w:spacing w:after="0" w:line="260" w:lineRule="auto"/>
        <w:rPr>
          <w:sz w:val="20"/>
          <w:szCs w:val="20"/>
          <w:color w:val="auto"/>
        </w:rPr>
      </w:pPr>
      <w:r>
        <w:rPr>
          <w:rFonts w:ascii="Arial" w:cs="Arial" w:eastAsia="Arial" w:hAnsi="Arial"/>
          <w:sz w:val="20"/>
          <w:szCs w:val="20"/>
          <w:color w:val="262626"/>
        </w:rPr>
        <w:t xml:space="preserve">2.05 </w:t>
      </w:r>
      <w:r>
        <w:rPr>
          <w:rFonts w:ascii="Arial" w:cs="Arial" w:eastAsia="Arial" w:hAnsi="Arial"/>
          <w:sz w:val="17"/>
          <w:szCs w:val="17"/>
          <w:u w:val="single" w:color="auto"/>
          <w:color w:val="000000"/>
        </w:rPr>
        <w:t>Waiver of Notice.</w:t>
      </w:r>
      <w:r>
        <w:rPr>
          <w:rFonts w:ascii="Arial" w:cs="Arial" w:eastAsia="Arial" w:hAnsi="Arial"/>
          <w:sz w:val="20"/>
          <w:szCs w:val="20"/>
          <w:color w:val="262626"/>
        </w:rPr>
        <w:t xml:space="preserve"> </w:t>
      </w:r>
      <w:r>
        <w:rPr>
          <w:rFonts w:ascii="Arial" w:cs="Arial" w:eastAsia="Arial" w:hAnsi="Arial"/>
          <w:sz w:val="17"/>
          <w:szCs w:val="17"/>
          <w:color w:val="000000"/>
        </w:rPr>
        <w:t>A shareholder may waive any notice required by the Indiana Business Corporation Law, the articles of</w:t>
      </w:r>
      <w:r>
        <w:rPr>
          <w:rFonts w:ascii="Arial" w:cs="Arial" w:eastAsia="Arial" w:hAnsi="Arial"/>
          <w:sz w:val="20"/>
          <w:szCs w:val="20"/>
          <w:color w:val="262626"/>
        </w:rPr>
        <w:t xml:space="preserve"> </w:t>
      </w:r>
      <w:r>
        <w:rPr>
          <w:rFonts w:ascii="Arial" w:cs="Arial" w:eastAsia="Arial" w:hAnsi="Arial"/>
          <w:sz w:val="17"/>
          <w:szCs w:val="17"/>
          <w:color w:val="000000"/>
        </w:rPr>
        <w:t>incorporation or these bylaws before or after the date and time stated in the notice. The waiver shall be in writing and signed by the shareholder entitled to the notice, contain the same information that would have been required in the notice under applicable provisions of the Indiana Business Corporation law (except that the time and place of meeting need not be stated) and be delivered to the corporation for inclusion in the corporate records. A shareholder's attendance at a meeting, in person or by proxy, waives objection to all of the following: (a) lack of notice or defective notice of the meeting, unless the shareholder at the beginning of the meeting or promptly upon arrival objects to holding the meeting or transacting business at the meeting; and (b) consideration of a particular matter at the meeting that is not within the purpose described in the meeting notice, unless the shareholder objects to considering the matter when it is presented.</w:t>
      </w:r>
    </w:p>
    <w:p>
      <w:pPr>
        <w:spacing w:after="0" w:line="186" w:lineRule="exact"/>
        <w:rPr>
          <w:sz w:val="20"/>
          <w:szCs w:val="20"/>
          <w:color w:val="auto"/>
        </w:rPr>
      </w:pPr>
    </w:p>
    <w:p>
      <w:pPr>
        <w:jc w:val="both"/>
        <w:ind w:left="100" w:firstLine="719"/>
        <w:spacing w:after="0" w:line="262" w:lineRule="auto"/>
        <w:rPr>
          <w:sz w:val="20"/>
          <w:szCs w:val="20"/>
          <w:color w:val="auto"/>
        </w:rPr>
      </w:pPr>
      <w:r>
        <w:rPr>
          <w:rFonts w:ascii="Arial" w:cs="Arial" w:eastAsia="Arial" w:hAnsi="Arial"/>
          <w:sz w:val="20"/>
          <w:szCs w:val="20"/>
          <w:color w:val="262626"/>
        </w:rPr>
        <w:t xml:space="preserve">2.06 </w:t>
      </w:r>
      <w:r>
        <w:rPr>
          <w:rFonts w:ascii="Arial" w:cs="Arial" w:eastAsia="Arial" w:hAnsi="Arial"/>
          <w:sz w:val="17"/>
          <w:szCs w:val="17"/>
          <w:u w:val="single" w:color="auto"/>
          <w:color w:val="000000"/>
        </w:rPr>
        <w:t>Fixing of Record Date.</w:t>
      </w:r>
      <w:r>
        <w:rPr>
          <w:rFonts w:ascii="Arial" w:cs="Arial" w:eastAsia="Arial" w:hAnsi="Arial"/>
          <w:sz w:val="20"/>
          <w:szCs w:val="20"/>
          <w:color w:val="262626"/>
        </w:rPr>
        <w:t xml:space="preserve"> </w:t>
      </w:r>
      <w:r>
        <w:rPr>
          <w:rFonts w:ascii="Arial" w:cs="Arial" w:eastAsia="Arial" w:hAnsi="Arial"/>
          <w:sz w:val="17"/>
          <w:szCs w:val="17"/>
          <w:color w:val="000000"/>
        </w:rPr>
        <w:t>The Board of Directors may fix in advance a date as the record date for the purpose of determining</w:t>
      </w:r>
      <w:r>
        <w:rPr>
          <w:rFonts w:ascii="Arial" w:cs="Arial" w:eastAsia="Arial" w:hAnsi="Arial"/>
          <w:sz w:val="20"/>
          <w:szCs w:val="20"/>
          <w:color w:val="262626"/>
        </w:rPr>
        <w:t xml:space="preserve"> </w:t>
      </w:r>
      <w:r>
        <w:rPr>
          <w:rFonts w:ascii="Arial" w:cs="Arial" w:eastAsia="Arial" w:hAnsi="Arial"/>
          <w:sz w:val="17"/>
          <w:szCs w:val="17"/>
          <w:color w:val="000000"/>
        </w:rPr>
        <w:t>shareholders entitled to notice of and to vote at any meeting of shareholders, shareholders entitled to demand a special meeting as contemplated by Section 2.02 hereof, shareholders entitled to take any other action, or shareholders for any other purpose. Such record date shall not be more than seventy days prior to the date on which the particular action, requiring such determination of shareholders, is to be taken. If no record date is fixed by the Board of Directors or by the Indiana Business Corporation Law for the determination of shareholders entitled to notice of and to vote at a meeting of shareholders, the record date shall be the close of business on the day before the first notice is given to shareholders. If no record date is fixed by the Board of Directors or by the Indiana Business Corporation Law for the determination of shareholders entitled to demand a special meeting as contemplated in Section 2.02 hereof, the record date shall be the date that the first shareholder signs the demand. Except as provided by the Indiana Business Corporation Law for a court­ ordered adjournment, a determination of shareholders entitled to notice of and to vote at a meeting of shareholders is effective for any adjournment of such meeting unless the Board of Directors fixes a new record date, which it shall do if the meeting is adjourned to a date more than 120 days after the date fixed for the original meeting. The record date for determining shareholders entitled to a distribution (other than a distribution involving a purchase, redemption or other acquisition of the corporation's shares) or a share dividend is the date on which the Board of Directors authorized the distribution or share dividend, as the case may be, unless the Board of Directors fixes a different record date.</w:t>
      </w:r>
    </w:p>
    <w:p>
      <w:pPr>
        <w:spacing w:after="0" w:line="281" w:lineRule="exact"/>
        <w:rPr>
          <w:sz w:val="20"/>
          <w:szCs w:val="20"/>
          <w:color w:val="auto"/>
        </w:rPr>
      </w:pPr>
    </w:p>
    <w:p>
      <w:pPr>
        <w:jc w:val="both"/>
        <w:ind w:left="80" w:right="20" w:firstLine="704"/>
        <w:spacing w:after="0" w:line="261" w:lineRule="auto"/>
        <w:rPr>
          <w:sz w:val="20"/>
          <w:szCs w:val="20"/>
          <w:color w:val="auto"/>
        </w:rPr>
      </w:pPr>
      <w:r>
        <w:rPr>
          <w:rFonts w:ascii="Arial" w:cs="Arial" w:eastAsia="Arial" w:hAnsi="Arial"/>
          <w:sz w:val="20"/>
          <w:szCs w:val="20"/>
          <w:color w:val="262626"/>
        </w:rPr>
        <w:t xml:space="preserve">2.07 </w:t>
      </w:r>
      <w:r>
        <w:rPr>
          <w:rFonts w:ascii="Arial" w:cs="Arial" w:eastAsia="Arial" w:hAnsi="Arial"/>
          <w:sz w:val="17"/>
          <w:szCs w:val="17"/>
          <w:u w:val="single" w:color="auto"/>
          <w:color w:val="000000"/>
        </w:rPr>
        <w:t>Shareholders’ List for Meetings.</w:t>
      </w:r>
      <w:r>
        <w:rPr>
          <w:rFonts w:ascii="Arial" w:cs="Arial" w:eastAsia="Arial" w:hAnsi="Arial"/>
          <w:sz w:val="20"/>
          <w:szCs w:val="20"/>
          <w:color w:val="262626"/>
        </w:rPr>
        <w:t xml:space="preserve"> </w:t>
      </w:r>
      <w:r>
        <w:rPr>
          <w:rFonts w:ascii="Arial" w:cs="Arial" w:eastAsia="Arial" w:hAnsi="Arial"/>
          <w:sz w:val="17"/>
          <w:szCs w:val="17"/>
          <w:color w:val="000000"/>
        </w:rPr>
        <w:t>After a record date for a special or annual meeting of shareholders has been fixed, the</w:t>
      </w:r>
      <w:r>
        <w:rPr>
          <w:rFonts w:ascii="Arial" w:cs="Arial" w:eastAsia="Arial" w:hAnsi="Arial"/>
          <w:sz w:val="20"/>
          <w:szCs w:val="20"/>
          <w:color w:val="262626"/>
        </w:rPr>
        <w:t xml:space="preserve"> </w:t>
      </w:r>
      <w:r>
        <w:rPr>
          <w:rFonts w:ascii="Arial" w:cs="Arial" w:eastAsia="Arial" w:hAnsi="Arial"/>
          <w:sz w:val="17"/>
          <w:szCs w:val="17"/>
          <w:color w:val="000000"/>
        </w:rPr>
        <w:t>corporation shall prepare a list of the names of all of the shareholders entitled to notice of the meeting. The list shall be arranged by class or series of shares, if any, and show the address of and number of shares held by each shareholder. Such list shall be available for inspection by any shareholder, beginning two business days after notice of the meeting is given for which the list was prepared and continuing to the date of the meeting, at the corporation's principal office or at a place identified in the meeting notice in the city where the meeting will be held. A shareholder or his or her agent may, on written demand, inspect and, subject to the limitations imposed by the Indiana Business Corporation Law, copy the list, during regular business hours and at his or her expense, during the period that it is available for inspection pursuant to this Section 2.07.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a meeting of shareholders.</w:t>
      </w:r>
    </w:p>
    <w:p>
      <w:pPr>
        <w:spacing w:after="0" w:line="186" w:lineRule="exact"/>
        <w:rPr>
          <w:sz w:val="20"/>
          <w:szCs w:val="20"/>
          <w:color w:val="auto"/>
        </w:rPr>
      </w:pPr>
    </w:p>
    <w:p>
      <w:pPr>
        <w:jc w:val="both"/>
        <w:ind w:left="80" w:right="20" w:firstLine="719"/>
        <w:spacing w:after="0" w:line="286" w:lineRule="auto"/>
        <w:rPr>
          <w:sz w:val="20"/>
          <w:szCs w:val="20"/>
          <w:color w:val="auto"/>
        </w:rPr>
      </w:pPr>
      <w:r>
        <w:rPr>
          <w:rFonts w:ascii="Arial" w:cs="Arial" w:eastAsia="Arial" w:hAnsi="Arial"/>
          <w:sz w:val="19"/>
          <w:szCs w:val="19"/>
          <w:color w:val="262626"/>
        </w:rPr>
        <w:t xml:space="preserve">2.08 </w:t>
      </w:r>
      <w:r>
        <w:rPr>
          <w:rFonts w:ascii="Arial" w:cs="Arial" w:eastAsia="Arial" w:hAnsi="Arial"/>
          <w:sz w:val="16"/>
          <w:szCs w:val="16"/>
          <w:u w:val="single" w:color="auto"/>
          <w:color w:val="000000"/>
        </w:rPr>
        <w:t>Quorum and Voting Requirements.</w:t>
      </w:r>
      <w:r>
        <w:rPr>
          <w:rFonts w:ascii="Arial" w:cs="Arial" w:eastAsia="Arial" w:hAnsi="Arial"/>
          <w:sz w:val="19"/>
          <w:szCs w:val="19"/>
          <w:color w:val="262626"/>
        </w:rPr>
        <w:t xml:space="preserve"> </w:t>
      </w:r>
      <w:r>
        <w:rPr>
          <w:rFonts w:ascii="Arial" w:cs="Arial" w:eastAsia="Arial" w:hAnsi="Arial"/>
          <w:sz w:val="16"/>
          <w:szCs w:val="16"/>
          <w:color w:val="000000"/>
        </w:rPr>
        <w:t>Shares entitled to vote as a separate voting group may take action on a matter at a meeting only</w:t>
      </w:r>
      <w:r>
        <w:rPr>
          <w:rFonts w:ascii="Arial" w:cs="Arial" w:eastAsia="Arial" w:hAnsi="Arial"/>
          <w:sz w:val="19"/>
          <w:szCs w:val="19"/>
          <w:color w:val="262626"/>
        </w:rPr>
        <w:t xml:space="preserve"> </w:t>
      </w:r>
      <w:r>
        <w:rPr>
          <w:rFonts w:ascii="Arial" w:cs="Arial" w:eastAsia="Arial" w:hAnsi="Arial"/>
          <w:sz w:val="16"/>
          <w:szCs w:val="16"/>
          <w:color w:val="000000"/>
        </w:rPr>
        <w:t>if a quorum of those shares exists with respect to that matter. If the corporation has only one class of stock outstanding, such class shall constitute a separate voting group for purposes of this Section 2.08. Except as otherwise provided in the articles of incorporation, any bylaw adopted under authority granted in the articles of incorporation, or the Indiana Business Corporation Law, a majority of the votes entitled to be cast on the matter shall constitute a quorum of the voting group for action on that matter. Once a share is represented for any purpose at a meeting, other than for the purpose of objecting to holding the meeting or transacting business at the meeting, it is considered present for purposes of determining whether a</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1F1F1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352" w:right="459" w:bottom="1440" w:gutter="0" w:footer="0" w:header="0"/>
        </w:sectPr>
      </w:pPr>
    </w:p>
    <w:bookmarkStart w:id="93" w:name="page94"/>
    <w:bookmarkEnd w:id="93"/>
    <w:p>
      <w:pPr>
        <w:jc w:val="both"/>
        <w:ind w:left="80" w:right="20"/>
        <w:spacing w:after="0" w:line="269" w:lineRule="auto"/>
        <w:rPr>
          <w:sz w:val="20"/>
          <w:szCs w:val="20"/>
          <w:color w:val="auto"/>
        </w:rPr>
      </w:pPr>
      <w:r>
        <w:rPr>
          <w:rFonts w:ascii="Arial" w:cs="Arial" w:eastAsia="Arial" w:hAnsi="Arial"/>
          <w:sz w:val="17"/>
          <w:szCs w:val="17"/>
          <w:color w:val="auto"/>
        </w:rPr>
        <w:t>quorum exists for the remainder of the meeting and for any adjournment of that meeting unless a new record date is or must be set for the adjourned meeting. If a quorum exists, except in the case of the election of directors, action on a matter shall be approved if the votes cast within the voting group favoring the action exceed the votes cast opposing the action, unless the articles of incorporation, any bylaw adopted under authority granted in the articles of incorporation, or the Indiana Business Corporation Law requires a greater number of affirmative votes. Unless otherwise provided in the articles of incorporation, directors shall be elected by a plurality of the votes cast by the shares entitled to vote in the election of directors at a meeting at which a quorum is present. For purposes of this Section 2.08, "plurality" means that the individuals with the largest number of votes are elected as directors up to the maximum number of directors to be chosen at the meeting. Though less than a quorum of the outstanding votes of a voting group are represented at a meeting, a majority of the votes so represented may adjourn the meeting from time to time without further notice. At such adjourned meeting at which a quorum shall be present or represented, any business may be transacted which might have been transacted at the meeting as originally notified.</w:t>
      </w:r>
    </w:p>
    <w:p>
      <w:pPr>
        <w:spacing w:after="0" w:line="180" w:lineRule="exact"/>
        <w:rPr>
          <w:sz w:val="20"/>
          <w:szCs w:val="20"/>
          <w:color w:val="auto"/>
        </w:rPr>
      </w:pPr>
    </w:p>
    <w:p>
      <w:pPr>
        <w:jc w:val="both"/>
        <w:ind w:left="80" w:right="20" w:firstLine="704"/>
        <w:spacing w:after="0" w:line="255" w:lineRule="auto"/>
        <w:rPr>
          <w:sz w:val="20"/>
          <w:szCs w:val="20"/>
          <w:color w:val="auto"/>
        </w:rPr>
      </w:pPr>
      <w:r>
        <w:rPr>
          <w:rFonts w:ascii="Arial" w:cs="Arial" w:eastAsia="Arial" w:hAnsi="Arial"/>
          <w:sz w:val="20"/>
          <w:szCs w:val="20"/>
          <w:color w:val="262626"/>
        </w:rPr>
        <w:t xml:space="preserve">2.09 </w:t>
      </w:r>
      <w:r>
        <w:rPr>
          <w:rFonts w:ascii="Arial" w:cs="Arial" w:eastAsia="Arial" w:hAnsi="Arial"/>
          <w:sz w:val="17"/>
          <w:szCs w:val="17"/>
          <w:u w:val="single" w:color="auto"/>
          <w:color w:val="000000"/>
        </w:rPr>
        <w:t>Conduct of Meeting.</w:t>
      </w:r>
      <w:r>
        <w:rPr>
          <w:rFonts w:ascii="Arial" w:cs="Arial" w:eastAsia="Arial" w:hAnsi="Arial"/>
          <w:sz w:val="20"/>
          <w:szCs w:val="20"/>
          <w:color w:val="262626"/>
        </w:rPr>
        <w:t xml:space="preserve"> </w:t>
      </w:r>
      <w:r>
        <w:rPr>
          <w:rFonts w:ascii="Arial" w:cs="Arial" w:eastAsia="Arial" w:hAnsi="Arial"/>
          <w:sz w:val="17"/>
          <w:szCs w:val="17"/>
          <w:color w:val="000000"/>
        </w:rPr>
        <w:t>The President, and in his or her absence, a Vice President in the order provided under Section 4.07 hereof, and</w:t>
      </w:r>
      <w:r>
        <w:rPr>
          <w:rFonts w:ascii="Arial" w:cs="Arial" w:eastAsia="Arial" w:hAnsi="Arial"/>
          <w:sz w:val="20"/>
          <w:szCs w:val="20"/>
          <w:color w:val="262626"/>
        </w:rPr>
        <w:t xml:space="preserve"> </w:t>
      </w:r>
      <w:r>
        <w:rPr>
          <w:rFonts w:ascii="Arial" w:cs="Arial" w:eastAsia="Arial" w:hAnsi="Arial"/>
          <w:sz w:val="17"/>
          <w:szCs w:val="17"/>
          <w:color w:val="000000"/>
        </w:rPr>
        <w:t>in their absence, any person chosen by the shareholders present shall call the meeting of the shareholders to order and shall act as chairperson of the meeting, and the Secretary of the corporation shall act as secretary of all meetings of the shareholders, but, in the absence of the Secretary, the presiding officer may appoint any other person to act as secretary of the meeting.</w:t>
      </w:r>
    </w:p>
    <w:p>
      <w:pPr>
        <w:spacing w:after="0" w:line="283" w:lineRule="exact"/>
        <w:rPr>
          <w:sz w:val="20"/>
          <w:szCs w:val="20"/>
          <w:color w:val="auto"/>
        </w:rPr>
      </w:pPr>
    </w:p>
    <w:p>
      <w:pPr>
        <w:jc w:val="both"/>
        <w:ind w:left="100" w:firstLine="719"/>
        <w:spacing w:after="0" w:line="255" w:lineRule="auto"/>
        <w:rPr>
          <w:sz w:val="20"/>
          <w:szCs w:val="20"/>
          <w:color w:val="auto"/>
        </w:rPr>
      </w:pPr>
      <w:r>
        <w:rPr>
          <w:rFonts w:ascii="Arial" w:cs="Arial" w:eastAsia="Arial" w:hAnsi="Arial"/>
          <w:sz w:val="20"/>
          <w:szCs w:val="20"/>
          <w:color w:val="262626"/>
        </w:rPr>
        <w:t xml:space="preserve">2.10 </w:t>
      </w:r>
      <w:r>
        <w:rPr>
          <w:rFonts w:ascii="Arial" w:cs="Arial" w:eastAsia="Arial" w:hAnsi="Arial"/>
          <w:sz w:val="17"/>
          <w:szCs w:val="17"/>
          <w:u w:val="single" w:color="auto"/>
          <w:color w:val="000000"/>
        </w:rPr>
        <w:t>Proxies.</w:t>
      </w:r>
      <w:r>
        <w:rPr>
          <w:rFonts w:ascii="Arial" w:cs="Arial" w:eastAsia="Arial" w:hAnsi="Arial"/>
          <w:sz w:val="20"/>
          <w:szCs w:val="20"/>
          <w:color w:val="262626"/>
        </w:rPr>
        <w:t xml:space="preserve"> </w:t>
      </w:r>
      <w:r>
        <w:rPr>
          <w:rFonts w:ascii="Arial" w:cs="Arial" w:eastAsia="Arial" w:hAnsi="Arial"/>
          <w:sz w:val="17"/>
          <w:szCs w:val="17"/>
          <w:color w:val="000000"/>
        </w:rPr>
        <w:t>At all meetings of shareholders, a shareholder may vote his or her shares in person or by proxy. A shareholder may appoint</w:t>
      </w:r>
      <w:r>
        <w:rPr>
          <w:rFonts w:ascii="Arial" w:cs="Arial" w:eastAsia="Arial" w:hAnsi="Arial"/>
          <w:sz w:val="20"/>
          <w:szCs w:val="20"/>
          <w:color w:val="262626"/>
        </w:rPr>
        <w:t xml:space="preserve"> </w:t>
      </w:r>
      <w:r>
        <w:rPr>
          <w:rFonts w:ascii="Arial" w:cs="Arial" w:eastAsia="Arial" w:hAnsi="Arial"/>
          <w:sz w:val="17"/>
          <w:szCs w:val="17"/>
          <w:color w:val="000000"/>
        </w:rPr>
        <w:t>a proxy to vote or otherwise act for the shareholder by signing an appointment form, either personally or by his or her attorney-in-fact. An appointment of a proxy is effective when received by the Secretary or other officer or agent of the corporation authorized to tabulate votes. An appointment is valid for eleven months from the date of its signing unless a different period is expressly provided in the appointment form.</w:t>
      </w:r>
    </w:p>
    <w:p>
      <w:pPr>
        <w:spacing w:after="0" w:line="188" w:lineRule="exact"/>
        <w:rPr>
          <w:sz w:val="20"/>
          <w:szCs w:val="20"/>
          <w:color w:val="auto"/>
        </w:rPr>
      </w:pPr>
    </w:p>
    <w:p>
      <w:pPr>
        <w:jc w:val="both"/>
        <w:ind w:left="100" w:firstLine="704"/>
        <w:spacing w:after="0" w:line="242" w:lineRule="auto"/>
        <w:rPr>
          <w:sz w:val="20"/>
          <w:szCs w:val="20"/>
          <w:color w:val="auto"/>
        </w:rPr>
      </w:pPr>
      <w:r>
        <w:rPr>
          <w:rFonts w:ascii="Arial" w:cs="Arial" w:eastAsia="Arial" w:hAnsi="Arial"/>
          <w:sz w:val="20"/>
          <w:szCs w:val="20"/>
          <w:color w:val="262626"/>
        </w:rPr>
        <w:t xml:space="preserve">2.11 </w:t>
      </w:r>
      <w:r>
        <w:rPr>
          <w:rFonts w:ascii="Arial" w:cs="Arial" w:eastAsia="Arial" w:hAnsi="Arial"/>
          <w:sz w:val="17"/>
          <w:szCs w:val="17"/>
          <w:u w:val="single" w:color="auto"/>
          <w:color w:val="000000"/>
        </w:rPr>
        <w:t>Voting of Shares</w:t>
      </w:r>
      <w:r>
        <w:rPr>
          <w:rFonts w:ascii="Arial" w:cs="Arial" w:eastAsia="Arial" w:hAnsi="Arial"/>
          <w:sz w:val="17"/>
          <w:szCs w:val="17"/>
          <w:color w:val="000000"/>
        </w:rPr>
        <w:t>. Except as provided in the articles of incorporation or in the Indiana Business Corporation Law, each outstanding</w:t>
      </w:r>
      <w:r>
        <w:rPr>
          <w:rFonts w:ascii="Arial" w:cs="Arial" w:eastAsia="Arial" w:hAnsi="Arial"/>
          <w:sz w:val="20"/>
          <w:szCs w:val="20"/>
          <w:color w:val="262626"/>
        </w:rPr>
        <w:t xml:space="preserve"> </w:t>
      </w:r>
      <w:r>
        <w:rPr>
          <w:rFonts w:ascii="Arial" w:cs="Arial" w:eastAsia="Arial" w:hAnsi="Arial"/>
          <w:sz w:val="17"/>
          <w:szCs w:val="17"/>
          <w:color w:val="000000"/>
        </w:rPr>
        <w:t>share, regardless of class, is entitled to one vote on each matter voted on at a meeting of shareholders.</w:t>
      </w:r>
    </w:p>
    <w:p>
      <w:pPr>
        <w:spacing w:after="0" w:line="197" w:lineRule="exact"/>
        <w:rPr>
          <w:sz w:val="20"/>
          <w:szCs w:val="20"/>
          <w:color w:val="auto"/>
        </w:rPr>
      </w:pPr>
    </w:p>
    <w:p>
      <w:pPr>
        <w:jc w:val="both"/>
        <w:ind w:left="100" w:firstLine="719"/>
        <w:spacing w:after="0" w:line="255" w:lineRule="auto"/>
        <w:rPr>
          <w:sz w:val="20"/>
          <w:szCs w:val="20"/>
          <w:color w:val="auto"/>
        </w:rPr>
      </w:pPr>
      <w:r>
        <w:rPr>
          <w:rFonts w:ascii="Arial" w:cs="Arial" w:eastAsia="Arial" w:hAnsi="Arial"/>
          <w:sz w:val="20"/>
          <w:szCs w:val="20"/>
          <w:color w:val="262626"/>
        </w:rPr>
        <w:t xml:space="preserve">2.12 </w:t>
      </w:r>
      <w:r>
        <w:rPr>
          <w:rFonts w:ascii="Arial" w:cs="Arial" w:eastAsia="Arial" w:hAnsi="Arial"/>
          <w:sz w:val="17"/>
          <w:szCs w:val="17"/>
          <w:u w:val="single" w:color="auto"/>
          <w:color w:val="000000"/>
        </w:rPr>
        <w:t>Action Without Meeting.</w:t>
      </w:r>
      <w:r>
        <w:rPr>
          <w:rFonts w:ascii="Arial" w:cs="Arial" w:eastAsia="Arial" w:hAnsi="Arial"/>
          <w:sz w:val="20"/>
          <w:szCs w:val="20"/>
          <w:color w:val="262626"/>
        </w:rPr>
        <w:t xml:space="preserve"> </w:t>
      </w:r>
      <w:r>
        <w:rPr>
          <w:rFonts w:ascii="Arial" w:cs="Arial" w:eastAsia="Arial" w:hAnsi="Arial"/>
          <w:sz w:val="17"/>
          <w:szCs w:val="17"/>
          <w:color w:val="000000"/>
        </w:rPr>
        <w:t>Any action required or permitted by the articles of incorporation or these bylaws or any provision of the</w:t>
      </w:r>
      <w:r>
        <w:rPr>
          <w:rFonts w:ascii="Arial" w:cs="Arial" w:eastAsia="Arial" w:hAnsi="Arial"/>
          <w:sz w:val="20"/>
          <w:szCs w:val="20"/>
          <w:color w:val="262626"/>
        </w:rPr>
        <w:t xml:space="preserve"> </w:t>
      </w:r>
      <w:r>
        <w:rPr>
          <w:rFonts w:ascii="Arial" w:cs="Arial" w:eastAsia="Arial" w:hAnsi="Arial"/>
          <w:sz w:val="17"/>
          <w:szCs w:val="17"/>
          <w:color w:val="000000"/>
        </w:rPr>
        <w:t>Indiana Business Corporation Law to be taken at a meeting of the shareholders may be taken without a meeting and without action by the Board of Directors if a written consent or consents, describing the action so taken, is signed by all of the shareholders entitled to vote with respect to the subject matter thereof and delivered to the corporation for inclusion in the corporate records.</w:t>
      </w:r>
    </w:p>
    <w:p>
      <w:pPr>
        <w:spacing w:after="0" w:line="202" w:lineRule="exact"/>
        <w:rPr>
          <w:sz w:val="20"/>
          <w:szCs w:val="20"/>
          <w:color w:val="auto"/>
        </w:rPr>
      </w:pPr>
    </w:p>
    <w:p>
      <w:pPr>
        <w:jc w:val="both"/>
        <w:ind w:left="100" w:firstLine="719"/>
        <w:spacing w:after="0" w:line="257" w:lineRule="auto"/>
        <w:rPr>
          <w:sz w:val="20"/>
          <w:szCs w:val="20"/>
          <w:color w:val="auto"/>
        </w:rPr>
      </w:pPr>
      <w:r>
        <w:rPr>
          <w:rFonts w:ascii="Arial" w:cs="Arial" w:eastAsia="Arial" w:hAnsi="Arial"/>
          <w:sz w:val="20"/>
          <w:szCs w:val="20"/>
          <w:color w:val="262626"/>
        </w:rPr>
        <w:t xml:space="preserve">2.13 </w:t>
      </w:r>
      <w:r>
        <w:rPr>
          <w:rFonts w:ascii="Arial" w:cs="Arial" w:eastAsia="Arial" w:hAnsi="Arial"/>
          <w:sz w:val="17"/>
          <w:szCs w:val="17"/>
          <w:u w:val="single" w:color="auto"/>
          <w:color w:val="000000"/>
        </w:rPr>
        <w:t>Acceptance of Instruments Showing Shareholder Action.</w:t>
      </w:r>
      <w:r>
        <w:rPr>
          <w:rFonts w:ascii="Arial" w:cs="Arial" w:eastAsia="Arial" w:hAnsi="Arial"/>
          <w:sz w:val="20"/>
          <w:szCs w:val="20"/>
          <w:color w:val="262626"/>
        </w:rPr>
        <w:t xml:space="preserve"> </w:t>
      </w:r>
      <w:r>
        <w:rPr>
          <w:rFonts w:ascii="Arial" w:cs="Arial" w:eastAsia="Arial" w:hAnsi="Arial"/>
          <w:sz w:val="17"/>
          <w:szCs w:val="17"/>
          <w:color w:val="000000"/>
        </w:rPr>
        <w:t>If the name signed on a vote, consent, waiver or proxy appointment</w:t>
      </w:r>
      <w:r>
        <w:rPr>
          <w:rFonts w:ascii="Arial" w:cs="Arial" w:eastAsia="Arial" w:hAnsi="Arial"/>
          <w:sz w:val="20"/>
          <w:szCs w:val="20"/>
          <w:color w:val="262626"/>
        </w:rPr>
        <w:t xml:space="preserve"> </w:t>
      </w:r>
      <w:r>
        <w:rPr>
          <w:rFonts w:ascii="Arial" w:cs="Arial" w:eastAsia="Arial" w:hAnsi="Arial"/>
          <w:sz w:val="17"/>
          <w:szCs w:val="17"/>
          <w:color w:val="000000"/>
        </w:rPr>
        <w:t>corresponds to the name of a shareholder, the corporation, if acting in good faith, may accept the vote, consent, waiver or proxy appointment and give it effect as the act of a shareholder. If the name signed on a vote, consent, waiver or proxy appointment does not correspond to the name of a shareholder, the corporation, if acting in good faith, may accept the vote, consent, waiver or proxy appointment and give it effect as the act of the shareholder if any of the following apply:</w:t>
      </w:r>
    </w:p>
    <w:p>
      <w:pPr>
        <w:spacing w:after="0" w:line="203" w:lineRule="exact"/>
        <w:rPr>
          <w:sz w:val="20"/>
          <w:szCs w:val="20"/>
          <w:color w:val="auto"/>
        </w:rPr>
      </w:pPr>
    </w:p>
    <w:p>
      <w:pPr>
        <w:ind w:left="2220" w:hanging="705"/>
        <w:spacing w:after="0"/>
        <w:tabs>
          <w:tab w:leader="none" w:pos="2220" w:val="left"/>
        </w:tabs>
        <w:numPr>
          <w:ilvl w:val="0"/>
          <w:numId w:val="69"/>
        </w:numPr>
        <w:rPr>
          <w:rFonts w:ascii="Arial" w:cs="Arial" w:eastAsia="Arial" w:hAnsi="Arial"/>
          <w:sz w:val="20"/>
          <w:szCs w:val="20"/>
          <w:color w:val="262626"/>
        </w:rPr>
      </w:pPr>
      <w:r>
        <w:rPr>
          <w:rFonts w:ascii="Arial" w:cs="Arial" w:eastAsia="Arial" w:hAnsi="Arial"/>
          <w:sz w:val="18"/>
          <w:szCs w:val="18"/>
          <w:color w:val="auto"/>
        </w:rPr>
        <w:t>The shareholder is an entity and the name signed purports to be that of an officer or agent of the entity.</w:t>
      </w:r>
    </w:p>
    <w:p>
      <w:pPr>
        <w:spacing w:after="0" w:line="214" w:lineRule="exact"/>
        <w:rPr>
          <w:rFonts w:ascii="Arial" w:cs="Arial" w:eastAsia="Arial" w:hAnsi="Arial"/>
          <w:sz w:val="20"/>
          <w:szCs w:val="20"/>
          <w:color w:val="262626"/>
        </w:rPr>
      </w:pPr>
    </w:p>
    <w:p>
      <w:pPr>
        <w:jc w:val="both"/>
        <w:ind w:left="820" w:right="20" w:firstLine="695"/>
        <w:spacing w:after="0" w:line="249" w:lineRule="auto"/>
        <w:tabs>
          <w:tab w:leader="none" w:pos="2218" w:val="left"/>
        </w:tabs>
        <w:numPr>
          <w:ilvl w:val="0"/>
          <w:numId w:val="69"/>
        </w:numPr>
        <w:rPr>
          <w:rFonts w:ascii="Arial" w:cs="Arial" w:eastAsia="Arial" w:hAnsi="Arial"/>
          <w:sz w:val="20"/>
          <w:szCs w:val="20"/>
          <w:color w:val="262626"/>
        </w:rPr>
      </w:pPr>
      <w:r>
        <w:rPr>
          <w:rFonts w:ascii="Arial" w:cs="Arial" w:eastAsia="Arial" w:hAnsi="Arial"/>
          <w:sz w:val="18"/>
          <w:szCs w:val="18"/>
          <w:color w:val="auto"/>
        </w:rPr>
        <w:t>The name purports to be that of a personal representative , administrator, executor, guardian or conservator representing the shareholder and, if the corporation requests, evidence of fiduciary status acceptable to the corporation is presented with respect to the vote, consent, waiver or proxy appointment.</w:t>
      </w:r>
    </w:p>
    <w:p>
      <w:pPr>
        <w:spacing w:after="0" w:line="221" w:lineRule="exact"/>
        <w:rPr>
          <w:rFonts w:ascii="Arial" w:cs="Arial" w:eastAsia="Arial" w:hAnsi="Arial"/>
          <w:sz w:val="20"/>
          <w:szCs w:val="20"/>
          <w:color w:val="262626"/>
        </w:rPr>
      </w:pPr>
    </w:p>
    <w:p>
      <w:pPr>
        <w:ind w:left="820" w:right="20" w:firstLine="695"/>
        <w:spacing w:after="0" w:line="250" w:lineRule="auto"/>
        <w:tabs>
          <w:tab w:leader="none" w:pos="2218" w:val="left"/>
        </w:tabs>
        <w:numPr>
          <w:ilvl w:val="0"/>
          <w:numId w:val="69"/>
        </w:numPr>
        <w:rPr>
          <w:rFonts w:ascii="Arial" w:cs="Arial" w:eastAsia="Arial" w:hAnsi="Arial"/>
          <w:sz w:val="20"/>
          <w:szCs w:val="20"/>
          <w:color w:val="262626"/>
        </w:rPr>
      </w:pPr>
      <w:r>
        <w:rPr>
          <w:rFonts w:ascii="Arial" w:cs="Arial" w:eastAsia="Arial" w:hAnsi="Arial"/>
          <w:sz w:val="18"/>
          <w:szCs w:val="18"/>
          <w:color w:val="auto"/>
        </w:rPr>
        <w:t>The name signed purports to be that of a receiver or trustee in bankruptcy of the shareholder and, if the corporation requests, evidence of this status acceptable to the corporation is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1F1F1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25" w:right="459" w:bottom="1440" w:gutter="0" w:footer="0" w:header="0"/>
        </w:sectPr>
      </w:pPr>
    </w:p>
    <w:bookmarkStart w:id="94" w:name="page95"/>
    <w:bookmarkEnd w:id="94"/>
    <w:p>
      <w:pPr>
        <w:ind w:left="820"/>
        <w:spacing w:after="0"/>
        <w:rPr>
          <w:sz w:val="20"/>
          <w:szCs w:val="20"/>
          <w:color w:val="auto"/>
        </w:rPr>
      </w:pPr>
      <w:r>
        <w:rPr>
          <w:rFonts w:ascii="Arial" w:cs="Arial" w:eastAsia="Arial" w:hAnsi="Arial"/>
          <w:sz w:val="18"/>
          <w:szCs w:val="18"/>
          <w:color w:val="auto"/>
        </w:rPr>
        <w:t>presented with respect to the vote, consent, waiver or proxy appointment.</w:t>
      </w:r>
    </w:p>
    <w:p>
      <w:pPr>
        <w:spacing w:after="0" w:line="251" w:lineRule="exact"/>
        <w:rPr>
          <w:sz w:val="20"/>
          <w:szCs w:val="20"/>
          <w:color w:val="auto"/>
        </w:rPr>
      </w:pPr>
    </w:p>
    <w:p>
      <w:pPr>
        <w:jc w:val="both"/>
        <w:ind w:left="820" w:right="20" w:firstLine="695"/>
        <w:spacing w:after="0" w:line="249" w:lineRule="auto"/>
        <w:tabs>
          <w:tab w:leader="none" w:pos="2218" w:val="left"/>
        </w:tabs>
        <w:numPr>
          <w:ilvl w:val="0"/>
          <w:numId w:val="70"/>
        </w:numPr>
        <w:rPr>
          <w:rFonts w:ascii="Arial" w:cs="Arial" w:eastAsia="Arial" w:hAnsi="Arial"/>
          <w:sz w:val="20"/>
          <w:szCs w:val="20"/>
          <w:color w:val="262626"/>
        </w:rPr>
      </w:pPr>
      <w:r>
        <w:rPr>
          <w:rFonts w:ascii="Arial" w:cs="Arial" w:eastAsia="Arial" w:hAnsi="Arial"/>
          <w:sz w:val="18"/>
          <w:szCs w:val="18"/>
          <w:color w:val="auto"/>
        </w:rPr>
        <w:t>The name signed purports to be that of a pledgee, beneficial owner, or attorney-in-fact of the shareholder and, if the corporation requests, evidence acceptable to the corporation of the signatory's authority to sign for the shareholder is presented with respect to the vote, consent, waiver or proxy appointment.</w:t>
      </w:r>
    </w:p>
    <w:p>
      <w:pPr>
        <w:spacing w:after="0" w:line="208" w:lineRule="exact"/>
        <w:rPr>
          <w:rFonts w:ascii="Arial" w:cs="Arial" w:eastAsia="Arial" w:hAnsi="Arial"/>
          <w:sz w:val="20"/>
          <w:szCs w:val="20"/>
          <w:color w:val="262626"/>
        </w:rPr>
      </w:pPr>
    </w:p>
    <w:p>
      <w:pPr>
        <w:ind w:left="820" w:right="40" w:firstLine="696"/>
        <w:spacing w:after="0" w:line="250" w:lineRule="auto"/>
        <w:tabs>
          <w:tab w:leader="none" w:pos="2217" w:val="left"/>
        </w:tabs>
        <w:numPr>
          <w:ilvl w:val="0"/>
          <w:numId w:val="70"/>
        </w:numPr>
        <w:rPr>
          <w:rFonts w:ascii="Arial" w:cs="Arial" w:eastAsia="Arial" w:hAnsi="Arial"/>
          <w:sz w:val="20"/>
          <w:szCs w:val="20"/>
          <w:color w:val="262626"/>
        </w:rPr>
      </w:pPr>
      <w:r>
        <w:rPr>
          <w:rFonts w:ascii="Arial" w:cs="Arial" w:eastAsia="Arial" w:hAnsi="Arial"/>
          <w:sz w:val="18"/>
          <w:szCs w:val="18"/>
          <w:color w:val="auto"/>
        </w:rPr>
        <w:t>Two or more persons are the shareholders as co-tenants or fiduciaries and the name signed purports to be the name of at least one of the co-owners and the person signing appears to be acting on behalf of all co-owners.</w:t>
      </w:r>
    </w:p>
    <w:p>
      <w:pPr>
        <w:spacing w:after="0" w:line="273" w:lineRule="exact"/>
        <w:rPr>
          <w:sz w:val="20"/>
          <w:szCs w:val="20"/>
          <w:color w:val="auto"/>
        </w:rPr>
      </w:pPr>
    </w:p>
    <w:p>
      <w:pPr>
        <w:jc w:val="both"/>
        <w:ind w:left="100" w:right="20" w:hanging="4"/>
        <w:spacing w:after="0" w:line="263" w:lineRule="auto"/>
        <w:rPr>
          <w:sz w:val="20"/>
          <w:szCs w:val="20"/>
          <w:color w:val="auto"/>
        </w:rPr>
      </w:pPr>
      <w:r>
        <w:rPr>
          <w:rFonts w:ascii="Arial" w:cs="Arial" w:eastAsia="Arial" w:hAnsi="Arial"/>
          <w:sz w:val="18"/>
          <w:szCs w:val="18"/>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III. BOARD OF DIRECTORS</w:t>
      </w:r>
    </w:p>
    <w:p>
      <w:pPr>
        <w:spacing w:after="0" w:line="222" w:lineRule="exact"/>
        <w:rPr>
          <w:sz w:val="20"/>
          <w:szCs w:val="20"/>
          <w:color w:val="auto"/>
        </w:rPr>
      </w:pPr>
    </w:p>
    <w:p>
      <w:pPr>
        <w:jc w:val="both"/>
        <w:ind w:left="100" w:firstLine="719"/>
        <w:spacing w:after="0" w:line="252" w:lineRule="auto"/>
        <w:rPr>
          <w:sz w:val="20"/>
          <w:szCs w:val="20"/>
          <w:color w:val="auto"/>
        </w:rPr>
      </w:pPr>
      <w:r>
        <w:rPr>
          <w:rFonts w:ascii="Arial" w:cs="Arial" w:eastAsia="Arial" w:hAnsi="Arial"/>
          <w:sz w:val="20"/>
          <w:szCs w:val="20"/>
          <w:color w:val="auto"/>
        </w:rPr>
        <w:t xml:space="preserve">3.01 </w:t>
      </w:r>
      <w:r>
        <w:rPr>
          <w:rFonts w:ascii="Arial" w:cs="Arial" w:eastAsia="Arial" w:hAnsi="Arial"/>
          <w:sz w:val="17"/>
          <w:szCs w:val="17"/>
          <w:u w:val="single" w:color="auto"/>
          <w:color w:val="auto"/>
        </w:rPr>
        <w:t>General Powers and Number.</w:t>
      </w:r>
      <w:r>
        <w:rPr>
          <w:rFonts w:ascii="Arial" w:cs="Arial" w:eastAsia="Arial" w:hAnsi="Arial"/>
          <w:sz w:val="20"/>
          <w:szCs w:val="20"/>
          <w:color w:val="auto"/>
        </w:rPr>
        <w:t xml:space="preserve"> </w:t>
      </w:r>
      <w:r>
        <w:rPr>
          <w:rFonts w:ascii="Arial" w:cs="Arial" w:eastAsia="Arial" w:hAnsi="Arial"/>
          <w:sz w:val="17"/>
          <w:szCs w:val="17"/>
          <w:color w:val="auto"/>
        </w:rPr>
        <w:t>All corporate powers shall be exercised by or under the authority of, and the business and affairs of</w:t>
      </w:r>
      <w:r>
        <w:rPr>
          <w:rFonts w:ascii="Arial" w:cs="Arial" w:eastAsia="Arial" w:hAnsi="Arial"/>
          <w:sz w:val="20"/>
          <w:szCs w:val="20"/>
          <w:color w:val="auto"/>
        </w:rPr>
        <w:t xml:space="preserve"> </w:t>
      </w:r>
      <w:r>
        <w:rPr>
          <w:rFonts w:ascii="Arial" w:cs="Arial" w:eastAsia="Arial" w:hAnsi="Arial"/>
          <w:sz w:val="17"/>
          <w:szCs w:val="17"/>
          <w:color w:val="auto"/>
        </w:rPr>
        <w:t>the corporation managed under the direction of, the Board of Directors. The Board of Directors shall consist of one or more members, the number thereof to be determined from time to time by resolutions of the shareholders or of the Board of Directors.</w:t>
      </w:r>
    </w:p>
    <w:p>
      <w:pPr>
        <w:spacing w:after="0" w:line="188" w:lineRule="exact"/>
        <w:rPr>
          <w:sz w:val="20"/>
          <w:szCs w:val="20"/>
          <w:color w:val="auto"/>
        </w:rPr>
      </w:pPr>
    </w:p>
    <w:p>
      <w:pPr>
        <w:jc w:val="both"/>
        <w:ind w:left="100" w:firstLine="704"/>
        <w:spacing w:after="0" w:line="255" w:lineRule="auto"/>
        <w:rPr>
          <w:sz w:val="20"/>
          <w:szCs w:val="20"/>
          <w:color w:val="auto"/>
        </w:rPr>
      </w:pPr>
      <w:r>
        <w:rPr>
          <w:rFonts w:ascii="Arial" w:cs="Arial" w:eastAsia="Arial" w:hAnsi="Arial"/>
          <w:sz w:val="20"/>
          <w:szCs w:val="20"/>
          <w:color w:val="auto"/>
        </w:rPr>
        <w:t xml:space="preserve">3.02 </w:t>
      </w:r>
      <w:r>
        <w:rPr>
          <w:rFonts w:ascii="Arial" w:cs="Arial" w:eastAsia="Arial" w:hAnsi="Arial"/>
          <w:sz w:val="17"/>
          <w:szCs w:val="17"/>
          <w:u w:val="single" w:color="auto"/>
          <w:color w:val="auto"/>
        </w:rPr>
        <w:t>Board Election and Term</w:t>
      </w:r>
      <w:r>
        <w:rPr>
          <w:rFonts w:ascii="Arial" w:cs="Arial" w:eastAsia="Arial" w:hAnsi="Arial"/>
          <w:sz w:val="17"/>
          <w:szCs w:val="17"/>
          <w:color w:val="auto"/>
        </w:rPr>
        <w:t>. Directors shall be elected by the shareholders at each annual shareholders' meeting. Directors are elected</w:t>
      </w:r>
      <w:r>
        <w:rPr>
          <w:rFonts w:ascii="Arial" w:cs="Arial" w:eastAsia="Arial" w:hAnsi="Arial"/>
          <w:sz w:val="20"/>
          <w:szCs w:val="20"/>
          <w:color w:val="auto"/>
        </w:rPr>
        <w:t xml:space="preserve"> </w:t>
      </w:r>
      <w:r>
        <w:rPr>
          <w:rFonts w:ascii="Arial" w:cs="Arial" w:eastAsia="Arial" w:hAnsi="Arial"/>
          <w:sz w:val="17"/>
          <w:szCs w:val="17"/>
          <w:color w:val="auto"/>
        </w:rPr>
        <w:t>by a plurality of the votes cast by the shares entitled to vote in the election at a meeting at which a quorum is present. Each director shall serve for a term ending on the date of the annual shareholders' or until his or her successor shall be elected and shall qualify, subject, however, to prior death, resignation or removal from office.</w:t>
      </w:r>
    </w:p>
    <w:p>
      <w:pPr>
        <w:spacing w:after="0" w:line="188" w:lineRule="exact"/>
        <w:rPr>
          <w:sz w:val="20"/>
          <w:szCs w:val="20"/>
          <w:color w:val="auto"/>
        </w:rPr>
      </w:pPr>
    </w:p>
    <w:p>
      <w:pPr>
        <w:jc w:val="both"/>
        <w:ind w:left="100" w:firstLine="704"/>
        <w:spacing w:after="0" w:line="259" w:lineRule="auto"/>
        <w:rPr>
          <w:sz w:val="20"/>
          <w:szCs w:val="20"/>
          <w:color w:val="auto"/>
        </w:rPr>
      </w:pPr>
      <w:r>
        <w:rPr>
          <w:rFonts w:ascii="Arial" w:cs="Arial" w:eastAsia="Arial" w:hAnsi="Arial"/>
          <w:sz w:val="20"/>
          <w:szCs w:val="20"/>
          <w:color w:val="auto"/>
        </w:rPr>
        <w:t xml:space="preserve">3.03 </w:t>
      </w:r>
      <w:r>
        <w:rPr>
          <w:rFonts w:ascii="Arial" w:cs="Arial" w:eastAsia="Arial" w:hAnsi="Arial"/>
          <w:sz w:val="17"/>
          <w:szCs w:val="17"/>
          <w:u w:val="single" w:color="auto"/>
          <w:color w:val="auto"/>
        </w:rPr>
        <w:t>Qualifications: Removal: Resignation.</w:t>
      </w:r>
      <w:r>
        <w:rPr>
          <w:rFonts w:ascii="Arial" w:cs="Arial" w:eastAsia="Arial" w:hAnsi="Arial"/>
          <w:sz w:val="20"/>
          <w:szCs w:val="20"/>
          <w:color w:val="auto"/>
        </w:rPr>
        <w:t xml:space="preserve"> </w:t>
      </w:r>
      <w:r>
        <w:rPr>
          <w:rFonts w:ascii="Arial" w:cs="Arial" w:eastAsia="Arial" w:hAnsi="Arial"/>
          <w:sz w:val="17"/>
          <w:szCs w:val="17"/>
          <w:color w:val="auto"/>
        </w:rPr>
        <w:t>Directors need not be residents of the State of Indiana or shareholders of the corporation. A</w:t>
      </w:r>
      <w:r>
        <w:rPr>
          <w:rFonts w:ascii="Arial" w:cs="Arial" w:eastAsia="Arial" w:hAnsi="Arial"/>
          <w:sz w:val="20"/>
          <w:szCs w:val="20"/>
          <w:color w:val="auto"/>
        </w:rPr>
        <w:t xml:space="preserve"> </w:t>
      </w:r>
      <w:r>
        <w:rPr>
          <w:rFonts w:ascii="Arial" w:cs="Arial" w:eastAsia="Arial" w:hAnsi="Arial"/>
          <w:sz w:val="17"/>
          <w:szCs w:val="17"/>
          <w:color w:val="auto"/>
        </w:rPr>
        <w:t>director may be removed at any time, with or without cause, by the shareholders at a meeting called for the purpose of removing the director, and the meeting notice shall state that the purpose, or one of the purposes, of the meeting is removal of the director. A director may be removed from office, if the number of votes cast to remove the director exceeds the number of votes cast not to remove the director. A director may resign at any time by delivering written notice which complies with the Indiana Business Corporation Law to the Board of Directors, to the President (in his or her capacity as chairperson of the Board of Directors) or to the corporation. A director's resignation is effective when the notice is delivered unless the notice specifies a later effective date.</w:t>
      </w:r>
    </w:p>
    <w:p>
      <w:pPr>
        <w:spacing w:after="0" w:line="188" w:lineRule="exact"/>
        <w:rPr>
          <w:sz w:val="20"/>
          <w:szCs w:val="20"/>
          <w:color w:val="auto"/>
        </w:rPr>
      </w:pPr>
    </w:p>
    <w:p>
      <w:pPr>
        <w:jc w:val="both"/>
        <w:ind w:left="120" w:firstLine="704"/>
        <w:spacing w:after="0" w:line="257" w:lineRule="auto"/>
        <w:rPr>
          <w:sz w:val="20"/>
          <w:szCs w:val="20"/>
          <w:color w:val="auto"/>
        </w:rPr>
      </w:pPr>
      <w:r>
        <w:rPr>
          <w:rFonts w:ascii="Arial" w:cs="Arial" w:eastAsia="Arial" w:hAnsi="Arial"/>
          <w:sz w:val="20"/>
          <w:szCs w:val="20"/>
          <w:color w:val="auto"/>
        </w:rPr>
        <w:t xml:space="preserve">3.04 </w:t>
      </w:r>
      <w:r>
        <w:rPr>
          <w:rFonts w:ascii="Arial" w:cs="Arial" w:eastAsia="Arial" w:hAnsi="Arial"/>
          <w:sz w:val="17"/>
          <w:szCs w:val="17"/>
          <w:u w:val="single" w:color="auto"/>
          <w:color w:val="auto"/>
        </w:rPr>
        <w:t>Regular Meetings.</w:t>
      </w:r>
      <w:r>
        <w:rPr>
          <w:rFonts w:ascii="Arial" w:cs="Arial" w:eastAsia="Arial" w:hAnsi="Arial"/>
          <w:sz w:val="20"/>
          <w:szCs w:val="20"/>
          <w:color w:val="auto"/>
        </w:rPr>
        <w:t xml:space="preserve"> </w:t>
      </w:r>
      <w:r>
        <w:rPr>
          <w:rFonts w:ascii="Arial" w:cs="Arial" w:eastAsia="Arial" w:hAnsi="Arial"/>
          <w:sz w:val="17"/>
          <w:szCs w:val="17"/>
          <w:color w:val="auto"/>
        </w:rPr>
        <w:t>A regular meeting of the Board of Directors shall be held without other notice than this bylaw immediately after</w:t>
      </w:r>
      <w:r>
        <w:rPr>
          <w:rFonts w:ascii="Arial" w:cs="Arial" w:eastAsia="Arial" w:hAnsi="Arial"/>
          <w:sz w:val="20"/>
          <w:szCs w:val="20"/>
          <w:color w:val="auto"/>
        </w:rPr>
        <w:t xml:space="preserve"> </w:t>
      </w:r>
      <w:r>
        <w:rPr>
          <w:rFonts w:ascii="Arial" w:cs="Arial" w:eastAsia="Arial" w:hAnsi="Arial"/>
          <w:sz w:val="17"/>
          <w:szCs w:val="17"/>
          <w:color w:val="auto"/>
        </w:rPr>
        <w:t>the annual meeting of shareholders and each adjourned session thereof. The place of such regular meeting shall be the same as the place of the meeting of shareholders which precedes it, or such other suitable place as may be announced at such meeting of shareholders. The Board of Directors shall also hold three regular meetings during the first, second and third calendar quarters of each year, on such dates and at such times and places, either within or without the State of Indiana, as determined by the Board of Directors.</w:t>
      </w:r>
    </w:p>
    <w:p>
      <w:pPr>
        <w:spacing w:after="0" w:line="201" w:lineRule="exact"/>
        <w:rPr>
          <w:sz w:val="20"/>
          <w:szCs w:val="20"/>
          <w:color w:val="auto"/>
        </w:rPr>
      </w:pPr>
    </w:p>
    <w:p>
      <w:pPr>
        <w:jc w:val="both"/>
        <w:ind w:left="120" w:firstLine="719"/>
        <w:spacing w:after="0" w:line="255" w:lineRule="auto"/>
        <w:rPr>
          <w:sz w:val="20"/>
          <w:szCs w:val="20"/>
          <w:color w:val="auto"/>
        </w:rPr>
      </w:pPr>
      <w:r>
        <w:rPr>
          <w:rFonts w:ascii="Arial" w:cs="Arial" w:eastAsia="Arial" w:hAnsi="Arial"/>
          <w:sz w:val="20"/>
          <w:szCs w:val="20"/>
          <w:color w:val="auto"/>
        </w:rPr>
        <w:t xml:space="preserve">3.05 </w:t>
      </w:r>
      <w:r>
        <w:rPr>
          <w:rFonts w:ascii="Arial" w:cs="Arial" w:eastAsia="Arial" w:hAnsi="Arial"/>
          <w:sz w:val="17"/>
          <w:szCs w:val="17"/>
          <w:u w:val="single" w:color="auto"/>
          <w:color w:val="auto"/>
        </w:rPr>
        <w:t>Special Meetings.</w:t>
      </w:r>
      <w:r>
        <w:rPr>
          <w:rFonts w:ascii="Arial" w:cs="Arial" w:eastAsia="Arial" w:hAnsi="Arial"/>
          <w:sz w:val="20"/>
          <w:szCs w:val="20"/>
          <w:color w:val="auto"/>
        </w:rPr>
        <w:t xml:space="preserve"> </w:t>
      </w:r>
      <w:r>
        <w:rPr>
          <w:rFonts w:ascii="Arial" w:cs="Arial" w:eastAsia="Arial" w:hAnsi="Arial"/>
          <w:sz w:val="17"/>
          <w:szCs w:val="17"/>
          <w:color w:val="auto"/>
        </w:rPr>
        <w:t>Special meetings of the Board of Directors may be called by or at the request of the President or any two</w:t>
      </w:r>
      <w:r>
        <w:rPr>
          <w:rFonts w:ascii="Arial" w:cs="Arial" w:eastAsia="Arial" w:hAnsi="Arial"/>
          <w:sz w:val="20"/>
          <w:szCs w:val="20"/>
          <w:color w:val="auto"/>
        </w:rPr>
        <w:t xml:space="preserve"> </w:t>
      </w:r>
      <w:r>
        <w:rPr>
          <w:rFonts w:ascii="Arial" w:cs="Arial" w:eastAsia="Arial" w:hAnsi="Arial"/>
          <w:sz w:val="17"/>
          <w:szCs w:val="17"/>
          <w:color w:val="auto"/>
        </w:rPr>
        <w:t>directors. The President or any two directors may fix any place, either within or without the State of Indiana, as the place for holding any special meeting of the Board of Directors, and if no other place is fixed the place of the meeting shall be the principal office of the corporation in the State of Indiana.</w:t>
      </w:r>
    </w:p>
    <w:p>
      <w:pPr>
        <w:spacing w:after="0" w:line="188" w:lineRule="exact"/>
        <w:rPr>
          <w:sz w:val="20"/>
          <w:szCs w:val="20"/>
          <w:color w:val="auto"/>
        </w:rPr>
      </w:pPr>
    </w:p>
    <w:p>
      <w:pPr>
        <w:jc w:val="both"/>
        <w:ind w:left="120" w:right="20" w:firstLine="704"/>
        <w:spacing w:after="0" w:line="242" w:lineRule="auto"/>
        <w:rPr>
          <w:sz w:val="20"/>
          <w:szCs w:val="20"/>
          <w:color w:val="auto"/>
        </w:rPr>
      </w:pPr>
      <w:r>
        <w:rPr>
          <w:rFonts w:ascii="Arial" w:cs="Arial" w:eastAsia="Arial" w:hAnsi="Arial"/>
          <w:sz w:val="20"/>
          <w:szCs w:val="20"/>
          <w:color w:val="auto"/>
        </w:rPr>
        <w:t xml:space="preserve">3.06 </w:t>
      </w:r>
      <w:r>
        <w:rPr>
          <w:rFonts w:ascii="Arial" w:cs="Arial" w:eastAsia="Arial" w:hAnsi="Arial"/>
          <w:sz w:val="17"/>
          <w:szCs w:val="17"/>
          <w:u w:val="single" w:color="auto"/>
          <w:color w:val="auto"/>
        </w:rPr>
        <w:t>Notice: Waiver.</w:t>
      </w:r>
      <w:r>
        <w:rPr>
          <w:rFonts w:ascii="Arial" w:cs="Arial" w:eastAsia="Arial" w:hAnsi="Arial"/>
          <w:sz w:val="20"/>
          <w:szCs w:val="20"/>
          <w:color w:val="auto"/>
        </w:rPr>
        <w:t xml:space="preserve"> </w:t>
      </w:r>
      <w:r>
        <w:rPr>
          <w:rFonts w:ascii="Arial" w:cs="Arial" w:eastAsia="Arial" w:hAnsi="Arial"/>
          <w:sz w:val="17"/>
          <w:szCs w:val="17"/>
          <w:color w:val="auto"/>
        </w:rPr>
        <w:t>Notice of each meeting of the Board of Directors (unless otherwise provided in or pursuant to Section 3.04) shall</w:t>
      </w:r>
      <w:r>
        <w:rPr>
          <w:rFonts w:ascii="Arial" w:cs="Arial" w:eastAsia="Arial" w:hAnsi="Arial"/>
          <w:sz w:val="20"/>
          <w:szCs w:val="20"/>
          <w:color w:val="auto"/>
        </w:rPr>
        <w:t xml:space="preserve"> </w:t>
      </w:r>
      <w:r>
        <w:rPr>
          <w:rFonts w:ascii="Arial" w:cs="Arial" w:eastAsia="Arial" w:hAnsi="Arial"/>
          <w:sz w:val="17"/>
          <w:szCs w:val="17"/>
          <w:color w:val="auto"/>
        </w:rPr>
        <w:t>be given by written notice delivered in person, by telegraph, teletype,</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1F1F1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25" w:right="459" w:bottom="1440" w:gutter="0" w:footer="0" w:header="0"/>
        </w:sectPr>
      </w:pPr>
    </w:p>
    <w:bookmarkStart w:id="95" w:name="page96"/>
    <w:bookmarkEnd w:id="95"/>
    <w:p>
      <w:pPr>
        <w:jc w:val="both"/>
        <w:ind w:left="120"/>
        <w:spacing w:after="0" w:line="284" w:lineRule="auto"/>
        <w:rPr>
          <w:sz w:val="20"/>
          <w:szCs w:val="20"/>
          <w:color w:val="auto"/>
        </w:rPr>
      </w:pPr>
      <w:r>
        <w:rPr>
          <w:rFonts w:ascii="Arial" w:cs="Arial" w:eastAsia="Arial" w:hAnsi="Arial"/>
          <w:sz w:val="16"/>
          <w:szCs w:val="16"/>
          <w:color w:val="auto"/>
        </w:rPr>
        <w:t>facsimile or other form of wire or wireless communication, or by mail or private carrier, to each director at his business address or at such other address as such director shall have designated in writing filed with the Secretary, in each case not less than forty­eight hours prior to the meeting. The notice need not describe the purpose of the meeting of the Board of Directors or the business to be transacted at such meeting . If mailed, such notice shall be deemed to be effective when deposited in the United States mail so addressed, with postage thereon prepaid. If notice is given by telegram, such notice shall be deemed to be effective when the telegram is delivered to the telegraph company. If notice is given by private carrier, such notice shall be deemed to be effective when delivered to the private carrier. Whenever any notice whatever is required to be given to any director of the corporation</w:t>
      </w:r>
    </w:p>
    <w:tbl>
      <w:tblPr>
        <w:tblLayout w:type="fixed"/>
        <w:tblInd w:w="120" w:type="dxa"/>
        <w:tblCellMar>
          <w:top w:w="0" w:type="dxa"/>
          <w:left w:w="0" w:type="dxa"/>
          <w:bottom w:w="0" w:type="dxa"/>
          <w:right w:w="0" w:type="dxa"/>
        </w:tblCellMar>
      </w:tblPr>
      <w:tr>
        <w:trPr>
          <w:trHeight w:val="204"/>
        </w:trPr>
        <w:tc>
          <w:tcPr>
            <w:tcW w:w="1320" w:type="dxa"/>
            <w:vAlign w:val="bottom"/>
            <w:gridSpan w:val="2"/>
          </w:tcPr>
          <w:p>
            <w:pPr>
              <w:spacing w:after="0" w:line="204" w:lineRule="exact"/>
              <w:rPr>
                <w:sz w:val="20"/>
                <w:szCs w:val="20"/>
                <w:color w:val="auto"/>
              </w:rPr>
            </w:pPr>
            <w:r>
              <w:rPr>
                <w:rFonts w:ascii="Arial" w:cs="Arial" w:eastAsia="Arial" w:hAnsi="Arial"/>
                <w:sz w:val="18"/>
                <w:szCs w:val="18"/>
                <w:color w:val="auto"/>
                <w:w w:val="94"/>
              </w:rPr>
              <w:t>under the articles</w:t>
            </w:r>
          </w:p>
        </w:tc>
        <w:tc>
          <w:tcPr>
            <w:tcW w:w="7760" w:type="dxa"/>
            <w:vAlign w:val="bottom"/>
            <w:gridSpan w:val="4"/>
          </w:tcPr>
          <w:p>
            <w:pPr>
              <w:ind w:left="60"/>
              <w:spacing w:after="0" w:line="204" w:lineRule="exact"/>
              <w:rPr>
                <w:sz w:val="20"/>
                <w:szCs w:val="20"/>
                <w:color w:val="auto"/>
              </w:rPr>
            </w:pPr>
            <w:r>
              <w:rPr>
                <w:rFonts w:ascii="Arial" w:cs="Arial" w:eastAsia="Arial" w:hAnsi="Arial"/>
                <w:sz w:val="18"/>
                <w:szCs w:val="18"/>
                <w:color w:val="auto"/>
                <w:w w:val="96"/>
              </w:rPr>
              <w:t>of incorporation or these bylaws or any provision of the Indiana Business Corporation Law, a waiver</w:t>
            </w:r>
          </w:p>
        </w:tc>
        <w:tc>
          <w:tcPr>
            <w:tcW w:w="860" w:type="dxa"/>
            <w:vAlign w:val="bottom"/>
          </w:tcPr>
          <w:p>
            <w:pPr>
              <w:ind w:left="160"/>
              <w:spacing w:after="0" w:line="204" w:lineRule="exact"/>
              <w:rPr>
                <w:sz w:val="20"/>
                <w:szCs w:val="20"/>
                <w:color w:val="auto"/>
              </w:rPr>
            </w:pPr>
            <w:r>
              <w:rPr>
                <w:rFonts w:ascii="Arial" w:cs="Arial" w:eastAsia="Arial" w:hAnsi="Arial"/>
                <w:sz w:val="18"/>
                <w:szCs w:val="18"/>
                <w:color w:val="auto"/>
              </w:rPr>
              <w:t>thereof</w:t>
            </w:r>
          </w:p>
        </w:tc>
        <w:tc>
          <w:tcPr>
            <w:tcW w:w="180" w:type="dxa"/>
            <w:vAlign w:val="bottom"/>
          </w:tcPr>
          <w:p>
            <w:pPr>
              <w:ind w:left="20"/>
              <w:spacing w:after="0" w:line="204" w:lineRule="exact"/>
              <w:rPr>
                <w:sz w:val="20"/>
                <w:szCs w:val="20"/>
                <w:color w:val="auto"/>
              </w:rPr>
            </w:pPr>
            <w:r>
              <w:rPr>
                <w:rFonts w:ascii="Arial" w:cs="Arial" w:eastAsia="Arial" w:hAnsi="Arial"/>
                <w:sz w:val="18"/>
                <w:szCs w:val="18"/>
                <w:color w:val="auto"/>
                <w:w w:val="99"/>
              </w:rPr>
              <w:t>in</w:t>
            </w: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writing,</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signed   at</w:t>
            </w:r>
          </w:p>
        </w:tc>
        <w:tc>
          <w:tcPr>
            <w:tcW w:w="460" w:type="dxa"/>
            <w:vAlign w:val="bottom"/>
          </w:tcPr>
          <w:p>
            <w:pPr>
              <w:ind w:left="160"/>
              <w:spacing w:after="0"/>
              <w:rPr>
                <w:sz w:val="20"/>
                <w:szCs w:val="20"/>
                <w:color w:val="auto"/>
              </w:rPr>
            </w:pPr>
            <w:r>
              <w:rPr>
                <w:rFonts w:ascii="Arial" w:cs="Arial" w:eastAsia="Arial" w:hAnsi="Arial"/>
                <w:sz w:val="18"/>
                <w:szCs w:val="18"/>
                <w:color w:val="auto"/>
                <w:w w:val="96"/>
              </w:rPr>
              <w:t>any</w:t>
            </w:r>
          </w:p>
        </w:tc>
        <w:tc>
          <w:tcPr>
            <w:tcW w:w="1460" w:type="dxa"/>
            <w:vAlign w:val="bottom"/>
          </w:tcPr>
          <w:p>
            <w:pPr>
              <w:ind w:left="180"/>
              <w:spacing w:after="0"/>
              <w:rPr>
                <w:sz w:val="20"/>
                <w:szCs w:val="20"/>
                <w:color w:val="auto"/>
              </w:rPr>
            </w:pPr>
            <w:r>
              <w:rPr>
                <w:rFonts w:ascii="Arial" w:cs="Arial" w:eastAsia="Arial" w:hAnsi="Arial"/>
                <w:sz w:val="18"/>
                <w:szCs w:val="18"/>
                <w:color w:val="auto"/>
              </w:rPr>
              <w:t>time,   whether</w:t>
            </w:r>
          </w:p>
        </w:tc>
        <w:tc>
          <w:tcPr>
            <w:tcW w:w="720" w:type="dxa"/>
            <w:vAlign w:val="bottom"/>
          </w:tcPr>
          <w:p>
            <w:pPr>
              <w:ind w:left="140"/>
              <w:spacing w:after="0"/>
              <w:rPr>
                <w:sz w:val="20"/>
                <w:szCs w:val="20"/>
                <w:color w:val="auto"/>
              </w:rPr>
            </w:pPr>
            <w:r>
              <w:rPr>
                <w:rFonts w:ascii="Arial" w:cs="Arial" w:eastAsia="Arial" w:hAnsi="Arial"/>
                <w:sz w:val="18"/>
                <w:szCs w:val="18"/>
                <w:color w:val="auto"/>
              </w:rPr>
              <w:t>before</w:t>
            </w:r>
          </w:p>
        </w:tc>
        <w:tc>
          <w:tcPr>
            <w:tcW w:w="420" w:type="dxa"/>
            <w:vAlign w:val="bottom"/>
          </w:tcPr>
          <w:p>
            <w:pPr>
              <w:ind w:left="140"/>
              <w:spacing w:after="0"/>
              <w:rPr>
                <w:sz w:val="20"/>
                <w:szCs w:val="20"/>
                <w:color w:val="auto"/>
              </w:rPr>
            </w:pPr>
            <w:r>
              <w:rPr>
                <w:rFonts w:ascii="Arial" w:cs="Arial" w:eastAsia="Arial" w:hAnsi="Arial"/>
                <w:sz w:val="18"/>
                <w:szCs w:val="18"/>
                <w:color w:val="auto"/>
              </w:rPr>
              <w:t>or</w:t>
            </w:r>
          </w:p>
        </w:tc>
        <w:tc>
          <w:tcPr>
            <w:tcW w:w="5160" w:type="dxa"/>
            <w:vAlign w:val="bottom"/>
          </w:tcPr>
          <w:p>
            <w:pPr>
              <w:ind w:left="80"/>
              <w:spacing w:after="0"/>
              <w:rPr>
                <w:sz w:val="20"/>
                <w:szCs w:val="20"/>
                <w:color w:val="auto"/>
              </w:rPr>
            </w:pPr>
            <w:r>
              <w:rPr>
                <w:rFonts w:ascii="Arial" w:cs="Arial" w:eastAsia="Arial" w:hAnsi="Arial"/>
                <w:sz w:val="18"/>
                <w:szCs w:val="18"/>
                <w:color w:val="auto"/>
                <w:w w:val="95"/>
              </w:rPr>
              <w:t>after   the date and time of meeting, by the director entitled to such</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notice shall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be deemed</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equivalent</w:t>
            </w:r>
          </w:p>
        </w:tc>
        <w:tc>
          <w:tcPr>
            <w:tcW w:w="10040" w:type="dxa"/>
            <w:vAlign w:val="bottom"/>
            <w:gridSpan w:val="8"/>
          </w:tcPr>
          <w:p>
            <w:pPr>
              <w:jc w:val="right"/>
              <w:spacing w:after="0"/>
              <w:rPr>
                <w:sz w:val="20"/>
                <w:szCs w:val="20"/>
                <w:color w:val="auto"/>
              </w:rPr>
            </w:pPr>
            <w:r>
              <w:rPr>
                <w:rFonts w:ascii="Arial" w:cs="Arial" w:eastAsia="Arial" w:hAnsi="Arial"/>
                <w:sz w:val="18"/>
                <w:szCs w:val="18"/>
                <w:color w:val="auto"/>
                <w:w w:val="98"/>
              </w:rPr>
              <w:t>to the giving of such notice. The corporation shall retain any such waiver as part of the permanent corporate records. A director's</w:t>
            </w:r>
          </w:p>
        </w:tc>
      </w:tr>
      <w:tr>
        <w:trPr>
          <w:trHeight w:val="230"/>
        </w:trPr>
        <w:tc>
          <w:tcPr>
            <w:tcW w:w="3920" w:type="dxa"/>
            <w:vAlign w:val="bottom"/>
            <w:gridSpan w:val="5"/>
          </w:tcPr>
          <w:p>
            <w:pPr>
              <w:spacing w:after="0"/>
              <w:rPr>
                <w:sz w:val="20"/>
                <w:szCs w:val="20"/>
                <w:color w:val="auto"/>
              </w:rPr>
            </w:pPr>
            <w:r>
              <w:rPr>
                <w:rFonts w:ascii="Arial" w:cs="Arial" w:eastAsia="Arial" w:hAnsi="Arial"/>
                <w:sz w:val="18"/>
                <w:szCs w:val="18"/>
                <w:color w:val="auto"/>
                <w:w w:val="90"/>
              </w:rPr>
              <w:t>attendance at or participation in a meeting waives any</w:t>
            </w:r>
          </w:p>
        </w:tc>
        <w:tc>
          <w:tcPr>
            <w:tcW w:w="6020" w:type="dxa"/>
            <w:vAlign w:val="bottom"/>
            <w:gridSpan w:val="2"/>
          </w:tcPr>
          <w:p>
            <w:pPr>
              <w:ind w:left="40"/>
              <w:spacing w:after="0"/>
              <w:rPr>
                <w:sz w:val="20"/>
                <w:szCs w:val="20"/>
                <w:color w:val="auto"/>
              </w:rPr>
            </w:pPr>
            <w:r>
              <w:rPr>
                <w:rFonts w:ascii="Arial" w:cs="Arial" w:eastAsia="Arial" w:hAnsi="Arial"/>
                <w:sz w:val="18"/>
                <w:szCs w:val="18"/>
                <w:color w:val="auto"/>
                <w:w w:val="91"/>
              </w:rPr>
              <w:t>required notice to him or her of the meeting unless the director at the beginning of</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9"/>
              </w:rPr>
              <w:t>the meeting</w:t>
            </w:r>
          </w:p>
        </w:tc>
      </w:tr>
    </w:tbl>
    <w:p>
      <w:pPr>
        <w:jc w:val="both"/>
        <w:ind w:left="120"/>
        <w:spacing w:after="0" w:line="260" w:lineRule="auto"/>
        <w:rPr>
          <w:sz w:val="20"/>
          <w:szCs w:val="20"/>
          <w:color w:val="auto"/>
        </w:rPr>
      </w:pPr>
      <w:r>
        <w:rPr>
          <w:rFonts w:ascii="Arial" w:cs="Arial" w:eastAsia="Arial" w:hAnsi="Arial"/>
          <w:sz w:val="18"/>
          <w:szCs w:val="18"/>
          <w:color w:val="auto"/>
        </w:rPr>
        <w:t>or promptly upon his or her arrival objects to holding the meeting or transacting business at the meeting and does not thereafter vote for or assent to action taken at the meeting.</w:t>
      </w:r>
    </w:p>
    <w:p>
      <w:pPr>
        <w:spacing w:after="0" w:line="195" w:lineRule="exact"/>
        <w:rPr>
          <w:sz w:val="20"/>
          <w:szCs w:val="20"/>
          <w:color w:val="auto"/>
        </w:rPr>
      </w:pPr>
    </w:p>
    <w:p>
      <w:pPr>
        <w:jc w:val="both"/>
        <w:ind w:left="100" w:firstLine="719"/>
        <w:spacing w:after="0" w:line="259" w:lineRule="auto"/>
        <w:rPr>
          <w:sz w:val="20"/>
          <w:szCs w:val="20"/>
          <w:color w:val="auto"/>
        </w:rPr>
      </w:pPr>
      <w:r>
        <w:rPr>
          <w:rFonts w:ascii="Arial" w:cs="Arial" w:eastAsia="Arial" w:hAnsi="Arial"/>
          <w:sz w:val="20"/>
          <w:szCs w:val="20"/>
          <w:color w:val="auto"/>
        </w:rPr>
        <w:t xml:space="preserve">3.07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provided by the Indiana Business Corporation Law or by the articles of incorporation or these</w:t>
      </w:r>
      <w:r>
        <w:rPr>
          <w:rFonts w:ascii="Arial" w:cs="Arial" w:eastAsia="Arial" w:hAnsi="Arial"/>
          <w:sz w:val="20"/>
          <w:szCs w:val="20"/>
          <w:color w:val="auto"/>
        </w:rPr>
        <w:t xml:space="preserve"> </w:t>
      </w:r>
      <w:r>
        <w:rPr>
          <w:rFonts w:ascii="Arial" w:cs="Arial" w:eastAsia="Arial" w:hAnsi="Arial"/>
          <w:sz w:val="17"/>
          <w:szCs w:val="17"/>
          <w:color w:val="auto"/>
        </w:rPr>
        <w:t>bylaws, a majority of the number of directors specified in Section 3.01 of these bylaws shall constitute a quorum for the transaction of business at any meeting of the Board of Directors. Except as otherwise provided by the Indiana Business Corporation Law or by the articles of incorporation or by these bylaws, a quorum of any committee of the Board of Directors created pursuant to Section 3.13 hereof shall consist of a majority of the number of directors appointed to serve on the committee. A majority of the directors present (though less than such quorum) may adjourn any meeting of the Board of Directors or any committee thereof, as the case may be, from time to time without further notice.</w:t>
      </w:r>
    </w:p>
    <w:p>
      <w:pPr>
        <w:spacing w:after="0" w:line="184" w:lineRule="exact"/>
        <w:rPr>
          <w:sz w:val="20"/>
          <w:szCs w:val="20"/>
          <w:color w:val="auto"/>
        </w:rPr>
      </w:pPr>
    </w:p>
    <w:p>
      <w:pPr>
        <w:jc w:val="both"/>
        <w:ind w:left="100" w:firstLine="719"/>
        <w:spacing w:after="0" w:line="252" w:lineRule="auto"/>
        <w:rPr>
          <w:sz w:val="20"/>
          <w:szCs w:val="20"/>
          <w:color w:val="auto"/>
        </w:rPr>
      </w:pPr>
      <w:r>
        <w:rPr>
          <w:rFonts w:ascii="Arial" w:cs="Arial" w:eastAsia="Arial" w:hAnsi="Arial"/>
          <w:sz w:val="20"/>
          <w:szCs w:val="20"/>
          <w:color w:val="auto"/>
        </w:rPr>
        <w:t xml:space="preserve">3.08 </w:t>
      </w:r>
      <w:r>
        <w:rPr>
          <w:rFonts w:ascii="Arial" w:cs="Arial" w:eastAsia="Arial" w:hAnsi="Arial"/>
          <w:sz w:val="17"/>
          <w:szCs w:val="17"/>
          <w:u w:val="single" w:color="auto"/>
          <w:color w:val="auto"/>
        </w:rPr>
        <w:t>Manner of Acting.</w:t>
      </w:r>
      <w:r>
        <w:rPr>
          <w:rFonts w:ascii="Arial" w:cs="Arial" w:eastAsia="Arial" w:hAnsi="Arial"/>
          <w:sz w:val="20"/>
          <w:szCs w:val="20"/>
          <w:color w:val="auto"/>
        </w:rPr>
        <w:t xml:space="preserve"> </w:t>
      </w:r>
      <w:r>
        <w:rPr>
          <w:rFonts w:ascii="Arial" w:cs="Arial" w:eastAsia="Arial" w:hAnsi="Arial"/>
          <w:sz w:val="17"/>
          <w:szCs w:val="17"/>
          <w:color w:val="auto"/>
        </w:rPr>
        <w:t>The affirmative vote of a majority of the directors present at a meeting of the Board of Directors or a committee</w:t>
      </w:r>
      <w:r>
        <w:rPr>
          <w:rFonts w:ascii="Arial" w:cs="Arial" w:eastAsia="Arial" w:hAnsi="Arial"/>
          <w:sz w:val="20"/>
          <w:szCs w:val="20"/>
          <w:color w:val="auto"/>
        </w:rPr>
        <w:t xml:space="preserve"> </w:t>
      </w:r>
      <w:r>
        <w:rPr>
          <w:rFonts w:ascii="Arial" w:cs="Arial" w:eastAsia="Arial" w:hAnsi="Arial"/>
          <w:sz w:val="17"/>
          <w:szCs w:val="17"/>
          <w:color w:val="auto"/>
        </w:rPr>
        <w:t>thereof at which a quorum is present shall be the act of the Board of Directors or such committee, as the case may be, unless the Indiana Business Corporation Law, the articles of incorporation or these bylaws require the vote of a greater number of directors.</w:t>
      </w:r>
    </w:p>
    <w:p>
      <w:pPr>
        <w:spacing w:after="0" w:line="188" w:lineRule="exact"/>
        <w:rPr>
          <w:sz w:val="20"/>
          <w:szCs w:val="20"/>
          <w:color w:val="auto"/>
        </w:rPr>
      </w:pPr>
    </w:p>
    <w:p>
      <w:pPr>
        <w:jc w:val="both"/>
        <w:ind w:left="100" w:firstLine="719"/>
        <w:spacing w:after="0" w:line="257" w:lineRule="auto"/>
        <w:rPr>
          <w:sz w:val="20"/>
          <w:szCs w:val="20"/>
          <w:color w:val="auto"/>
        </w:rPr>
      </w:pPr>
      <w:r>
        <w:rPr>
          <w:rFonts w:ascii="Arial" w:cs="Arial" w:eastAsia="Arial" w:hAnsi="Arial"/>
          <w:sz w:val="20"/>
          <w:szCs w:val="20"/>
          <w:color w:val="auto"/>
        </w:rPr>
        <w:t xml:space="preserve">3.09 </w:t>
      </w:r>
      <w:r>
        <w:rPr>
          <w:rFonts w:ascii="Arial" w:cs="Arial" w:eastAsia="Arial" w:hAnsi="Arial"/>
          <w:sz w:val="17"/>
          <w:szCs w:val="17"/>
          <w:u w:val="single" w:color="auto"/>
          <w:color w:val="auto"/>
        </w:rPr>
        <w:t>Conduct of Meetings.</w:t>
      </w:r>
      <w:r>
        <w:rPr>
          <w:rFonts w:ascii="Arial" w:cs="Arial" w:eastAsia="Arial" w:hAnsi="Arial"/>
          <w:sz w:val="20"/>
          <w:szCs w:val="20"/>
          <w:color w:val="auto"/>
        </w:rPr>
        <w:t xml:space="preserve"> </w:t>
      </w:r>
      <w:r>
        <w:rPr>
          <w:rFonts w:ascii="Arial" w:cs="Arial" w:eastAsia="Arial" w:hAnsi="Arial"/>
          <w:sz w:val="17"/>
          <w:szCs w:val="17"/>
          <w:color w:val="auto"/>
        </w:rPr>
        <w:t>The President, and in his or her absence, a Vice President in the order provided under Section 4.07, and in</w:t>
      </w:r>
      <w:r>
        <w:rPr>
          <w:rFonts w:ascii="Arial" w:cs="Arial" w:eastAsia="Arial" w:hAnsi="Arial"/>
          <w:sz w:val="20"/>
          <w:szCs w:val="20"/>
          <w:color w:val="auto"/>
        </w:rPr>
        <w:t xml:space="preserve"> </w:t>
      </w:r>
      <w:r>
        <w:rPr>
          <w:rFonts w:ascii="Arial" w:cs="Arial" w:eastAsia="Arial" w:hAnsi="Arial"/>
          <w:sz w:val="17"/>
          <w:szCs w:val="17"/>
          <w:color w:val="auto"/>
        </w:rPr>
        <w:t>their absence, any director chosen by the directors present, shall call meetings of the Board of Directors to order and shall act as chairperson of the meeting. The Secretary of the corporation shall act as secretary of all meetings of the Board of Directors but in the absence of the Secretary, the presiding officer may appoint any other person present to act as secretary of the meeting. Minutes of any regular or special meeting of the Board of Directors shall be prepared and distributed to each director.</w:t>
      </w:r>
    </w:p>
    <w:p>
      <w:pPr>
        <w:spacing w:after="0" w:line="201" w:lineRule="exact"/>
        <w:rPr>
          <w:sz w:val="20"/>
          <w:szCs w:val="20"/>
          <w:color w:val="auto"/>
        </w:rPr>
      </w:pPr>
    </w:p>
    <w:p>
      <w:pPr>
        <w:jc w:val="both"/>
        <w:ind w:left="100" w:right="20" w:firstLine="719"/>
        <w:spacing w:after="0" w:line="252" w:lineRule="auto"/>
        <w:rPr>
          <w:sz w:val="20"/>
          <w:szCs w:val="20"/>
          <w:color w:val="auto"/>
        </w:rPr>
      </w:pPr>
      <w:r>
        <w:rPr>
          <w:rFonts w:ascii="Arial" w:cs="Arial" w:eastAsia="Arial" w:hAnsi="Arial"/>
          <w:sz w:val="20"/>
          <w:szCs w:val="20"/>
          <w:color w:val="auto"/>
        </w:rPr>
        <w:t xml:space="preserve">3.10 </w:t>
      </w:r>
      <w:r>
        <w:rPr>
          <w:rFonts w:ascii="Arial" w:cs="Arial" w:eastAsia="Arial" w:hAnsi="Arial"/>
          <w:sz w:val="17"/>
          <w:szCs w:val="17"/>
          <w:u w:val="single" w:color="auto"/>
          <w:color w:val="auto"/>
        </w:rPr>
        <w:t>Vacancies.</w:t>
      </w:r>
      <w:r>
        <w:rPr>
          <w:rFonts w:ascii="Arial" w:cs="Arial" w:eastAsia="Arial" w:hAnsi="Arial"/>
          <w:sz w:val="20"/>
          <w:szCs w:val="20"/>
          <w:color w:val="auto"/>
        </w:rPr>
        <w:t xml:space="preserve"> </w:t>
      </w:r>
      <w:r>
        <w:rPr>
          <w:rFonts w:ascii="Arial" w:cs="Arial" w:eastAsia="Arial" w:hAnsi="Arial"/>
          <w:sz w:val="17"/>
          <w:szCs w:val="17"/>
          <w:color w:val="auto"/>
        </w:rPr>
        <w:t>Any vacancy occurring in the Board of Directors, including a vacancy resulting from an increase in the number of</w:t>
      </w:r>
      <w:r>
        <w:rPr>
          <w:rFonts w:ascii="Arial" w:cs="Arial" w:eastAsia="Arial" w:hAnsi="Arial"/>
          <w:sz w:val="20"/>
          <w:szCs w:val="20"/>
          <w:color w:val="auto"/>
        </w:rPr>
        <w:t xml:space="preserve"> </w:t>
      </w:r>
      <w:r>
        <w:rPr>
          <w:rFonts w:ascii="Arial" w:cs="Arial" w:eastAsia="Arial" w:hAnsi="Arial"/>
          <w:sz w:val="17"/>
          <w:szCs w:val="17"/>
          <w:color w:val="auto"/>
        </w:rPr>
        <w:t>directors, may be filled by the shareholders. The shareholders may, at any time, appoint a person to fill a vacancy caused by death, resignation, or incapacitation; provided, however, the successor director may not take office until the vacancy occurs.</w:t>
      </w:r>
    </w:p>
    <w:p>
      <w:pPr>
        <w:spacing w:after="0" w:line="269" w:lineRule="exact"/>
        <w:rPr>
          <w:sz w:val="20"/>
          <w:szCs w:val="20"/>
          <w:color w:val="auto"/>
        </w:rPr>
      </w:pPr>
    </w:p>
    <w:p>
      <w:pPr>
        <w:jc w:val="both"/>
        <w:ind w:left="40" w:right="40" w:firstLine="719"/>
        <w:spacing w:after="0" w:line="268"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17"/>
          <w:szCs w:val="17"/>
          <w:u w:val="single" w:color="auto"/>
          <w:color w:val="auto"/>
        </w:rPr>
        <w:t>Compensation.</w:t>
      </w:r>
      <w:r>
        <w:rPr>
          <w:rFonts w:ascii="Arial" w:cs="Arial" w:eastAsia="Arial" w:hAnsi="Arial"/>
          <w:sz w:val="20"/>
          <w:szCs w:val="20"/>
          <w:color w:val="auto"/>
        </w:rPr>
        <w:t xml:space="preserve"> </w:t>
      </w:r>
      <w:r>
        <w:rPr>
          <w:rFonts w:ascii="Arial" w:cs="Arial" w:eastAsia="Arial" w:hAnsi="Arial"/>
          <w:sz w:val="17"/>
          <w:szCs w:val="17"/>
          <w:color w:val="auto"/>
        </w:rPr>
        <w:t>The Board of Directors, irrespective of any personal interest of any of its members, may establish</w:t>
      </w:r>
      <w:r>
        <w:rPr>
          <w:rFonts w:ascii="Arial" w:cs="Arial" w:eastAsia="Arial" w:hAnsi="Arial"/>
          <w:sz w:val="20"/>
          <w:szCs w:val="20"/>
          <w:color w:val="auto"/>
        </w:rPr>
        <w:t xml:space="preserve"> </w:t>
      </w:r>
      <w:r>
        <w:rPr>
          <w:rFonts w:ascii="Arial" w:cs="Arial" w:eastAsia="Arial" w:hAnsi="Arial"/>
          <w:sz w:val="17"/>
          <w:szCs w:val="17"/>
          <w:color w:val="auto"/>
        </w:rPr>
        <w:t>reasonable compensation of all directors for services to the corporation as directors or may delegate such authority to an appropriate committee. The Board of Directors also shall have authority to provide for or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spacing w:after="0" w:line="178" w:lineRule="exact"/>
        <w:rPr>
          <w:sz w:val="20"/>
          <w:szCs w:val="20"/>
          <w:color w:val="auto"/>
        </w:rPr>
      </w:pPr>
    </w:p>
    <w:p>
      <w:pPr>
        <w:jc w:val="both"/>
        <w:ind w:left="60" w:right="40" w:firstLine="704"/>
        <w:spacing w:after="0"/>
        <w:rPr>
          <w:sz w:val="20"/>
          <w:szCs w:val="20"/>
          <w:color w:val="auto"/>
        </w:rPr>
      </w:pPr>
      <w:r>
        <w:rPr>
          <w:rFonts w:ascii="Arial" w:cs="Arial" w:eastAsia="Arial" w:hAnsi="Arial"/>
          <w:sz w:val="20"/>
          <w:szCs w:val="20"/>
          <w:color w:val="auto"/>
        </w:rPr>
        <w:t xml:space="preserve">3.12 </w:t>
      </w:r>
      <w:r>
        <w:rPr>
          <w:rFonts w:ascii="Arial" w:cs="Arial" w:eastAsia="Arial" w:hAnsi="Arial"/>
          <w:sz w:val="17"/>
          <w:szCs w:val="17"/>
          <w:u w:val="single" w:color="auto"/>
          <w:color w:val="auto"/>
        </w:rPr>
        <w:t>Presumption of Assent.</w:t>
      </w:r>
      <w:r>
        <w:rPr>
          <w:rFonts w:ascii="Arial" w:cs="Arial" w:eastAsia="Arial" w:hAnsi="Arial"/>
          <w:sz w:val="20"/>
          <w:szCs w:val="20"/>
          <w:color w:val="auto"/>
        </w:rPr>
        <w:t xml:space="preserve"> </w:t>
      </w:r>
      <w:r>
        <w:rPr>
          <w:rFonts w:ascii="Arial" w:cs="Arial" w:eastAsia="Arial" w:hAnsi="Arial"/>
          <w:sz w:val="17"/>
          <w:szCs w:val="17"/>
          <w:color w:val="auto"/>
        </w:rPr>
        <w:t>A director who is present and is announced as present at a meeting of the Board of Directors or any</w:t>
      </w:r>
      <w:r>
        <w:rPr>
          <w:rFonts w:ascii="Arial" w:cs="Arial" w:eastAsia="Arial" w:hAnsi="Arial"/>
          <w:sz w:val="20"/>
          <w:szCs w:val="20"/>
          <w:color w:val="auto"/>
        </w:rPr>
        <w:t xml:space="preserve"> </w:t>
      </w:r>
      <w:r>
        <w:rPr>
          <w:rFonts w:ascii="Arial" w:cs="Arial" w:eastAsia="Arial" w:hAnsi="Arial"/>
          <w:sz w:val="17"/>
          <w:szCs w:val="17"/>
          <w:color w:val="auto"/>
        </w:rPr>
        <w:t>committee thereof created in accordance with Section</w:t>
      </w:r>
    </w:p>
    <w:p>
      <w:pPr>
        <w:spacing w:after="0" w:line="1"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color w:val="auto"/>
        </w:rPr>
        <w:t>hereof, when corporate action is taken, assents to the action taken unless any of the following</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1F1F1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25" w:right="479" w:bottom="1440" w:gutter="0" w:footer="0" w:header="0"/>
        </w:sectPr>
      </w:pPr>
    </w:p>
    <w:bookmarkStart w:id="96" w:name="page97"/>
    <w:bookmarkEnd w:id="96"/>
    <w:p>
      <w:pPr>
        <w:jc w:val="both"/>
        <w:ind w:left="40" w:firstLine="694"/>
        <w:spacing w:after="0" w:line="253" w:lineRule="auto"/>
        <w:rPr>
          <w:sz w:val="20"/>
          <w:szCs w:val="20"/>
          <w:color w:val="auto"/>
        </w:rPr>
      </w:pPr>
      <w:r>
        <w:rPr>
          <w:rFonts w:ascii="Arial" w:cs="Arial" w:eastAsia="Arial" w:hAnsi="Arial"/>
          <w:sz w:val="18"/>
          <w:szCs w:val="18"/>
          <w:color w:val="auto"/>
        </w:rPr>
        <w:t>occurs: (a) the director objects at the beginning of the meeting or promptly upon his or her arrival to holding the meeting or transacting business at the meeting; (b) the director dissents or abstains from an action taken and minutes of the meeting are prepared that show the director's dissent or abstention from the action taken; (c) the director delivers written notice that complies with the Indiana Business Corporation Law of his or her dissent or abstention to the presiding officer of the meeting before its adjournment or to the corporation immediately after adjournment of the meeting; or (d) the director dissents or abstains from an action taken, minutes of the meeting are prepared that fail to show the director's dissent or abstention from the action taken, and the director delivers to the corporation a written notice of that failure that complies with the Indiana Business Corporation Law promptly after receiving the minutes. Such right of dissent or abstention shall not apply to a director who votes in favor of the action taken.</w:t>
      </w:r>
    </w:p>
    <w:p>
      <w:pPr>
        <w:spacing w:after="0" w:line="194" w:lineRule="exact"/>
        <w:rPr>
          <w:sz w:val="20"/>
          <w:szCs w:val="20"/>
          <w:color w:val="auto"/>
        </w:rPr>
      </w:pPr>
    </w:p>
    <w:p>
      <w:pPr>
        <w:jc w:val="both"/>
        <w:ind w:left="60" w:firstLine="719"/>
        <w:spacing w:after="0" w:line="254" w:lineRule="auto"/>
        <w:rPr>
          <w:sz w:val="20"/>
          <w:szCs w:val="20"/>
          <w:color w:val="auto"/>
        </w:rPr>
      </w:pPr>
      <w:r>
        <w:rPr>
          <w:rFonts w:ascii="Arial" w:cs="Arial" w:eastAsia="Arial" w:hAnsi="Arial"/>
          <w:sz w:val="20"/>
          <w:szCs w:val="20"/>
          <w:color w:val="262626"/>
        </w:rPr>
        <w:t xml:space="preserve">3.13 </w:t>
      </w:r>
      <w:r>
        <w:rPr>
          <w:rFonts w:ascii="Arial" w:cs="Arial" w:eastAsia="Arial" w:hAnsi="Arial"/>
          <w:sz w:val="17"/>
          <w:szCs w:val="17"/>
          <w:u w:val="single" w:color="auto"/>
          <w:color w:val="000000"/>
        </w:rPr>
        <w:t>Committees.</w:t>
      </w:r>
      <w:r>
        <w:rPr>
          <w:rFonts w:ascii="Arial" w:cs="Arial" w:eastAsia="Arial" w:hAnsi="Arial"/>
          <w:sz w:val="20"/>
          <w:szCs w:val="20"/>
          <w:color w:val="262626"/>
        </w:rPr>
        <w:t xml:space="preserve"> </w:t>
      </w:r>
      <w:r>
        <w:rPr>
          <w:rFonts w:ascii="Arial" w:cs="Arial" w:eastAsia="Arial" w:hAnsi="Arial"/>
          <w:sz w:val="17"/>
          <w:szCs w:val="17"/>
          <w:color w:val="000000"/>
        </w:rPr>
        <w:t>The Board of Directors by resolution adopted by the affirmative vote of a majority of all of the directors then in office</w:t>
      </w:r>
      <w:r>
        <w:rPr>
          <w:rFonts w:ascii="Arial" w:cs="Arial" w:eastAsia="Arial" w:hAnsi="Arial"/>
          <w:sz w:val="20"/>
          <w:szCs w:val="20"/>
          <w:color w:val="262626"/>
        </w:rPr>
        <w:t xml:space="preserve"> </w:t>
      </w:r>
      <w:r>
        <w:rPr>
          <w:rFonts w:ascii="Arial" w:cs="Arial" w:eastAsia="Arial" w:hAnsi="Arial"/>
          <w:sz w:val="17"/>
          <w:szCs w:val="17"/>
          <w:color w:val="000000"/>
        </w:rPr>
        <w:t>may create one or more committees, appoint members of the Board of Directors to serve on the committees and designate other members of the Board of Directors to serve as alternates. Each committee shall have two or more members who shall, unless otherwise provided by the Board of Directors, serve at the pleasure of the Board of Directors. A committee may be authorized to exercise the authority of the Board of Directors, except that a committee may not do any of the following: (a) authorize distributions;</w:t>
      </w:r>
    </w:p>
    <w:p>
      <w:pPr>
        <w:spacing w:after="0" w:line="2" w:lineRule="exact"/>
        <w:rPr>
          <w:sz w:val="20"/>
          <w:szCs w:val="20"/>
          <w:color w:val="auto"/>
        </w:rPr>
      </w:pPr>
    </w:p>
    <w:p>
      <w:pPr>
        <w:jc w:val="both"/>
        <w:ind w:left="60" w:firstLine="7"/>
        <w:spacing w:after="0" w:line="281" w:lineRule="auto"/>
        <w:tabs>
          <w:tab w:leader="none" w:pos="321"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approve or propose to shareholders action that the Indiana Business Corporation Law requires to be approved by shareholders; (c) fill vacancies on the Board of Directors or, unless the Board of Directors provides by resolution that vacancies on a committee shall be filled by the affirmative vote of the remaining committee members, on any Board committee; (d) amend the corporation's articles of incorporation; (e) adopt, amend or repeal bylaws;</w:t>
      </w:r>
    </w:p>
    <w:p>
      <w:pPr>
        <w:jc w:val="both"/>
        <w:ind w:left="60" w:firstLine="6"/>
        <w:spacing w:after="0" w:line="271" w:lineRule="auto"/>
        <w:tabs>
          <w:tab w:leader="none" w:pos="30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approve a plan of merger not requiring shareholder approval; (g) authorize or approve reacquisition of shares, except according to a formula or method prescribed by the Board of Directors; and (h) authorize or approve the issuance or sale or contract for sale of shares, or determine the designation and relative rights, preferences and limitations of a class or series of shares, except that the Board of Directors may authorize a committee to do so within limits prescribed by the Board of Directors. Unless otherwise provided by the Board of Directors in creating the committee, a committee may employ counsel, accountants and other consultants to assist it in the exercise of its authority.</w:t>
      </w:r>
    </w:p>
    <w:p>
      <w:pPr>
        <w:spacing w:after="0" w:line="268" w:lineRule="exact"/>
        <w:rPr>
          <w:sz w:val="20"/>
          <w:szCs w:val="20"/>
          <w:color w:val="auto"/>
        </w:rPr>
      </w:pPr>
    </w:p>
    <w:p>
      <w:pPr>
        <w:jc w:val="both"/>
        <w:ind w:left="60"/>
        <w:spacing w:after="0" w:line="260" w:lineRule="auto"/>
        <w:rPr>
          <w:sz w:val="20"/>
          <w:szCs w:val="20"/>
          <w:color w:val="auto"/>
        </w:rPr>
      </w:pPr>
      <w:r>
        <w:rPr>
          <w:rFonts w:ascii="Arial" w:cs="Arial" w:eastAsia="Arial" w:hAnsi="Arial"/>
          <w:sz w:val="20"/>
          <w:szCs w:val="20"/>
          <w:color w:val="262626"/>
        </w:rPr>
        <w:t xml:space="preserve">3.14 </w:t>
      </w:r>
      <w:r>
        <w:rPr>
          <w:rFonts w:ascii="Arial" w:cs="Arial" w:eastAsia="Arial" w:hAnsi="Arial"/>
          <w:sz w:val="17"/>
          <w:szCs w:val="17"/>
          <w:u w:val="single" w:color="auto"/>
          <w:color w:val="000000"/>
        </w:rPr>
        <w:t>Telephonic Meetings.</w:t>
      </w:r>
      <w:r>
        <w:rPr>
          <w:rFonts w:ascii="Arial" w:cs="Arial" w:eastAsia="Arial" w:hAnsi="Arial"/>
          <w:sz w:val="20"/>
          <w:szCs w:val="20"/>
          <w:color w:val="262626"/>
        </w:rPr>
        <w:t xml:space="preserve"> </w:t>
      </w:r>
      <w:r>
        <w:rPr>
          <w:rFonts w:ascii="Arial" w:cs="Arial" w:eastAsia="Arial" w:hAnsi="Arial"/>
          <w:sz w:val="17"/>
          <w:szCs w:val="17"/>
          <w:color w:val="000000"/>
        </w:rPr>
        <w:t>Except as herein provided and notwithstanding any place set forth in the notice of the meeting or these bylaws,</w:t>
      </w:r>
      <w:r>
        <w:rPr>
          <w:rFonts w:ascii="Arial" w:cs="Arial" w:eastAsia="Arial" w:hAnsi="Arial"/>
          <w:sz w:val="20"/>
          <w:szCs w:val="20"/>
          <w:color w:val="262626"/>
        </w:rPr>
        <w:t xml:space="preserve"> </w:t>
      </w:r>
      <w:r>
        <w:rPr>
          <w:rFonts w:ascii="Arial" w:cs="Arial" w:eastAsia="Arial" w:hAnsi="Arial"/>
          <w:sz w:val="17"/>
          <w:szCs w:val="17"/>
          <w:color w:val="000000"/>
        </w:rPr>
        <w:t>members of the Board of Directors (and any committees thereof created pursuant to Section 3.13 hereof) may participate in regular or special meetings by, or through the use of, any means of communication by which all participants may simultaneously hear each other, such as by conference telephone. If a meeting is conducted by such means, then at the commencement of such meeting the presiding officer shall inform the participating directors that a meeting is taking place at which official business may be transacted. Any participant in a meeting by such means shall be deemed present in person at such meeting. Notwithstanding the foregoing, no action may be taken at any meeting held by such means on any particular matter which the presiding officer determines, in his or her sole discretion, to be inappropriate under the circumstances for action at a meeting held by such means. Such determination shall be made and announced in advance of such meeting.</w:t>
      </w:r>
    </w:p>
    <w:p>
      <w:pPr>
        <w:spacing w:after="0" w:line="186" w:lineRule="exact"/>
        <w:rPr>
          <w:sz w:val="20"/>
          <w:szCs w:val="20"/>
          <w:color w:val="auto"/>
        </w:rPr>
      </w:pPr>
    </w:p>
    <w:p>
      <w:pPr>
        <w:jc w:val="both"/>
        <w:ind w:left="60" w:right="20" w:firstLine="704"/>
        <w:spacing w:after="0" w:line="268" w:lineRule="auto"/>
        <w:rPr>
          <w:sz w:val="20"/>
          <w:szCs w:val="20"/>
          <w:color w:val="auto"/>
        </w:rPr>
      </w:pPr>
      <w:r>
        <w:rPr>
          <w:rFonts w:ascii="Arial" w:cs="Arial" w:eastAsia="Arial" w:hAnsi="Arial"/>
          <w:sz w:val="20"/>
          <w:szCs w:val="20"/>
          <w:color w:val="262626"/>
        </w:rPr>
        <w:t xml:space="preserve">3.15 </w:t>
      </w:r>
      <w:r>
        <w:rPr>
          <w:rFonts w:ascii="Arial" w:cs="Arial" w:eastAsia="Arial" w:hAnsi="Arial"/>
          <w:sz w:val="17"/>
          <w:szCs w:val="17"/>
          <w:u w:val="single" w:color="auto"/>
          <w:color w:val="000000"/>
        </w:rPr>
        <w:t>Action Without Meeting.</w:t>
      </w:r>
      <w:r>
        <w:rPr>
          <w:rFonts w:ascii="Arial" w:cs="Arial" w:eastAsia="Arial" w:hAnsi="Arial"/>
          <w:sz w:val="20"/>
          <w:szCs w:val="20"/>
          <w:color w:val="262626"/>
        </w:rPr>
        <w:t xml:space="preserve"> </w:t>
      </w:r>
      <w:r>
        <w:rPr>
          <w:rFonts w:ascii="Arial" w:cs="Arial" w:eastAsia="Arial" w:hAnsi="Arial"/>
          <w:sz w:val="17"/>
          <w:szCs w:val="17"/>
          <w:color w:val="000000"/>
        </w:rPr>
        <w:t>Any action required or permitted by the Indiana Business Corporation Law to be taken at a meeting of</w:t>
      </w:r>
      <w:r>
        <w:rPr>
          <w:rFonts w:ascii="Arial" w:cs="Arial" w:eastAsia="Arial" w:hAnsi="Arial"/>
          <w:sz w:val="20"/>
          <w:szCs w:val="20"/>
          <w:color w:val="262626"/>
        </w:rPr>
        <w:t xml:space="preserve"> </w:t>
      </w:r>
      <w:r>
        <w:rPr>
          <w:rFonts w:ascii="Arial" w:cs="Arial" w:eastAsia="Arial" w:hAnsi="Arial"/>
          <w:sz w:val="17"/>
          <w:szCs w:val="17"/>
          <w:color w:val="000000"/>
        </w:rPr>
        <w:t>the Board of Directors or a committee thereof created pursuant to Section 3.13 hereof may be taken without a meeting if the action is taken by all members of the Board or of the committee. The action shall be evidenced by one or more written consents describing the action taken, signed by each director or committee member and retained by the corporation. Such action shall be effective when the last director or committee member signs the consent, unless the consent specifies a different effective date.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IV. OFFICERS</w:t>
      </w:r>
    </w:p>
    <w:p>
      <w:pPr>
        <w:spacing w:after="0" w:line="222" w:lineRule="exact"/>
        <w:rPr>
          <w:sz w:val="20"/>
          <w:szCs w:val="20"/>
          <w:color w:val="auto"/>
        </w:rPr>
      </w:pPr>
    </w:p>
    <w:p>
      <w:pPr>
        <w:jc w:val="both"/>
        <w:ind w:left="80" w:right="20" w:firstLine="704"/>
        <w:spacing w:after="0" w:line="252" w:lineRule="auto"/>
        <w:rPr>
          <w:sz w:val="20"/>
          <w:szCs w:val="20"/>
          <w:color w:val="auto"/>
        </w:rPr>
      </w:pPr>
      <w:r>
        <w:rPr>
          <w:rFonts w:ascii="Arial" w:cs="Arial" w:eastAsia="Arial" w:hAnsi="Arial"/>
          <w:sz w:val="20"/>
          <w:szCs w:val="20"/>
          <w:color w:val="262626"/>
        </w:rPr>
        <w:t xml:space="preserve">4.01 </w:t>
      </w:r>
      <w:r>
        <w:rPr>
          <w:rFonts w:ascii="Arial" w:cs="Arial" w:eastAsia="Arial" w:hAnsi="Arial"/>
          <w:sz w:val="17"/>
          <w:szCs w:val="17"/>
          <w:u w:val="single" w:color="auto"/>
          <w:color w:val="000000"/>
        </w:rPr>
        <w:t>Number.</w:t>
      </w:r>
      <w:r>
        <w:rPr>
          <w:rFonts w:ascii="Arial" w:cs="Arial" w:eastAsia="Arial" w:hAnsi="Arial"/>
          <w:sz w:val="20"/>
          <w:szCs w:val="20"/>
          <w:color w:val="262626"/>
        </w:rPr>
        <w:t xml:space="preserve"> </w:t>
      </w:r>
      <w:r>
        <w:rPr>
          <w:rFonts w:ascii="Arial" w:cs="Arial" w:eastAsia="Arial" w:hAnsi="Arial"/>
          <w:sz w:val="17"/>
          <w:szCs w:val="17"/>
          <w:color w:val="000000"/>
        </w:rPr>
        <w:t>The principal officers of the corporation shall be a President, one or more Vice Presidents, a Chief Financial Officer, a</w:t>
      </w:r>
      <w:r>
        <w:rPr>
          <w:rFonts w:ascii="Arial" w:cs="Arial" w:eastAsia="Arial" w:hAnsi="Arial"/>
          <w:sz w:val="20"/>
          <w:szCs w:val="20"/>
          <w:color w:val="262626"/>
        </w:rPr>
        <w:t xml:space="preserve"> </w:t>
      </w:r>
      <w:r>
        <w:rPr>
          <w:rFonts w:ascii="Arial" w:cs="Arial" w:eastAsia="Arial" w:hAnsi="Arial"/>
          <w:sz w:val="17"/>
          <w:szCs w:val="17"/>
          <w:color w:val="000000"/>
        </w:rPr>
        <w:t>Secretary, and a Treasurer, each of whom shall be elected by the Board of Directors. Such other officers and assistant officers as may be deemed necessary may be elected or</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1F1F1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125" w:right="499" w:bottom="1440" w:gutter="0" w:footer="0" w:header="0"/>
        </w:sectPr>
      </w:pPr>
    </w:p>
    <w:bookmarkStart w:id="97" w:name="page98"/>
    <w:bookmarkEnd w:id="97"/>
    <w:p>
      <w:pPr>
        <w:jc w:val="both"/>
        <w:ind w:left="80" w:right="40"/>
        <w:spacing w:after="0" w:line="277" w:lineRule="auto"/>
        <w:rPr>
          <w:sz w:val="20"/>
          <w:szCs w:val="20"/>
          <w:color w:val="auto"/>
        </w:rPr>
      </w:pPr>
      <w:r>
        <w:rPr>
          <w:rFonts w:ascii="Arial" w:cs="Arial" w:eastAsia="Arial" w:hAnsi="Arial"/>
          <w:sz w:val="18"/>
          <w:szCs w:val="18"/>
          <w:color w:val="auto"/>
        </w:rPr>
        <w:t>appointed by the Board of Directors. The Board of Directors may also authorize any duly appointed officer to appoint one or more officers or assistant officers. Any two or more offices may be held by the same person.</w:t>
      </w:r>
    </w:p>
    <w:p>
      <w:pPr>
        <w:spacing w:after="0" w:line="180" w:lineRule="exact"/>
        <w:rPr>
          <w:sz w:val="20"/>
          <w:szCs w:val="20"/>
          <w:color w:val="auto"/>
        </w:rPr>
      </w:pPr>
    </w:p>
    <w:p>
      <w:pPr>
        <w:jc w:val="both"/>
        <w:ind w:left="80" w:right="20" w:firstLine="704"/>
        <w:spacing w:after="0" w:line="255" w:lineRule="auto"/>
        <w:rPr>
          <w:sz w:val="20"/>
          <w:szCs w:val="20"/>
          <w:color w:val="auto"/>
        </w:rPr>
      </w:pPr>
      <w:r>
        <w:rPr>
          <w:rFonts w:ascii="Arial" w:cs="Arial" w:eastAsia="Arial" w:hAnsi="Arial"/>
          <w:sz w:val="20"/>
          <w:szCs w:val="20"/>
          <w:color w:val="262626"/>
        </w:rPr>
        <w:t xml:space="preserve">4.02 </w:t>
      </w:r>
      <w:r>
        <w:rPr>
          <w:rFonts w:ascii="Arial" w:cs="Arial" w:eastAsia="Arial" w:hAnsi="Arial"/>
          <w:sz w:val="17"/>
          <w:szCs w:val="17"/>
          <w:u w:val="single" w:color="auto"/>
          <w:color w:val="000000"/>
        </w:rPr>
        <w:t>Election and Term of Office.</w:t>
      </w:r>
      <w:r>
        <w:rPr>
          <w:rFonts w:ascii="Arial" w:cs="Arial" w:eastAsia="Arial" w:hAnsi="Arial"/>
          <w:sz w:val="20"/>
          <w:szCs w:val="20"/>
          <w:color w:val="262626"/>
        </w:rPr>
        <w:t xml:space="preserve"> </w:t>
      </w:r>
      <w:r>
        <w:rPr>
          <w:rFonts w:ascii="Arial" w:cs="Arial" w:eastAsia="Arial" w:hAnsi="Arial"/>
          <w:sz w:val="17"/>
          <w:szCs w:val="17"/>
          <w:color w:val="000000"/>
        </w:rPr>
        <w:t>The officers of the corporation to be elected by the Board of Directors shall be elected annually by the</w:t>
      </w:r>
      <w:r>
        <w:rPr>
          <w:rFonts w:ascii="Arial" w:cs="Arial" w:eastAsia="Arial" w:hAnsi="Arial"/>
          <w:sz w:val="20"/>
          <w:szCs w:val="20"/>
          <w:color w:val="262626"/>
        </w:rPr>
        <w:t xml:space="preserve"> </w:t>
      </w:r>
      <w:r>
        <w:rPr>
          <w:rFonts w:ascii="Arial" w:cs="Arial" w:eastAsia="Arial" w:hAnsi="Arial"/>
          <w:sz w:val="17"/>
          <w:szCs w:val="17"/>
          <w:color w:val="000000"/>
        </w:rPr>
        <w:t>Board of Directors at the first meeting of the Board of Directors held after each annual meeting of the shareholders. If the election of officers shall not be held at such meeting, such election shall be held as soon thereafter as is practicable. Each officer shall hold office until his or her successor shall have been duly elected or until his or her prior death, resignation or removal.</w:t>
      </w:r>
    </w:p>
    <w:p>
      <w:pPr>
        <w:spacing w:after="0" w:line="188" w:lineRule="exact"/>
        <w:rPr>
          <w:sz w:val="20"/>
          <w:szCs w:val="20"/>
          <w:color w:val="auto"/>
        </w:rPr>
      </w:pPr>
    </w:p>
    <w:p>
      <w:pPr>
        <w:jc w:val="both"/>
        <w:ind w:left="80" w:right="40" w:firstLine="719"/>
        <w:spacing w:after="0" w:line="252" w:lineRule="auto"/>
        <w:rPr>
          <w:sz w:val="20"/>
          <w:szCs w:val="20"/>
          <w:color w:val="auto"/>
        </w:rPr>
      </w:pPr>
      <w:r>
        <w:rPr>
          <w:rFonts w:ascii="Arial" w:cs="Arial" w:eastAsia="Arial" w:hAnsi="Arial"/>
          <w:sz w:val="20"/>
          <w:szCs w:val="20"/>
          <w:color w:val="262626"/>
        </w:rPr>
        <w:t xml:space="preserve">4.03 </w:t>
      </w:r>
      <w:r>
        <w:rPr>
          <w:rFonts w:ascii="Arial" w:cs="Arial" w:eastAsia="Arial" w:hAnsi="Arial"/>
          <w:sz w:val="17"/>
          <w:szCs w:val="17"/>
          <w:u w:val="single" w:color="auto"/>
          <w:color w:val="000000"/>
        </w:rPr>
        <w:t>Removal.</w:t>
      </w:r>
      <w:r>
        <w:rPr>
          <w:rFonts w:ascii="Arial" w:cs="Arial" w:eastAsia="Arial" w:hAnsi="Arial"/>
          <w:sz w:val="20"/>
          <w:szCs w:val="20"/>
          <w:color w:val="262626"/>
        </w:rPr>
        <w:t xml:space="preserve"> </w:t>
      </w:r>
      <w:r>
        <w:rPr>
          <w:rFonts w:ascii="Arial" w:cs="Arial" w:eastAsia="Arial" w:hAnsi="Arial"/>
          <w:sz w:val="17"/>
          <w:szCs w:val="17"/>
          <w:color w:val="000000"/>
        </w:rPr>
        <w:t>The Board of Directors may remove any officer and, unless restricted by the Board of Directors or these bylaws, an</w:t>
      </w:r>
      <w:r>
        <w:rPr>
          <w:rFonts w:ascii="Arial" w:cs="Arial" w:eastAsia="Arial" w:hAnsi="Arial"/>
          <w:sz w:val="20"/>
          <w:szCs w:val="20"/>
          <w:color w:val="262626"/>
        </w:rPr>
        <w:t xml:space="preserve"> </w:t>
      </w:r>
      <w:r>
        <w:rPr>
          <w:rFonts w:ascii="Arial" w:cs="Arial" w:eastAsia="Arial" w:hAnsi="Arial"/>
          <w:sz w:val="17"/>
          <w:szCs w:val="17"/>
          <w:color w:val="000000"/>
        </w:rPr>
        <w:t>officer may remove any officer or assistant officer appointed by that officer, at any time, with or without cause and notwithstanding the contract rights, if any, of the officer removed. The appointment of an officer does not of itself create contract rights.</w:t>
      </w:r>
    </w:p>
    <w:p>
      <w:pPr>
        <w:spacing w:after="0" w:line="202" w:lineRule="exact"/>
        <w:rPr>
          <w:sz w:val="20"/>
          <w:szCs w:val="20"/>
          <w:color w:val="auto"/>
        </w:rPr>
      </w:pPr>
    </w:p>
    <w:p>
      <w:pPr>
        <w:jc w:val="both"/>
        <w:ind w:left="80" w:right="20" w:firstLine="694"/>
        <w:spacing w:after="0" w:line="252" w:lineRule="auto"/>
        <w:rPr>
          <w:sz w:val="20"/>
          <w:szCs w:val="20"/>
          <w:color w:val="auto"/>
        </w:rPr>
      </w:pPr>
      <w:r>
        <w:rPr>
          <w:rFonts w:ascii="Arial" w:cs="Arial" w:eastAsia="Arial" w:hAnsi="Arial"/>
          <w:sz w:val="20"/>
          <w:szCs w:val="20"/>
          <w:color w:val="262626"/>
        </w:rPr>
        <w:t xml:space="preserve">4.04 </w:t>
      </w:r>
      <w:r>
        <w:rPr>
          <w:rFonts w:ascii="Arial" w:cs="Arial" w:eastAsia="Arial" w:hAnsi="Arial"/>
          <w:sz w:val="17"/>
          <w:szCs w:val="17"/>
          <w:u w:val="single" w:color="auto"/>
          <w:color w:val="000000"/>
        </w:rPr>
        <w:t>Resignation.</w:t>
      </w:r>
      <w:r>
        <w:rPr>
          <w:rFonts w:ascii="Arial" w:cs="Arial" w:eastAsia="Arial" w:hAnsi="Arial"/>
          <w:sz w:val="20"/>
          <w:szCs w:val="20"/>
          <w:color w:val="262626"/>
        </w:rPr>
        <w:t xml:space="preserve"> </w:t>
      </w:r>
      <w:r>
        <w:rPr>
          <w:rFonts w:ascii="Arial" w:cs="Arial" w:eastAsia="Arial" w:hAnsi="Arial"/>
          <w:sz w:val="17"/>
          <w:szCs w:val="17"/>
          <w:color w:val="000000"/>
        </w:rPr>
        <w:t>An officer may resign at any time by delivering notice to the corporation that complies with the Indiana Business</w:t>
      </w:r>
      <w:r>
        <w:rPr>
          <w:rFonts w:ascii="Arial" w:cs="Arial" w:eastAsia="Arial" w:hAnsi="Arial"/>
          <w:sz w:val="20"/>
          <w:szCs w:val="20"/>
          <w:color w:val="262626"/>
        </w:rPr>
        <w:t xml:space="preserve"> </w:t>
      </w:r>
      <w:r>
        <w:rPr>
          <w:rFonts w:ascii="Arial" w:cs="Arial" w:eastAsia="Arial" w:hAnsi="Arial"/>
          <w:sz w:val="17"/>
          <w:szCs w:val="17"/>
          <w:color w:val="000000"/>
        </w:rPr>
        <w:t>Corporation Law. The resignation shall be effective when the notice is delivered, unless the notice specifies a later effective date and the corporation accepts the later effective date.</w:t>
      </w:r>
    </w:p>
    <w:p>
      <w:pPr>
        <w:spacing w:after="0" w:line="269" w:lineRule="exact"/>
        <w:rPr>
          <w:sz w:val="20"/>
          <w:szCs w:val="20"/>
          <w:color w:val="auto"/>
        </w:rPr>
      </w:pPr>
    </w:p>
    <w:p>
      <w:pPr>
        <w:jc w:val="both"/>
        <w:ind w:left="80" w:right="20" w:firstLine="15"/>
        <w:spacing w:after="0" w:line="252" w:lineRule="auto"/>
        <w:rPr>
          <w:sz w:val="20"/>
          <w:szCs w:val="20"/>
          <w:color w:val="auto"/>
        </w:rPr>
      </w:pPr>
      <w:r>
        <w:rPr>
          <w:rFonts w:ascii="Arial" w:cs="Arial" w:eastAsia="Arial" w:hAnsi="Arial"/>
          <w:sz w:val="20"/>
          <w:szCs w:val="20"/>
          <w:color w:val="262626"/>
        </w:rPr>
        <w:t xml:space="preserve">4.05 </w:t>
      </w:r>
      <w:r>
        <w:rPr>
          <w:rFonts w:ascii="Arial" w:cs="Arial" w:eastAsia="Arial" w:hAnsi="Arial"/>
          <w:sz w:val="17"/>
          <w:szCs w:val="17"/>
          <w:u w:val="single" w:color="auto"/>
          <w:color w:val="000000"/>
        </w:rPr>
        <w:t>Vacancies.</w:t>
      </w:r>
      <w:r>
        <w:rPr>
          <w:rFonts w:ascii="Arial" w:cs="Arial" w:eastAsia="Arial" w:hAnsi="Arial"/>
          <w:sz w:val="20"/>
          <w:szCs w:val="20"/>
          <w:color w:val="262626"/>
        </w:rPr>
        <w:t xml:space="preserve"> </w:t>
      </w:r>
      <w:r>
        <w:rPr>
          <w:rFonts w:ascii="Arial" w:cs="Arial" w:eastAsia="Arial" w:hAnsi="Arial"/>
          <w:sz w:val="17"/>
          <w:szCs w:val="17"/>
          <w:color w:val="000000"/>
        </w:rPr>
        <w:t>A vacancy in any principal office because of death, resignation, removal, disqualification or otherwise, shall be filled by the Board</w:t>
      </w:r>
      <w:r>
        <w:rPr>
          <w:rFonts w:ascii="Arial" w:cs="Arial" w:eastAsia="Arial" w:hAnsi="Arial"/>
          <w:sz w:val="20"/>
          <w:szCs w:val="20"/>
          <w:color w:val="262626"/>
        </w:rPr>
        <w:t xml:space="preserve"> </w:t>
      </w:r>
      <w:r>
        <w:rPr>
          <w:rFonts w:ascii="Arial" w:cs="Arial" w:eastAsia="Arial" w:hAnsi="Arial"/>
          <w:sz w:val="17"/>
          <w:szCs w:val="17"/>
          <w:color w:val="000000"/>
        </w:rPr>
        <w:t>of Directors for the unexpired portion of the term. The Board of Directors may, at any time, appoint a person to fill a vacancy caused by death, resignation, or incapacitation; provided, however, the successor officer may not take office until the vacancy occurs.</w:t>
      </w:r>
    </w:p>
    <w:p>
      <w:pPr>
        <w:spacing w:after="0" w:line="188" w:lineRule="exact"/>
        <w:rPr>
          <w:sz w:val="20"/>
          <w:szCs w:val="20"/>
          <w:color w:val="auto"/>
        </w:rPr>
      </w:pPr>
    </w:p>
    <w:p>
      <w:pPr>
        <w:jc w:val="both"/>
        <w:ind w:left="80" w:firstLine="704"/>
        <w:spacing w:after="0" w:line="261" w:lineRule="auto"/>
        <w:rPr>
          <w:sz w:val="20"/>
          <w:szCs w:val="20"/>
          <w:color w:val="auto"/>
        </w:rPr>
      </w:pPr>
      <w:r>
        <w:rPr>
          <w:rFonts w:ascii="Arial" w:cs="Arial" w:eastAsia="Arial" w:hAnsi="Arial"/>
          <w:sz w:val="20"/>
          <w:szCs w:val="20"/>
          <w:color w:val="262626"/>
        </w:rPr>
        <w:t xml:space="preserve">4.06 </w:t>
      </w:r>
      <w:r>
        <w:rPr>
          <w:rFonts w:ascii="Arial" w:cs="Arial" w:eastAsia="Arial" w:hAnsi="Arial"/>
          <w:sz w:val="17"/>
          <w:szCs w:val="17"/>
          <w:u w:val="single" w:color="auto"/>
          <w:color w:val="000000"/>
        </w:rPr>
        <w:t>President.</w:t>
      </w:r>
      <w:r>
        <w:rPr>
          <w:rFonts w:ascii="Arial" w:cs="Arial" w:eastAsia="Arial" w:hAnsi="Arial"/>
          <w:sz w:val="20"/>
          <w:szCs w:val="20"/>
          <w:color w:val="262626"/>
        </w:rPr>
        <w:t xml:space="preserve"> </w:t>
      </w:r>
      <w:r>
        <w:rPr>
          <w:rFonts w:ascii="Arial" w:cs="Arial" w:eastAsia="Arial" w:hAnsi="Arial"/>
          <w:sz w:val="17"/>
          <w:szCs w:val="17"/>
          <w:color w:val="000000"/>
        </w:rPr>
        <w:t>The President shall be the principal executive officer of the corporation and, subject to the direction of the Board of</w:t>
      </w:r>
      <w:r>
        <w:rPr>
          <w:rFonts w:ascii="Arial" w:cs="Arial" w:eastAsia="Arial" w:hAnsi="Arial"/>
          <w:sz w:val="20"/>
          <w:szCs w:val="20"/>
          <w:color w:val="262626"/>
        </w:rPr>
        <w:t xml:space="preserve"> </w:t>
      </w:r>
      <w:r>
        <w:rPr>
          <w:rFonts w:ascii="Arial" w:cs="Arial" w:eastAsia="Arial" w:hAnsi="Arial"/>
          <w:sz w:val="17"/>
          <w:szCs w:val="17"/>
          <w:color w:val="000000"/>
        </w:rPr>
        <w:t>Directors, shall in general supervise and control all of the business and affairs of the corporation. The President shall, when present, preside at all meetings of the shareholders and of the Board of Directors. He or she shall have authority, subject to such rules as may be prescribed by the Board of Directors, to appoint such agents and employees of the corporation as he or she shall deem necessary, to prescribe their powers, duties and compensation, and to delegate authority to them. Such agents and employees shall hold office at the discretion of the President. He or she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or she may authorize any Vice President or other officer or agent of the corporation to sign, execute and acknowledge such documents or instruments in his or her place and stead. In general, he or she shall perform all duties incident to the office of President and such other duties as may be prescribed by the Board of Directors from time to time.</w:t>
      </w:r>
    </w:p>
    <w:p>
      <w:pPr>
        <w:spacing w:after="0" w:line="189" w:lineRule="exact"/>
        <w:rPr>
          <w:sz w:val="20"/>
          <w:szCs w:val="20"/>
          <w:color w:val="auto"/>
        </w:rPr>
      </w:pPr>
    </w:p>
    <w:p>
      <w:pPr>
        <w:jc w:val="both"/>
        <w:ind w:left="100" w:firstLine="704"/>
        <w:spacing w:after="0" w:line="259" w:lineRule="auto"/>
        <w:rPr>
          <w:sz w:val="20"/>
          <w:szCs w:val="20"/>
          <w:color w:val="auto"/>
        </w:rPr>
      </w:pPr>
      <w:r>
        <w:rPr>
          <w:rFonts w:ascii="Arial" w:cs="Arial" w:eastAsia="Arial" w:hAnsi="Arial"/>
          <w:sz w:val="20"/>
          <w:szCs w:val="20"/>
          <w:color w:val="262626"/>
        </w:rPr>
        <w:t xml:space="preserve">4.07 </w:t>
      </w:r>
      <w:r>
        <w:rPr>
          <w:rFonts w:ascii="Arial" w:cs="Arial" w:eastAsia="Arial" w:hAnsi="Arial"/>
          <w:sz w:val="17"/>
          <w:szCs w:val="17"/>
          <w:u w:val="single" w:color="auto"/>
          <w:color w:val="000000"/>
        </w:rPr>
        <w:t>Vice Presidents.</w:t>
      </w:r>
      <w:r>
        <w:rPr>
          <w:rFonts w:ascii="Arial" w:cs="Arial" w:eastAsia="Arial" w:hAnsi="Arial"/>
          <w:sz w:val="20"/>
          <w:szCs w:val="20"/>
          <w:color w:val="262626"/>
        </w:rPr>
        <w:t xml:space="preserve"> </w:t>
      </w:r>
      <w:r>
        <w:rPr>
          <w:rFonts w:ascii="Arial" w:cs="Arial" w:eastAsia="Arial" w:hAnsi="Arial"/>
          <w:sz w:val="17"/>
          <w:szCs w:val="17"/>
          <w:color w:val="000000"/>
        </w:rPr>
        <w:t>Any Vice President may sign, with the Secretary or Assistant Secretary, certificates for shares of the corporation;</w:t>
      </w:r>
      <w:r>
        <w:rPr>
          <w:rFonts w:ascii="Arial" w:cs="Arial" w:eastAsia="Arial" w:hAnsi="Arial"/>
          <w:sz w:val="20"/>
          <w:szCs w:val="20"/>
          <w:color w:val="262626"/>
        </w:rPr>
        <w:t xml:space="preserve"> </w:t>
      </w:r>
      <w:r>
        <w:rPr>
          <w:rFonts w:ascii="Arial" w:cs="Arial" w:eastAsia="Arial" w:hAnsi="Arial"/>
          <w:sz w:val="17"/>
          <w:szCs w:val="17"/>
          <w:color w:val="000000"/>
        </w:rPr>
        <w:t>and each of them shall perform such other duties and shall have such other authority as from time to time may be delegated or assigned to him or her by the President or by the Board of Directors. The execution of any instrument of the corporation by any such Vice President shall be conclusive evidence, as to third parties, of his or her authority to act on behalf of the corporation. In the absence or incapacity of the President, then the Executive Vice President and Chief Financial Officer of the corporation or, in the latter's absence or incapacity, the Vice President - Human Resources of the corporation shall be authorized to act in the President's place and stead and to perform all duties incident to the office of President and such other duties as may be prescribed by the Board of Directors from time to time.</w:t>
      </w:r>
    </w:p>
    <w:p>
      <w:pPr>
        <w:spacing w:after="0" w:line="188" w:lineRule="exact"/>
        <w:rPr>
          <w:sz w:val="20"/>
          <w:szCs w:val="20"/>
          <w:color w:val="auto"/>
        </w:rPr>
      </w:pPr>
    </w:p>
    <w:p>
      <w:pPr>
        <w:jc w:val="both"/>
        <w:ind w:left="100" w:firstLine="704"/>
        <w:spacing w:after="0" w:line="257" w:lineRule="auto"/>
        <w:rPr>
          <w:sz w:val="20"/>
          <w:szCs w:val="20"/>
          <w:color w:val="auto"/>
        </w:rPr>
      </w:pPr>
      <w:r>
        <w:rPr>
          <w:rFonts w:ascii="Arial" w:cs="Arial" w:eastAsia="Arial" w:hAnsi="Arial"/>
          <w:sz w:val="20"/>
          <w:szCs w:val="20"/>
          <w:color w:val="262626"/>
        </w:rPr>
        <w:t xml:space="preserve">4.08 </w:t>
      </w:r>
      <w:r>
        <w:rPr>
          <w:rFonts w:ascii="Arial" w:cs="Arial" w:eastAsia="Arial" w:hAnsi="Arial"/>
          <w:sz w:val="17"/>
          <w:szCs w:val="17"/>
          <w:u w:val="single" w:color="auto"/>
          <w:color w:val="000000"/>
        </w:rPr>
        <w:t>Chief Financial Officer.</w:t>
      </w:r>
      <w:r>
        <w:rPr>
          <w:rFonts w:ascii="Arial" w:cs="Arial" w:eastAsia="Arial" w:hAnsi="Arial"/>
          <w:sz w:val="20"/>
          <w:szCs w:val="20"/>
          <w:color w:val="262626"/>
        </w:rPr>
        <w:t xml:space="preserve"> </w:t>
      </w:r>
      <w:r>
        <w:rPr>
          <w:rFonts w:ascii="Arial" w:cs="Arial" w:eastAsia="Arial" w:hAnsi="Arial"/>
          <w:sz w:val="17"/>
          <w:szCs w:val="17"/>
          <w:color w:val="000000"/>
        </w:rPr>
        <w:t>The chief financial officer shall keep and maintain, or cause to be kept and maintained, adequate and</w:t>
      </w:r>
      <w:r>
        <w:rPr>
          <w:rFonts w:ascii="Arial" w:cs="Arial" w:eastAsia="Arial" w:hAnsi="Arial"/>
          <w:sz w:val="20"/>
          <w:szCs w:val="20"/>
          <w:color w:val="262626"/>
        </w:rPr>
        <w:t xml:space="preserve"> </w:t>
      </w:r>
      <w:r>
        <w:rPr>
          <w:rFonts w:ascii="Arial" w:cs="Arial" w:eastAsia="Arial" w:hAnsi="Arial"/>
          <w:sz w:val="17"/>
          <w:szCs w:val="17"/>
          <w:color w:val="000000"/>
        </w:rPr>
        <w:t>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chief financial officer shall deposit all moneys and other valuables in the name and to the credit of the corporation with such depositories as the Board may designate. The chief financial officer shall disburse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1F1F1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25" w:right="479" w:bottom="1440" w:gutter="0" w:footer="0" w:header="0"/>
        </w:sectPr>
      </w:pPr>
    </w:p>
    <w:bookmarkStart w:id="98" w:name="page99"/>
    <w:bookmarkEnd w:id="98"/>
    <w:p>
      <w:pPr>
        <w:jc w:val="both"/>
        <w:ind w:left="100" w:right="20"/>
        <w:spacing w:after="0" w:line="259" w:lineRule="auto"/>
        <w:rPr>
          <w:sz w:val="20"/>
          <w:szCs w:val="20"/>
          <w:color w:val="auto"/>
        </w:rPr>
      </w:pPr>
      <w:r>
        <w:rPr>
          <w:rFonts w:ascii="Arial" w:cs="Arial" w:eastAsia="Arial" w:hAnsi="Arial"/>
          <w:sz w:val="18"/>
          <w:szCs w:val="18"/>
          <w:color w:val="auto"/>
        </w:rPr>
        <w:t>the funds of the corporation as may be ordered by the Board, shall render to the chief executive officer or, in the absence of a chief executive officer, any president and directors, whenever they request it, an account of all his or her transactions as chief financial officer and of the financial condition of the corporation, and shall have other powers and perform such other duties as may be prescribed by the Board or these bylaws. The chief financial officer may be the treasurer of the corporation.</w:t>
      </w:r>
    </w:p>
    <w:p>
      <w:pPr>
        <w:spacing w:after="0" w:line="264" w:lineRule="exact"/>
        <w:rPr>
          <w:sz w:val="20"/>
          <w:szCs w:val="20"/>
          <w:color w:val="auto"/>
        </w:rPr>
      </w:pPr>
    </w:p>
    <w:p>
      <w:pPr>
        <w:jc w:val="both"/>
        <w:ind w:left="60" w:right="40" w:firstLine="704"/>
        <w:spacing w:after="0" w:line="284" w:lineRule="auto"/>
        <w:rPr>
          <w:sz w:val="20"/>
          <w:szCs w:val="20"/>
          <w:color w:val="auto"/>
        </w:rPr>
      </w:pPr>
      <w:r>
        <w:rPr>
          <w:rFonts w:ascii="Arial" w:cs="Arial" w:eastAsia="Arial" w:hAnsi="Arial"/>
          <w:sz w:val="19"/>
          <w:szCs w:val="19"/>
          <w:color w:val="262626"/>
        </w:rPr>
        <w:t xml:space="preserve">4.09 </w:t>
      </w:r>
      <w:r>
        <w:rPr>
          <w:rFonts w:ascii="Arial" w:cs="Arial" w:eastAsia="Arial" w:hAnsi="Arial"/>
          <w:sz w:val="16"/>
          <w:szCs w:val="16"/>
          <w:u w:val="single" w:color="auto"/>
          <w:color w:val="000000"/>
        </w:rPr>
        <w:t>Secretary.</w:t>
      </w:r>
      <w:r>
        <w:rPr>
          <w:rFonts w:ascii="Arial" w:cs="Arial" w:eastAsia="Arial" w:hAnsi="Arial"/>
          <w:sz w:val="19"/>
          <w:szCs w:val="19"/>
          <w:color w:val="262626"/>
        </w:rPr>
        <w:t xml:space="preserve"> </w:t>
      </w:r>
      <w:r>
        <w:rPr>
          <w:rFonts w:ascii="Arial" w:cs="Arial" w:eastAsia="Arial" w:hAnsi="Arial"/>
          <w:sz w:val="16"/>
          <w:szCs w:val="16"/>
          <w:color w:val="000000"/>
        </w:rPr>
        <w:t>The Secretary shall: (a) keep minutes of the meetings of the shareholders and of the Board of Directors (and of</w:t>
      </w:r>
      <w:r>
        <w:rPr>
          <w:rFonts w:ascii="Arial" w:cs="Arial" w:eastAsia="Arial" w:hAnsi="Arial"/>
          <w:sz w:val="19"/>
          <w:szCs w:val="19"/>
          <w:color w:val="262626"/>
        </w:rPr>
        <w:t xml:space="preserve"> </w:t>
      </w:r>
      <w:r>
        <w:rPr>
          <w:rFonts w:ascii="Arial" w:cs="Arial" w:eastAsia="Arial" w:hAnsi="Arial"/>
          <w:sz w:val="16"/>
          <w:szCs w:val="16"/>
          <w:color w:val="000000"/>
        </w:rPr>
        <w:t>committees thereof) in one or more books provided for that purpose (including records of actions taken by the shareholders or the Board of Directors (or committees thereof) without a meeting); (b) see that all notices are duly given in accordance with the provisions of these bylaws or as required by the Indiana Business Corporation Law; (c) be custodian of the corporate records and of the seal of the corporation and see that the seal of the corporation is affixed to all documents the execution of which on behalf of the corporation under its seal is duly authorized; (d) maintain a record of the shareholders of the corporation, in a form that permits preparation of a list of the names and addresses of all shareholders, by class or series of shares and showing the number and class or series of shares held by each shareholder; (e) sign with the President, or a Vice President, certificates for shares of the corporation, the issuance of which shall have been authorized by resolution of the Board of Directors; (f) have general charge of the stock transfer books of the corporation; and (g) in general perform all duties incident to the office of Secretary and have such other duties and exercise such authority as from time to time may be delegated or assigned by the President or by the Board of Directors.</w:t>
      </w:r>
    </w:p>
    <w:p>
      <w:pPr>
        <w:spacing w:after="0" w:line="182" w:lineRule="exact"/>
        <w:rPr>
          <w:sz w:val="20"/>
          <w:szCs w:val="20"/>
          <w:color w:val="auto"/>
        </w:rPr>
      </w:pPr>
    </w:p>
    <w:p>
      <w:pPr>
        <w:jc w:val="both"/>
        <w:ind w:left="60" w:right="40" w:firstLine="704"/>
        <w:spacing w:after="0" w:line="259"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17"/>
          <w:szCs w:val="17"/>
          <w:u w:val="single" w:color="auto"/>
          <w:color w:val="auto"/>
        </w:rPr>
        <w:t>Treasurer.</w:t>
      </w:r>
      <w:r>
        <w:rPr>
          <w:rFonts w:ascii="Arial" w:cs="Arial" w:eastAsia="Arial" w:hAnsi="Arial"/>
          <w:sz w:val="20"/>
          <w:szCs w:val="20"/>
          <w:color w:val="auto"/>
        </w:rPr>
        <w:t xml:space="preserve"> </w:t>
      </w:r>
      <w:r>
        <w:rPr>
          <w:rFonts w:ascii="Arial" w:cs="Arial" w:eastAsia="Arial" w:hAnsi="Arial"/>
          <w:sz w:val="17"/>
          <w:szCs w:val="17"/>
          <w:color w:val="auto"/>
        </w:rPr>
        <w:t>The Treasurer shall: (a) have charge and custody of and be responsible for all funds and securities of the corporation; (b)</w:t>
      </w:r>
      <w:r>
        <w:rPr>
          <w:rFonts w:ascii="Arial" w:cs="Arial" w:eastAsia="Arial" w:hAnsi="Arial"/>
          <w:sz w:val="20"/>
          <w:szCs w:val="20"/>
          <w:color w:val="auto"/>
        </w:rPr>
        <w:t xml:space="preserve"> </w:t>
      </w:r>
      <w:r>
        <w:rPr>
          <w:rFonts w:ascii="Arial" w:cs="Arial" w:eastAsia="Arial" w:hAnsi="Arial"/>
          <w:sz w:val="17"/>
          <w:szCs w:val="17"/>
          <w:color w:val="auto"/>
        </w:rPr>
        <w:t>maintain appropriate accounting records; (c) receive and give receipts for moneys due and payable to the corporation from any source whatsoever, and deposit all such moneys in the name of the corporation in such banks, trust companies or other depositaries as shall be selected in accordance with the provisions of Section 5.04; and (d) in general perform all of the duties incident to the office of Treasurer and have such other duties and exercise such other authority as from time to time may be delegated or assigned by the President or by the Board of Directors. If required by the Board of Directors, the Treasurer shall give a bond for the faithful discharge of his or her duties in such sum and with such surety or sureties as the Board of Directors shall determine.</w:t>
      </w:r>
    </w:p>
    <w:p>
      <w:pPr>
        <w:spacing w:after="0" w:line="188" w:lineRule="exact"/>
        <w:rPr>
          <w:sz w:val="20"/>
          <w:szCs w:val="20"/>
          <w:color w:val="auto"/>
        </w:rPr>
      </w:pPr>
    </w:p>
    <w:p>
      <w:pPr>
        <w:jc w:val="both"/>
        <w:ind w:left="80" w:right="20" w:firstLine="694"/>
        <w:spacing w:after="0" w:line="276"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6"/>
          <w:szCs w:val="16"/>
          <w:u w:val="single" w:color="auto"/>
          <w:color w:val="auto"/>
        </w:rPr>
        <w:t>Assistant Secretaries and Assistant Treasurers.</w:t>
      </w:r>
      <w:r>
        <w:rPr>
          <w:rFonts w:ascii="Arial" w:cs="Arial" w:eastAsia="Arial" w:hAnsi="Arial"/>
          <w:sz w:val="19"/>
          <w:szCs w:val="19"/>
          <w:color w:val="auto"/>
        </w:rPr>
        <w:t xml:space="preserve"> </w:t>
      </w:r>
      <w:r>
        <w:rPr>
          <w:rFonts w:ascii="Arial" w:cs="Arial" w:eastAsia="Arial" w:hAnsi="Arial"/>
          <w:sz w:val="16"/>
          <w:szCs w:val="16"/>
          <w:color w:val="auto"/>
        </w:rPr>
        <w:t>There shall be such number of Assistant Secretaries and Assistant Treasurers as the</w:t>
      </w:r>
      <w:r>
        <w:rPr>
          <w:rFonts w:ascii="Arial" w:cs="Arial" w:eastAsia="Arial" w:hAnsi="Arial"/>
          <w:sz w:val="19"/>
          <w:szCs w:val="19"/>
          <w:color w:val="auto"/>
        </w:rPr>
        <w:t xml:space="preserve"> </w:t>
      </w:r>
      <w:r>
        <w:rPr>
          <w:rFonts w:ascii="Arial" w:cs="Arial" w:eastAsia="Arial" w:hAnsi="Arial"/>
          <w:sz w:val="16"/>
          <w:szCs w:val="16"/>
          <w:color w:val="auto"/>
        </w:rPr>
        <w:t>Board of Directors may from time to time authorize. The Assistant Secretaries may sign with the President or a Vice President certificates for shares of the corporation the issuance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175" w:lineRule="exact"/>
        <w:rPr>
          <w:sz w:val="20"/>
          <w:szCs w:val="20"/>
          <w:color w:val="auto"/>
        </w:rPr>
      </w:pPr>
    </w:p>
    <w:p>
      <w:pPr>
        <w:jc w:val="both"/>
        <w:ind w:left="80" w:right="20" w:firstLine="694"/>
        <w:spacing w:after="0" w:line="259"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17"/>
          <w:szCs w:val="17"/>
          <w:u w:val="single" w:color="auto"/>
          <w:color w:val="auto"/>
        </w:rPr>
        <w:t>Other Assistants and Acting Officers.</w:t>
      </w:r>
      <w:r>
        <w:rPr>
          <w:rFonts w:ascii="Arial" w:cs="Arial" w:eastAsia="Arial" w:hAnsi="Arial"/>
          <w:sz w:val="20"/>
          <w:szCs w:val="20"/>
          <w:color w:val="auto"/>
        </w:rPr>
        <w:t xml:space="preserve"> </w:t>
      </w:r>
      <w:r>
        <w:rPr>
          <w:rFonts w:ascii="Arial" w:cs="Arial" w:eastAsia="Arial" w:hAnsi="Arial"/>
          <w:sz w:val="17"/>
          <w:szCs w:val="17"/>
          <w:color w:val="auto"/>
        </w:rPr>
        <w:t>The Board of Directors shall have the power to appoint, or to authorize any duly appointed</w:t>
      </w:r>
      <w:r>
        <w:rPr>
          <w:rFonts w:ascii="Arial" w:cs="Arial" w:eastAsia="Arial" w:hAnsi="Arial"/>
          <w:sz w:val="20"/>
          <w:szCs w:val="20"/>
          <w:color w:val="auto"/>
        </w:rPr>
        <w:t xml:space="preserve"> </w:t>
      </w:r>
      <w:r>
        <w:rPr>
          <w:rFonts w:ascii="Arial" w:cs="Arial" w:eastAsia="Arial" w:hAnsi="Arial"/>
          <w:sz w:val="17"/>
          <w:szCs w:val="17"/>
          <w:color w:val="auto"/>
        </w:rPr>
        <w:t>officer of the corporation to appoint, any person to act as assistant to any officer, or as agent for the corporation in his or her stead, or to perform the duties of such officer whenever for any reason it is impracticable for such officer to act personally, and such assistant or acting officer or other agent so appointed by the Board of Directors or an authorized officer shall have the power to perform all the duties of the office to which he or she is so appointed to be an assistant, or as to which he or she is so appointed to act, except as such power may be otherwise defined or restricted by the Board of Directors or the appointing officer.</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400" w:type="dxa"/>
            <w:vAlign w:val="bottom"/>
          </w:tcPr>
          <w:p>
            <w:pPr>
              <w:jc w:val="right"/>
              <w:ind w:right="247"/>
              <w:spacing w:after="0"/>
              <w:rPr>
                <w:sz w:val="20"/>
                <w:szCs w:val="20"/>
                <w:color w:val="auto"/>
              </w:rPr>
            </w:pPr>
            <w:r>
              <w:rPr>
                <w:rFonts w:ascii="Arial" w:cs="Arial" w:eastAsia="Arial" w:hAnsi="Arial"/>
                <w:sz w:val="20"/>
                <w:szCs w:val="20"/>
                <w:color w:val="auto"/>
              </w:rPr>
              <w:t>4.13</w:t>
            </w:r>
          </w:p>
        </w:tc>
        <w:tc>
          <w:tcPr>
            <w:tcW w:w="2380" w:type="dxa"/>
            <w:vAlign w:val="bottom"/>
            <w:gridSpan w:val="2"/>
          </w:tcPr>
          <w:p>
            <w:pPr>
              <w:spacing w:after="0"/>
              <w:rPr>
                <w:sz w:val="20"/>
                <w:szCs w:val="20"/>
                <w:color w:val="auto"/>
              </w:rPr>
            </w:pPr>
            <w:r>
              <w:rPr>
                <w:rFonts w:ascii="Arial" w:cs="Arial" w:eastAsia="Arial" w:hAnsi="Arial"/>
                <w:sz w:val="18"/>
                <w:szCs w:val="18"/>
                <w:color w:val="auto"/>
              </w:rPr>
              <w:t>Salaries. The salaries of the</w:t>
            </w:r>
          </w:p>
        </w:tc>
        <w:tc>
          <w:tcPr>
            <w:tcW w:w="7160" w:type="dxa"/>
            <w:vAlign w:val="bottom"/>
          </w:tcPr>
          <w:p>
            <w:pPr>
              <w:jc w:val="right"/>
              <w:spacing w:after="0"/>
              <w:rPr>
                <w:sz w:val="20"/>
                <w:szCs w:val="20"/>
                <w:color w:val="auto"/>
              </w:rPr>
            </w:pPr>
            <w:r>
              <w:rPr>
                <w:rFonts w:ascii="Arial" w:cs="Arial" w:eastAsia="Arial" w:hAnsi="Arial"/>
                <w:sz w:val="18"/>
                <w:szCs w:val="18"/>
                <w:color w:val="auto"/>
              </w:rPr>
              <w:t>principal officers shall be fixed from  time to time by the Board of Directors or by a duly</w:t>
            </w:r>
          </w:p>
        </w:tc>
      </w:tr>
      <w:tr>
        <w:trPr>
          <w:trHeight w:val="20"/>
        </w:trPr>
        <w:tc>
          <w:tcPr>
            <w:tcW w:w="1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22"/>
        </w:trPr>
        <w:tc>
          <w:tcPr>
            <w:tcW w:w="3780" w:type="dxa"/>
            <w:vAlign w:val="bottom"/>
            <w:gridSpan w:val="3"/>
          </w:tcPr>
          <w:p>
            <w:pPr>
              <w:spacing w:after="0"/>
              <w:rPr>
                <w:sz w:val="20"/>
                <w:szCs w:val="20"/>
                <w:color w:val="auto"/>
              </w:rPr>
            </w:pPr>
            <w:r>
              <w:rPr>
                <w:rFonts w:ascii="Arial" w:cs="Arial" w:eastAsia="Arial" w:hAnsi="Arial"/>
                <w:sz w:val="18"/>
                <w:szCs w:val="18"/>
                <w:color w:val="auto"/>
                <w:w w:val="95"/>
              </w:rPr>
              <w:t>authorized committee thereof, and no officer shall</w:t>
            </w:r>
          </w:p>
        </w:tc>
        <w:tc>
          <w:tcPr>
            <w:tcW w:w="7160" w:type="dxa"/>
            <w:vAlign w:val="bottom"/>
          </w:tcPr>
          <w:p>
            <w:pPr>
              <w:jc w:val="right"/>
              <w:spacing w:after="0"/>
              <w:rPr>
                <w:sz w:val="20"/>
                <w:szCs w:val="20"/>
                <w:color w:val="auto"/>
              </w:rPr>
            </w:pPr>
            <w:r>
              <w:rPr>
                <w:rFonts w:ascii="Arial" w:cs="Arial" w:eastAsia="Arial" w:hAnsi="Arial"/>
                <w:sz w:val="18"/>
                <w:szCs w:val="18"/>
                <w:color w:val="auto"/>
                <w:w w:val="94"/>
              </w:rPr>
              <w:t>be prevented from receiving such salary by reason of the fact that he or she is also a director of</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the corporation.</w:t>
            </w: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160" w:type="dxa"/>
            <w:vAlign w:val="bottom"/>
          </w:tcPr>
          <w:p>
            <w:pPr>
              <w:spacing w:after="0"/>
              <w:rPr>
                <w:sz w:val="20"/>
                <w:szCs w:val="20"/>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1F1F1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25" w:right="459" w:bottom="1440" w:gutter="0" w:footer="0" w:header="0"/>
        </w:sectPr>
      </w:pPr>
    </w:p>
    <w:bookmarkStart w:id="99" w:name="page100"/>
    <w:bookmarkEnd w:id="99"/>
    <w:p>
      <w:pPr>
        <w:ind w:left="1420"/>
        <w:spacing w:after="0"/>
        <w:rPr>
          <w:sz w:val="20"/>
          <w:szCs w:val="20"/>
          <w:color w:val="auto"/>
        </w:rPr>
      </w:pPr>
      <w:r>
        <w:rPr>
          <w:rFonts w:ascii="Arial" w:cs="Arial" w:eastAsia="Arial" w:hAnsi="Arial"/>
          <w:sz w:val="18"/>
          <w:szCs w:val="18"/>
          <w:color w:val="auto"/>
        </w:rPr>
        <w:t>ARTICLE V. CONTRACTS, LOANS, CHECKS AND DEPOSITS; SPECIAL CORPORATE ACTS</w:t>
      </w:r>
    </w:p>
    <w:p>
      <w:pPr>
        <w:spacing w:after="0" w:line="235" w:lineRule="exact"/>
        <w:rPr>
          <w:sz w:val="20"/>
          <w:szCs w:val="20"/>
          <w:color w:val="auto"/>
        </w:rPr>
      </w:pPr>
    </w:p>
    <w:p>
      <w:pPr>
        <w:jc w:val="both"/>
        <w:ind w:left="100" w:firstLine="719"/>
        <w:spacing w:after="0" w:line="286" w:lineRule="auto"/>
        <w:rPr>
          <w:sz w:val="20"/>
          <w:szCs w:val="20"/>
          <w:color w:val="auto"/>
        </w:rPr>
      </w:pPr>
      <w:r>
        <w:rPr>
          <w:rFonts w:ascii="Arial" w:cs="Arial" w:eastAsia="Arial" w:hAnsi="Arial"/>
          <w:sz w:val="19"/>
          <w:szCs w:val="19"/>
          <w:color w:val="282828"/>
        </w:rPr>
        <w:t xml:space="preserve">5.01 </w:t>
      </w:r>
      <w:r>
        <w:rPr>
          <w:rFonts w:ascii="Arial" w:cs="Arial" w:eastAsia="Arial" w:hAnsi="Arial"/>
          <w:sz w:val="16"/>
          <w:szCs w:val="16"/>
          <w:u w:val="single" w:color="auto"/>
          <w:color w:val="000000"/>
        </w:rPr>
        <w:t>Contracts.</w:t>
      </w:r>
      <w:r>
        <w:rPr>
          <w:rFonts w:ascii="Arial" w:cs="Arial" w:eastAsia="Arial" w:hAnsi="Arial"/>
          <w:sz w:val="19"/>
          <w:szCs w:val="19"/>
          <w:color w:val="282828"/>
        </w:rPr>
        <w:t xml:space="preserve"> </w:t>
      </w:r>
      <w:r>
        <w:rPr>
          <w:rFonts w:ascii="Arial" w:cs="Arial" w:eastAsia="Arial" w:hAnsi="Arial"/>
          <w:sz w:val="16"/>
          <w:szCs w:val="16"/>
          <w:color w:val="000000"/>
        </w:rPr>
        <w:t>The Board of Directors may authorize any officer or officers, agent or agents, to enter into any contract or execute or</w:t>
      </w:r>
      <w:r>
        <w:rPr>
          <w:rFonts w:ascii="Arial" w:cs="Arial" w:eastAsia="Arial" w:hAnsi="Arial"/>
          <w:sz w:val="19"/>
          <w:szCs w:val="19"/>
          <w:color w:val="282828"/>
        </w:rPr>
        <w:t xml:space="preserve"> </w:t>
      </w:r>
      <w:r>
        <w:rPr>
          <w:rFonts w:ascii="Arial" w:cs="Arial" w:eastAsia="Arial" w:hAnsi="Arial"/>
          <w:sz w:val="16"/>
          <w:szCs w:val="16"/>
          <w:color w:val="000000"/>
        </w:rPr>
        <w:t>deliver any instrument in the name of and on behalf of the corporation, and such authorization may be general or confined to specific instances. In the absence of other designation, all deeds, mortgages and instruments of assignment or pledge made by the corporation shall be executed in the name of the corporation by the President or one of the Vice Presidents and by the Secretary, an Assistant Secretary, the Treasurer or an Assistant Treasurer; the Secretary or an Assistant Secretary, when necessary or required, shall affix the corporate seal, if any, thereto; and when so executed no other party to such instrument or any third party shall be required to make any inquiry into the authority of the signing officer or officers.</w:t>
      </w:r>
    </w:p>
    <w:p>
      <w:pPr>
        <w:spacing w:after="0" w:line="167" w:lineRule="exact"/>
        <w:rPr>
          <w:sz w:val="20"/>
          <w:szCs w:val="20"/>
          <w:color w:val="auto"/>
        </w:rPr>
      </w:pPr>
    </w:p>
    <w:p>
      <w:pPr>
        <w:jc w:val="both"/>
        <w:ind w:left="100" w:right="20" w:firstLine="704"/>
        <w:spacing w:after="0" w:line="252" w:lineRule="auto"/>
        <w:rPr>
          <w:sz w:val="20"/>
          <w:szCs w:val="20"/>
          <w:color w:val="auto"/>
        </w:rPr>
      </w:pPr>
      <w:r>
        <w:rPr>
          <w:rFonts w:ascii="Arial" w:cs="Arial" w:eastAsia="Arial" w:hAnsi="Arial"/>
          <w:sz w:val="20"/>
          <w:szCs w:val="20"/>
          <w:color w:val="282828"/>
        </w:rPr>
        <w:t xml:space="preserve">5.02 </w:t>
      </w:r>
      <w:r>
        <w:rPr>
          <w:rFonts w:ascii="Arial" w:cs="Arial" w:eastAsia="Arial" w:hAnsi="Arial"/>
          <w:sz w:val="17"/>
          <w:szCs w:val="17"/>
          <w:u w:val="single" w:color="auto"/>
          <w:color w:val="000000"/>
        </w:rPr>
        <w:t>Loans.</w:t>
      </w:r>
      <w:r>
        <w:rPr>
          <w:rFonts w:ascii="Arial" w:cs="Arial" w:eastAsia="Arial" w:hAnsi="Arial"/>
          <w:sz w:val="20"/>
          <w:szCs w:val="20"/>
          <w:color w:val="282828"/>
        </w:rPr>
        <w:t xml:space="preserve"> </w:t>
      </w:r>
      <w:r>
        <w:rPr>
          <w:rFonts w:ascii="Arial" w:cs="Arial" w:eastAsia="Arial" w:hAnsi="Arial"/>
          <w:sz w:val="17"/>
          <w:szCs w:val="17"/>
          <w:color w:val="000000"/>
        </w:rPr>
        <w:t>No indebtedness for borrowed money shall be contracted on behalf of the corporation and no evidences of such</w:t>
      </w:r>
      <w:r>
        <w:rPr>
          <w:rFonts w:ascii="Arial" w:cs="Arial" w:eastAsia="Arial" w:hAnsi="Arial"/>
          <w:sz w:val="20"/>
          <w:szCs w:val="20"/>
          <w:color w:val="282828"/>
        </w:rPr>
        <w:t xml:space="preserve"> </w:t>
      </w:r>
      <w:r>
        <w:rPr>
          <w:rFonts w:ascii="Arial" w:cs="Arial" w:eastAsia="Arial" w:hAnsi="Arial"/>
          <w:sz w:val="17"/>
          <w:szCs w:val="17"/>
          <w:color w:val="000000"/>
        </w:rPr>
        <w:t>indebtedness shall be issued in its name unless authorized by or under the authority of a resolution of the Board of Directors. Such authorization may be general or confined to specific instances.</w:t>
      </w:r>
    </w:p>
    <w:p>
      <w:pPr>
        <w:spacing w:after="0" w:line="188" w:lineRule="exact"/>
        <w:rPr>
          <w:sz w:val="20"/>
          <w:szCs w:val="20"/>
          <w:color w:val="auto"/>
        </w:rPr>
      </w:pPr>
    </w:p>
    <w:p>
      <w:pPr>
        <w:jc w:val="both"/>
        <w:ind w:left="100" w:right="20" w:firstLine="704"/>
        <w:spacing w:after="0" w:line="252" w:lineRule="auto"/>
        <w:rPr>
          <w:sz w:val="20"/>
          <w:szCs w:val="20"/>
          <w:color w:val="auto"/>
        </w:rPr>
      </w:pPr>
      <w:r>
        <w:rPr>
          <w:rFonts w:ascii="Arial" w:cs="Arial" w:eastAsia="Arial" w:hAnsi="Arial"/>
          <w:sz w:val="20"/>
          <w:szCs w:val="20"/>
          <w:color w:val="282828"/>
        </w:rPr>
        <w:t xml:space="preserve">5.03 </w:t>
      </w:r>
      <w:r>
        <w:rPr>
          <w:rFonts w:ascii="Arial" w:cs="Arial" w:eastAsia="Arial" w:hAnsi="Arial"/>
          <w:sz w:val="17"/>
          <w:szCs w:val="17"/>
          <w:u w:val="single" w:color="auto"/>
          <w:color w:val="000000"/>
        </w:rPr>
        <w:t>Checks. Drafts. etc</w:t>
      </w:r>
      <w:r>
        <w:rPr>
          <w:rFonts w:ascii="Arial" w:cs="Arial" w:eastAsia="Arial" w:hAnsi="Arial"/>
          <w:sz w:val="17"/>
          <w:szCs w:val="17"/>
          <w:color w:val="000000"/>
        </w:rPr>
        <w:t>. All checks, drafts or other orders for the payment of money, notes or other evidences of indebtedness issued in</w:t>
      </w:r>
      <w:r>
        <w:rPr>
          <w:rFonts w:ascii="Arial" w:cs="Arial" w:eastAsia="Arial" w:hAnsi="Arial"/>
          <w:sz w:val="20"/>
          <w:szCs w:val="20"/>
          <w:color w:val="282828"/>
        </w:rPr>
        <w:t xml:space="preserve"> </w:t>
      </w:r>
      <w:r>
        <w:rPr>
          <w:rFonts w:ascii="Arial" w:cs="Arial" w:eastAsia="Arial" w:hAnsi="Arial"/>
          <w:sz w:val="17"/>
          <w:szCs w:val="17"/>
          <w:color w:val="000000"/>
        </w:rPr>
        <w:t>the name of the corporation, shall be signed by such officer or officers, agent or agents of the corporation and in such manner as shall from time to time be determined by or under the authority of a resolution of the Board of Directors.</w:t>
      </w:r>
    </w:p>
    <w:p>
      <w:pPr>
        <w:spacing w:after="0" w:line="188" w:lineRule="exact"/>
        <w:rPr>
          <w:sz w:val="20"/>
          <w:szCs w:val="20"/>
          <w:color w:val="auto"/>
        </w:rPr>
      </w:pPr>
    </w:p>
    <w:p>
      <w:pPr>
        <w:jc w:val="both"/>
        <w:ind w:left="100" w:right="20" w:firstLine="719"/>
        <w:spacing w:after="0" w:line="242" w:lineRule="auto"/>
        <w:rPr>
          <w:sz w:val="20"/>
          <w:szCs w:val="20"/>
          <w:color w:val="auto"/>
        </w:rPr>
      </w:pPr>
      <w:r>
        <w:rPr>
          <w:rFonts w:ascii="Arial" w:cs="Arial" w:eastAsia="Arial" w:hAnsi="Arial"/>
          <w:sz w:val="20"/>
          <w:szCs w:val="20"/>
          <w:color w:val="282828"/>
        </w:rPr>
        <w:t xml:space="preserve">5.04 </w:t>
      </w:r>
      <w:r>
        <w:rPr>
          <w:rFonts w:ascii="Arial" w:cs="Arial" w:eastAsia="Arial" w:hAnsi="Arial"/>
          <w:sz w:val="17"/>
          <w:szCs w:val="17"/>
          <w:u w:val="single" w:color="auto"/>
          <w:color w:val="000000"/>
        </w:rPr>
        <w:t>Deposits.</w:t>
      </w:r>
      <w:r>
        <w:rPr>
          <w:rFonts w:ascii="Arial" w:cs="Arial" w:eastAsia="Arial" w:hAnsi="Arial"/>
          <w:sz w:val="20"/>
          <w:szCs w:val="20"/>
          <w:color w:val="282828"/>
        </w:rPr>
        <w:t xml:space="preserve"> </w:t>
      </w:r>
      <w:r>
        <w:rPr>
          <w:rFonts w:ascii="Arial" w:cs="Arial" w:eastAsia="Arial" w:hAnsi="Arial"/>
          <w:sz w:val="17"/>
          <w:szCs w:val="17"/>
          <w:color w:val="000000"/>
        </w:rPr>
        <w:t>All funds of the corporation not otherwise employed shall be deposited from time to time to the credit of the corporation</w:t>
      </w:r>
      <w:r>
        <w:rPr>
          <w:rFonts w:ascii="Arial" w:cs="Arial" w:eastAsia="Arial" w:hAnsi="Arial"/>
          <w:sz w:val="20"/>
          <w:szCs w:val="20"/>
          <w:color w:val="282828"/>
        </w:rPr>
        <w:t xml:space="preserve"> </w:t>
      </w:r>
      <w:r>
        <w:rPr>
          <w:rFonts w:ascii="Arial" w:cs="Arial" w:eastAsia="Arial" w:hAnsi="Arial"/>
          <w:sz w:val="17"/>
          <w:szCs w:val="17"/>
          <w:color w:val="000000"/>
        </w:rPr>
        <w:t>in such banks, trust companies or other depositaries as may be selected by or under the authority of a resolution of the Board of Directors.</w:t>
      </w:r>
    </w:p>
    <w:p>
      <w:pPr>
        <w:spacing w:after="0" w:line="210" w:lineRule="exact"/>
        <w:rPr>
          <w:sz w:val="20"/>
          <w:szCs w:val="20"/>
          <w:color w:val="auto"/>
        </w:rPr>
      </w:pPr>
    </w:p>
    <w:p>
      <w:pPr>
        <w:jc w:val="both"/>
        <w:ind w:left="100" w:right="20" w:firstLine="719"/>
        <w:spacing w:after="0" w:line="261" w:lineRule="auto"/>
        <w:rPr>
          <w:sz w:val="20"/>
          <w:szCs w:val="20"/>
          <w:color w:val="auto"/>
        </w:rPr>
      </w:pPr>
      <w:r>
        <w:rPr>
          <w:rFonts w:ascii="Arial" w:cs="Arial" w:eastAsia="Arial" w:hAnsi="Arial"/>
          <w:sz w:val="20"/>
          <w:szCs w:val="20"/>
          <w:color w:val="282828"/>
        </w:rPr>
        <w:t xml:space="preserve">5.05 </w:t>
      </w:r>
      <w:r>
        <w:rPr>
          <w:rFonts w:ascii="Arial" w:cs="Arial" w:eastAsia="Arial" w:hAnsi="Arial"/>
          <w:sz w:val="17"/>
          <w:szCs w:val="17"/>
          <w:u w:val="single" w:color="auto"/>
          <w:color w:val="000000"/>
        </w:rPr>
        <w:t>Voting of Securities Owned by This Corporation.</w:t>
      </w:r>
      <w:r>
        <w:rPr>
          <w:rFonts w:ascii="Arial" w:cs="Arial" w:eastAsia="Arial" w:hAnsi="Arial"/>
          <w:sz w:val="20"/>
          <w:szCs w:val="20"/>
          <w:color w:val="282828"/>
        </w:rPr>
        <w:t xml:space="preserve"> </w:t>
      </w:r>
      <w:r>
        <w:rPr>
          <w:rFonts w:ascii="Arial" w:cs="Arial" w:eastAsia="Arial" w:hAnsi="Arial"/>
          <w:sz w:val="17"/>
          <w:szCs w:val="17"/>
          <w:color w:val="000000"/>
        </w:rPr>
        <w:t>Subject always to the specific directions of the Board of Directors, (a) any shares</w:t>
      </w:r>
      <w:r>
        <w:rPr>
          <w:rFonts w:ascii="Arial" w:cs="Arial" w:eastAsia="Arial" w:hAnsi="Arial"/>
          <w:sz w:val="20"/>
          <w:szCs w:val="20"/>
          <w:color w:val="282828"/>
        </w:rPr>
        <w:t xml:space="preserve"> </w:t>
      </w:r>
      <w:r>
        <w:rPr>
          <w:rFonts w:ascii="Arial" w:cs="Arial" w:eastAsia="Arial" w:hAnsi="Arial"/>
          <w:sz w:val="17"/>
          <w:szCs w:val="17"/>
          <w:color w:val="000000"/>
        </w:rPr>
        <w:t>or other securities issued by any other corporation and owned or controlled by this corporation may be voted at any meeting of security holders of such other corporation by the President of this corporation if he or she be present, or in his or her absence by any Vice President of this corporation who may be present, and (b) whenever, in the judgment of the President, or in his or her absence, of any Vice President, it is desirable for this 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 any authorization by the Board of Directors, affixation of corporate seal, if any,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 CERTIFICATES FOR SHARES; TRANSFER OF SHARES</w:t>
      </w:r>
    </w:p>
    <w:p>
      <w:pPr>
        <w:spacing w:after="0" w:line="222" w:lineRule="exact"/>
        <w:rPr>
          <w:sz w:val="20"/>
          <w:szCs w:val="20"/>
          <w:color w:val="auto"/>
        </w:rPr>
      </w:pPr>
    </w:p>
    <w:p>
      <w:pPr>
        <w:jc w:val="both"/>
        <w:ind w:left="100" w:right="40" w:firstLine="719"/>
        <w:spacing w:after="0" w:line="286" w:lineRule="auto"/>
        <w:rPr>
          <w:sz w:val="20"/>
          <w:szCs w:val="20"/>
          <w:color w:val="auto"/>
        </w:rPr>
      </w:pPr>
      <w:r>
        <w:rPr>
          <w:rFonts w:ascii="Arial" w:cs="Arial" w:eastAsia="Arial" w:hAnsi="Arial"/>
          <w:sz w:val="19"/>
          <w:szCs w:val="19"/>
          <w:color w:val="auto"/>
        </w:rPr>
        <w:t xml:space="preserve">6.01 </w:t>
      </w:r>
      <w:r>
        <w:rPr>
          <w:rFonts w:ascii="Arial" w:cs="Arial" w:eastAsia="Arial" w:hAnsi="Arial"/>
          <w:sz w:val="16"/>
          <w:szCs w:val="16"/>
          <w:u w:val="single" w:color="auto"/>
          <w:color w:val="auto"/>
        </w:rPr>
        <w:t>Certificates for Shares</w:t>
      </w:r>
      <w:r>
        <w:rPr>
          <w:rFonts w:ascii="Arial" w:cs="Arial" w:eastAsia="Arial" w:hAnsi="Arial"/>
          <w:sz w:val="16"/>
          <w:szCs w:val="16"/>
          <w:color w:val="auto"/>
        </w:rPr>
        <w:t>. Certificates representing shares of the corporation shall be in such form, consistent with the Indiana</w:t>
      </w:r>
      <w:r>
        <w:rPr>
          <w:rFonts w:ascii="Arial" w:cs="Arial" w:eastAsia="Arial" w:hAnsi="Arial"/>
          <w:sz w:val="19"/>
          <w:szCs w:val="19"/>
          <w:color w:val="auto"/>
        </w:rPr>
        <w:t xml:space="preserve"> </w:t>
      </w:r>
      <w:r>
        <w:rPr>
          <w:rFonts w:ascii="Arial" w:cs="Arial" w:eastAsia="Arial" w:hAnsi="Arial"/>
          <w:sz w:val="16"/>
          <w:szCs w:val="16"/>
          <w:color w:val="auto"/>
        </w:rPr>
        <w:t>Business Corporation Law, as shall be determined by the Board of Directors. Such certificates shall be signed by the President or a Vice President and by the Secretary or an Assistant Secretary.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as provided in Section 6.06.</w:t>
      </w:r>
    </w:p>
    <w:p>
      <w:pPr>
        <w:spacing w:after="0" w:line="261" w:lineRule="exact"/>
        <w:rPr>
          <w:sz w:val="20"/>
          <w:szCs w:val="20"/>
          <w:color w:val="auto"/>
        </w:rPr>
      </w:pPr>
    </w:p>
    <w:p>
      <w:pPr>
        <w:jc w:val="both"/>
        <w:ind w:left="100" w:right="40" w:firstLine="704"/>
        <w:spacing w:after="0" w:line="252" w:lineRule="auto"/>
        <w:rPr>
          <w:sz w:val="20"/>
          <w:szCs w:val="20"/>
          <w:color w:val="auto"/>
        </w:rPr>
      </w:pPr>
      <w:r>
        <w:rPr>
          <w:rFonts w:ascii="Arial" w:cs="Arial" w:eastAsia="Arial" w:hAnsi="Arial"/>
          <w:sz w:val="20"/>
          <w:szCs w:val="20"/>
          <w:color w:val="auto"/>
        </w:rPr>
        <w:t xml:space="preserve">6.02 </w:t>
      </w:r>
      <w:r>
        <w:rPr>
          <w:rFonts w:ascii="Arial" w:cs="Arial" w:eastAsia="Arial" w:hAnsi="Arial"/>
          <w:sz w:val="17"/>
          <w:szCs w:val="17"/>
          <w:u w:val="single" w:color="auto"/>
          <w:color w:val="auto"/>
        </w:rPr>
        <w:t>Facsimile Signatures and Seal</w:t>
      </w:r>
      <w:r>
        <w:rPr>
          <w:rFonts w:ascii="Arial" w:cs="Arial" w:eastAsia="Arial" w:hAnsi="Arial"/>
          <w:sz w:val="17"/>
          <w:szCs w:val="17"/>
          <w:color w:val="auto"/>
        </w:rPr>
        <w:t>. The seal of the corporation, if any, on any certificates for shares may be a facsimile. The signature</w:t>
      </w:r>
      <w:r>
        <w:rPr>
          <w:rFonts w:ascii="Arial" w:cs="Arial" w:eastAsia="Arial" w:hAnsi="Arial"/>
          <w:sz w:val="20"/>
          <w:szCs w:val="20"/>
          <w:color w:val="auto"/>
        </w:rPr>
        <w:t xml:space="preserve"> </w:t>
      </w:r>
      <w:r>
        <w:rPr>
          <w:rFonts w:ascii="Arial" w:cs="Arial" w:eastAsia="Arial" w:hAnsi="Arial"/>
          <w:sz w:val="17"/>
          <w:szCs w:val="17"/>
          <w:color w:val="auto"/>
        </w:rPr>
        <w:t>of the President or Vice President and the Secretary or Assistant Secretary upon a certificate may be facsimiles if the certificate is manually signed on behalf of a transfer agent, or a registrar, other than the corporation itself or an employee of the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1F1F1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125" w:right="439" w:bottom="1440" w:gutter="0" w:footer="0" w:header="0"/>
        </w:sectPr>
      </w:pPr>
    </w:p>
    <w:bookmarkStart w:id="100" w:name="page101"/>
    <w:bookmarkEnd w:id="100"/>
    <w:p>
      <w:pPr>
        <w:jc w:val="both"/>
        <w:ind w:left="100" w:firstLine="704"/>
        <w:spacing w:after="0" w:line="242" w:lineRule="auto"/>
        <w:rPr>
          <w:sz w:val="20"/>
          <w:szCs w:val="20"/>
          <w:color w:val="auto"/>
        </w:rPr>
      </w:pPr>
      <w:r>
        <w:rPr>
          <w:rFonts w:ascii="Arial" w:cs="Arial" w:eastAsia="Arial" w:hAnsi="Arial"/>
          <w:sz w:val="20"/>
          <w:szCs w:val="20"/>
          <w:color w:val="auto"/>
        </w:rPr>
        <w:t xml:space="preserve">6.03 </w:t>
      </w:r>
      <w:r>
        <w:rPr>
          <w:rFonts w:ascii="Arial" w:cs="Arial" w:eastAsia="Arial" w:hAnsi="Arial"/>
          <w:sz w:val="17"/>
          <w:szCs w:val="17"/>
          <w:u w:val="single" w:color="auto"/>
          <w:color w:val="auto"/>
        </w:rPr>
        <w:t>Signature by Former Officers.</w:t>
      </w:r>
      <w:r>
        <w:rPr>
          <w:rFonts w:ascii="Arial" w:cs="Arial" w:eastAsia="Arial" w:hAnsi="Arial"/>
          <w:sz w:val="20"/>
          <w:szCs w:val="20"/>
          <w:color w:val="auto"/>
        </w:rPr>
        <w:t xml:space="preserve"> </w:t>
      </w:r>
      <w:r>
        <w:rPr>
          <w:rFonts w:ascii="Arial" w:cs="Arial" w:eastAsia="Arial" w:hAnsi="Arial"/>
          <w:sz w:val="17"/>
          <w:szCs w:val="17"/>
          <w:color w:val="auto"/>
        </w:rPr>
        <w:t>The validity of a share certificate is not affected if a person who signed the certificate (either</w:t>
      </w:r>
      <w:r>
        <w:rPr>
          <w:rFonts w:ascii="Arial" w:cs="Arial" w:eastAsia="Arial" w:hAnsi="Arial"/>
          <w:sz w:val="20"/>
          <w:szCs w:val="20"/>
          <w:color w:val="auto"/>
        </w:rPr>
        <w:t xml:space="preserve"> </w:t>
      </w:r>
      <w:r>
        <w:rPr>
          <w:rFonts w:ascii="Arial" w:cs="Arial" w:eastAsia="Arial" w:hAnsi="Arial"/>
          <w:sz w:val="17"/>
          <w:szCs w:val="17"/>
          <w:color w:val="auto"/>
        </w:rPr>
        <w:t>manually or in facsimile) no longer holds office when the certificate is issued.</w:t>
      </w:r>
    </w:p>
    <w:p>
      <w:pPr>
        <w:spacing w:after="0" w:line="197" w:lineRule="exact"/>
        <w:rPr>
          <w:sz w:val="20"/>
          <w:szCs w:val="20"/>
          <w:color w:val="auto"/>
        </w:rPr>
      </w:pPr>
    </w:p>
    <w:p>
      <w:pPr>
        <w:jc w:val="both"/>
        <w:ind w:left="100" w:firstLine="704"/>
        <w:spacing w:after="0" w:line="259"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17"/>
          <w:szCs w:val="17"/>
          <w:u w:val="single" w:color="auto"/>
          <w:color w:val="auto"/>
        </w:rPr>
        <w:t>Transfer of Shares</w:t>
      </w:r>
      <w:r>
        <w:rPr>
          <w:rFonts w:ascii="Arial" w:cs="Arial" w:eastAsia="Arial" w:hAnsi="Arial"/>
          <w:sz w:val="17"/>
          <w:szCs w:val="17"/>
          <w:color w:val="auto"/>
        </w:rPr>
        <w:t>. Prior to due presentment of a certificate for shares for registration of transfer the corporation may treat the</w:t>
      </w:r>
      <w:r>
        <w:rPr>
          <w:rFonts w:ascii="Arial" w:cs="Arial" w:eastAsia="Arial" w:hAnsi="Arial"/>
          <w:sz w:val="20"/>
          <w:szCs w:val="20"/>
          <w:color w:val="auto"/>
        </w:rPr>
        <w:t xml:space="preserve"> </w:t>
      </w:r>
      <w:r>
        <w:rPr>
          <w:rFonts w:ascii="Arial" w:cs="Arial" w:eastAsia="Arial" w:hAnsi="Arial"/>
          <w:sz w:val="17"/>
          <w:szCs w:val="17"/>
          <w:color w:val="auto"/>
        </w:rPr>
        <w:t>registered owner of such shares as the person exclusively entitled to vote, to receive notifications and otherwise to have and exercise all the rights and power of an owner. Where a certificate for shares is presented to the corporation with a request to register for transfer, the corporation shall not be liable to the owner or any other person suffering loss as a result of such registration of transfer if (a) there were on or with the certificate the necessary endorsements, and (b) the corporation had no duty to inquire into adverse claims or has discharged any such duty. The corporation may require reasonable assurance that such endorsements are genuine and effective and compliance with such other regulations as may be prescribed by or under the authority of the Board of Directors.</w:t>
      </w:r>
    </w:p>
    <w:p>
      <w:pPr>
        <w:spacing w:after="0" w:line="202" w:lineRule="exact"/>
        <w:rPr>
          <w:sz w:val="20"/>
          <w:szCs w:val="20"/>
          <w:color w:val="auto"/>
        </w:rPr>
      </w:pPr>
    </w:p>
    <w:p>
      <w:pPr>
        <w:jc w:val="both"/>
        <w:ind w:left="100" w:firstLine="704"/>
        <w:spacing w:after="0" w:line="242"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17"/>
          <w:szCs w:val="17"/>
          <w:u w:val="single" w:color="auto"/>
          <w:color w:val="auto"/>
        </w:rPr>
        <w:t>Restrictions on Transfer.</w:t>
      </w:r>
      <w:r>
        <w:rPr>
          <w:rFonts w:ascii="Arial" w:cs="Arial" w:eastAsia="Arial" w:hAnsi="Arial"/>
          <w:sz w:val="20"/>
          <w:szCs w:val="20"/>
          <w:color w:val="auto"/>
        </w:rPr>
        <w:t xml:space="preserve"> </w:t>
      </w:r>
      <w:r>
        <w:rPr>
          <w:rFonts w:ascii="Arial" w:cs="Arial" w:eastAsia="Arial" w:hAnsi="Arial"/>
          <w:sz w:val="17"/>
          <w:szCs w:val="17"/>
          <w:color w:val="auto"/>
        </w:rPr>
        <w:t>The face or reverse side of each certificate representing shares shall bear a conspicuous notation of any</w:t>
      </w:r>
      <w:r>
        <w:rPr>
          <w:rFonts w:ascii="Arial" w:cs="Arial" w:eastAsia="Arial" w:hAnsi="Arial"/>
          <w:sz w:val="20"/>
          <w:szCs w:val="20"/>
          <w:color w:val="auto"/>
        </w:rPr>
        <w:t xml:space="preserve"> </w:t>
      </w:r>
      <w:r>
        <w:rPr>
          <w:rFonts w:ascii="Arial" w:cs="Arial" w:eastAsia="Arial" w:hAnsi="Arial"/>
          <w:sz w:val="17"/>
          <w:szCs w:val="17"/>
          <w:color w:val="auto"/>
        </w:rPr>
        <w:t>restriction imposed by the corporation upon the transfer of such shares.</w:t>
      </w:r>
    </w:p>
    <w:p>
      <w:pPr>
        <w:spacing w:after="0" w:line="170" w:lineRule="exact"/>
        <w:rPr>
          <w:sz w:val="20"/>
          <w:szCs w:val="20"/>
          <w:color w:val="auto"/>
        </w:rPr>
      </w:pPr>
    </w:p>
    <w:p>
      <w:pPr>
        <w:jc w:val="both"/>
        <w:ind w:left="100" w:firstLine="704"/>
        <w:spacing w:after="0" w:line="269"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17"/>
          <w:szCs w:val="17"/>
          <w:u w:val="single" w:color="auto"/>
          <w:color w:val="auto"/>
        </w:rPr>
        <w:t>Lost. Destroyed or Stolen Certificates.</w:t>
      </w:r>
      <w:r>
        <w:rPr>
          <w:rFonts w:ascii="Arial" w:cs="Arial" w:eastAsia="Arial" w:hAnsi="Arial"/>
          <w:sz w:val="20"/>
          <w:szCs w:val="20"/>
          <w:color w:val="auto"/>
        </w:rPr>
        <w:t xml:space="preserve"> </w:t>
      </w:r>
      <w:r>
        <w:rPr>
          <w:rFonts w:ascii="Arial" w:cs="Arial" w:eastAsia="Arial" w:hAnsi="Arial"/>
          <w:sz w:val="17"/>
          <w:szCs w:val="17"/>
          <w:color w:val="auto"/>
        </w:rPr>
        <w:t>Where the owner claims that certificates for shares have been lost, destroyed or</w:t>
      </w:r>
      <w:r>
        <w:rPr>
          <w:rFonts w:ascii="Arial" w:cs="Arial" w:eastAsia="Arial" w:hAnsi="Arial"/>
          <w:sz w:val="20"/>
          <w:szCs w:val="20"/>
          <w:color w:val="auto"/>
        </w:rPr>
        <w:t xml:space="preserve"> </w:t>
      </w:r>
      <w:r>
        <w:rPr>
          <w:rFonts w:ascii="Arial" w:cs="Arial" w:eastAsia="Arial" w:hAnsi="Arial"/>
          <w:sz w:val="17"/>
          <w:szCs w:val="17"/>
          <w:color w:val="auto"/>
        </w:rPr>
        <w:t>wrongfully taken, a new certificate shall be issued in place thereof if the owner (a) so requests before the corporation has notice that such shares have been acquired by a bona fide purchaser, (b) files with the corporation a sufficient indemnity bond if required by the Board of Directors or any principal officer, and (c) satisfies such other reasonable requirements as may be prescribed by or under the authority of the Board of Directors.</w:t>
      </w:r>
    </w:p>
    <w:p>
      <w:pPr>
        <w:spacing w:after="0" w:line="191" w:lineRule="exact"/>
        <w:rPr>
          <w:sz w:val="20"/>
          <w:szCs w:val="20"/>
          <w:color w:val="auto"/>
        </w:rPr>
      </w:pPr>
    </w:p>
    <w:p>
      <w:pPr>
        <w:jc w:val="both"/>
        <w:ind w:left="60" w:right="20" w:firstLine="704"/>
        <w:spacing w:after="0" w:line="261" w:lineRule="auto"/>
        <w:rPr>
          <w:sz w:val="20"/>
          <w:szCs w:val="20"/>
          <w:color w:val="auto"/>
        </w:rPr>
      </w:pPr>
      <w:r>
        <w:rPr>
          <w:rFonts w:ascii="Arial" w:cs="Arial" w:eastAsia="Arial" w:hAnsi="Arial"/>
          <w:sz w:val="20"/>
          <w:szCs w:val="20"/>
          <w:color w:val="auto"/>
        </w:rPr>
        <w:t xml:space="preserve">6.07 </w:t>
      </w:r>
      <w:r>
        <w:rPr>
          <w:rFonts w:ascii="Arial" w:cs="Arial" w:eastAsia="Arial" w:hAnsi="Arial"/>
          <w:sz w:val="17"/>
          <w:szCs w:val="17"/>
          <w:u w:val="single" w:color="auto"/>
          <w:color w:val="auto"/>
        </w:rPr>
        <w:t>Consideration for Shares</w:t>
      </w:r>
      <w:r>
        <w:rPr>
          <w:rFonts w:ascii="Arial" w:cs="Arial" w:eastAsia="Arial" w:hAnsi="Arial"/>
          <w:sz w:val="17"/>
          <w:szCs w:val="17"/>
          <w:color w:val="auto"/>
        </w:rPr>
        <w:t>. The Board of Directors may authorize shares to be issued for consideration consisting of any tangible or</w:t>
      </w:r>
      <w:r>
        <w:rPr>
          <w:rFonts w:ascii="Arial" w:cs="Arial" w:eastAsia="Arial" w:hAnsi="Arial"/>
          <w:sz w:val="20"/>
          <w:szCs w:val="20"/>
          <w:color w:val="auto"/>
        </w:rPr>
        <w:t xml:space="preserve"> </w:t>
      </w:r>
      <w:r>
        <w:rPr>
          <w:rFonts w:ascii="Arial" w:cs="Arial" w:eastAsia="Arial" w:hAnsi="Arial"/>
          <w:sz w:val="17"/>
          <w:szCs w:val="17"/>
          <w:color w:val="auto"/>
        </w:rPr>
        <w:t>intangible 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received for the shares to be issued is adequate. The determination of the Board of Directors is conclusive insofar as the adequacy of consideration for the issuance of shares relates to whether the shares are validly issued, fully paid and nonassessable. The corporation may place in escrow shares issued in whole or in part for a contract for future services or benefits, a promissory note, or other property to be issued in the future, or make other arrangements to restrict the transfer of the shares, and may credit distributions in respect of the shares against their purchase price, until the services are performed, the benefits or property are received or the promissory note is paid. If the services are not performed, the benefits or property are not received or the promissory note is not paid, the corporation may cancel, in whole or in part, the shares escrowed or restricted and the distributions credited.</w:t>
      </w:r>
    </w:p>
    <w:p>
      <w:pPr>
        <w:spacing w:after="0" w:line="186" w:lineRule="exact"/>
        <w:rPr>
          <w:sz w:val="20"/>
          <w:szCs w:val="20"/>
          <w:color w:val="auto"/>
        </w:rPr>
      </w:pPr>
    </w:p>
    <w:p>
      <w:pPr>
        <w:jc w:val="both"/>
        <w:ind w:left="80" w:right="20" w:firstLine="704"/>
        <w:spacing w:after="0" w:line="242" w:lineRule="auto"/>
        <w:rPr>
          <w:sz w:val="20"/>
          <w:szCs w:val="20"/>
          <w:color w:val="auto"/>
        </w:rPr>
      </w:pPr>
      <w:r>
        <w:rPr>
          <w:rFonts w:ascii="Arial" w:cs="Arial" w:eastAsia="Arial" w:hAnsi="Arial"/>
          <w:sz w:val="20"/>
          <w:szCs w:val="20"/>
          <w:color w:val="auto"/>
        </w:rPr>
        <w:t xml:space="preserve">6.08 </w:t>
      </w:r>
      <w:r>
        <w:rPr>
          <w:rFonts w:ascii="Arial" w:cs="Arial" w:eastAsia="Arial" w:hAnsi="Arial"/>
          <w:sz w:val="17"/>
          <w:szCs w:val="17"/>
          <w:u w:val="single" w:color="auto"/>
          <w:color w:val="auto"/>
        </w:rPr>
        <w:t>Stock Regulations.</w:t>
      </w:r>
      <w:r>
        <w:rPr>
          <w:rFonts w:ascii="Arial" w:cs="Arial" w:eastAsia="Arial" w:hAnsi="Arial"/>
          <w:sz w:val="20"/>
          <w:szCs w:val="20"/>
          <w:color w:val="auto"/>
        </w:rPr>
        <w:t xml:space="preserve"> </w:t>
      </w:r>
      <w:r>
        <w:rPr>
          <w:rFonts w:ascii="Arial" w:cs="Arial" w:eastAsia="Arial" w:hAnsi="Arial"/>
          <w:sz w:val="17"/>
          <w:szCs w:val="17"/>
          <w:color w:val="auto"/>
        </w:rPr>
        <w:t>The Board of Directors shall have the power and authority to make all such further rules and regulations not</w:t>
      </w:r>
      <w:r>
        <w:rPr>
          <w:rFonts w:ascii="Arial" w:cs="Arial" w:eastAsia="Arial" w:hAnsi="Arial"/>
          <w:sz w:val="20"/>
          <w:szCs w:val="20"/>
          <w:color w:val="auto"/>
        </w:rPr>
        <w:t xml:space="preserve"> </w:t>
      </w:r>
      <w:r>
        <w:rPr>
          <w:rFonts w:ascii="Arial" w:cs="Arial" w:eastAsia="Arial" w:hAnsi="Arial"/>
          <w:sz w:val="17"/>
          <w:szCs w:val="17"/>
          <w:color w:val="auto"/>
        </w:rPr>
        <w:t>inconsistent with law as it may deem expedient concerning the issue, transfer and registration of shares of the corporation.</w:t>
      </w:r>
    </w:p>
    <w:p>
      <w:pPr>
        <w:spacing w:after="0" w:line="213" w:lineRule="exact"/>
        <w:rPr>
          <w:sz w:val="20"/>
          <w:szCs w:val="20"/>
          <w:color w:val="auto"/>
        </w:rPr>
      </w:pPr>
    </w:p>
    <w:p>
      <w:pPr>
        <w:jc w:val="center"/>
        <w:ind w:right="-59"/>
        <w:spacing w:after="0"/>
        <w:tabs>
          <w:tab w:leader="none" w:pos="340" w:val="left"/>
        </w:tabs>
        <w:rPr>
          <w:sz w:val="20"/>
          <w:szCs w:val="20"/>
          <w:color w:val="auto"/>
        </w:rPr>
      </w:pPr>
      <w:r>
        <w:rPr>
          <w:rFonts w:ascii="Arial" w:cs="Arial" w:eastAsia="Arial" w:hAnsi="Arial"/>
          <w:sz w:val="18"/>
          <w:szCs w:val="18"/>
          <w:color w:val="auto"/>
        </w:rPr>
        <w:t>ARTICLE VII.</w:t>
      </w:r>
      <w:r>
        <w:rPr>
          <w:sz w:val="20"/>
          <w:szCs w:val="20"/>
          <w:color w:val="auto"/>
        </w:rPr>
        <w:tab/>
      </w:r>
      <w:r>
        <w:rPr>
          <w:rFonts w:ascii="Arial" w:cs="Arial" w:eastAsia="Arial" w:hAnsi="Arial"/>
          <w:sz w:val="17"/>
          <w:szCs w:val="17"/>
          <w:color w:val="auto"/>
        </w:rPr>
        <w:t>SEAL</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for a corporate seal for the corporation.</w:t>
      </w:r>
    </w:p>
    <w:p>
      <w:pPr>
        <w:spacing w:after="0" w:line="225" w:lineRule="exact"/>
        <w:rPr>
          <w:sz w:val="20"/>
          <w:szCs w:val="20"/>
          <w:color w:val="auto"/>
        </w:rPr>
      </w:pPr>
    </w:p>
    <w:p>
      <w:pPr>
        <w:jc w:val="center"/>
        <w:ind w:right="-59"/>
        <w:spacing w:after="0"/>
        <w:tabs>
          <w:tab w:leader="none" w:pos="260" w:val="left"/>
        </w:tabs>
        <w:rPr>
          <w:sz w:val="20"/>
          <w:szCs w:val="20"/>
          <w:color w:val="auto"/>
        </w:rPr>
      </w:pPr>
      <w:r>
        <w:rPr>
          <w:rFonts w:ascii="Arial" w:cs="Arial" w:eastAsia="Arial" w:hAnsi="Arial"/>
          <w:sz w:val="18"/>
          <w:szCs w:val="18"/>
          <w:color w:val="auto"/>
        </w:rPr>
        <w:t>ARTICLE VIII.</w:t>
      </w:r>
      <w:r>
        <w:rPr>
          <w:sz w:val="20"/>
          <w:szCs w:val="20"/>
          <w:color w:val="auto"/>
        </w:rPr>
        <w:tab/>
      </w:r>
      <w:r>
        <w:rPr>
          <w:rFonts w:ascii="Arial" w:cs="Arial" w:eastAsia="Arial" w:hAnsi="Arial"/>
          <w:sz w:val="17"/>
          <w:szCs w:val="17"/>
          <w:color w:val="auto"/>
        </w:rPr>
        <w:t>INDEMNIFICATION</w:t>
      </w:r>
    </w:p>
    <w:p>
      <w:pPr>
        <w:spacing w:after="0" w:line="222" w:lineRule="exact"/>
        <w:rPr>
          <w:sz w:val="20"/>
          <w:szCs w:val="20"/>
          <w:color w:val="auto"/>
        </w:rPr>
      </w:pPr>
    </w:p>
    <w:p>
      <w:pPr>
        <w:jc w:val="both"/>
        <w:ind w:left="80" w:right="40" w:firstLine="704"/>
        <w:spacing w:after="0" w:line="284" w:lineRule="auto"/>
        <w:rPr>
          <w:sz w:val="20"/>
          <w:szCs w:val="20"/>
          <w:color w:val="auto"/>
        </w:rPr>
      </w:pPr>
      <w:r>
        <w:rPr>
          <w:rFonts w:ascii="Arial" w:cs="Arial" w:eastAsia="Arial" w:hAnsi="Arial"/>
          <w:sz w:val="20"/>
          <w:szCs w:val="20"/>
          <w:color w:val="auto"/>
        </w:rPr>
        <w:t xml:space="preserve">8.01 </w:t>
      </w:r>
      <w:r>
        <w:rPr>
          <w:rFonts w:ascii="Arial" w:cs="Arial" w:eastAsia="Arial" w:hAnsi="Arial"/>
          <w:sz w:val="17"/>
          <w:szCs w:val="17"/>
          <w:u w:val="single" w:color="auto"/>
          <w:color w:val="auto"/>
        </w:rPr>
        <w:t>Certain Definitions.</w:t>
      </w:r>
      <w:r>
        <w:rPr>
          <w:rFonts w:ascii="Arial" w:cs="Arial" w:eastAsia="Arial" w:hAnsi="Arial"/>
          <w:sz w:val="20"/>
          <w:szCs w:val="20"/>
          <w:color w:val="auto"/>
        </w:rPr>
        <w:t xml:space="preserve"> </w:t>
      </w:r>
      <w:r>
        <w:rPr>
          <w:rFonts w:ascii="Arial" w:cs="Arial" w:eastAsia="Arial" w:hAnsi="Arial"/>
          <w:sz w:val="17"/>
          <w:szCs w:val="17"/>
          <w:color w:val="auto"/>
        </w:rPr>
        <w:t>The following capitalized terms (including any plural forms thereof) used in this Article VIII shall be defined</w:t>
      </w:r>
      <w:r>
        <w:rPr>
          <w:rFonts w:ascii="Arial" w:cs="Arial" w:eastAsia="Arial" w:hAnsi="Arial"/>
          <w:sz w:val="20"/>
          <w:szCs w:val="20"/>
          <w:color w:val="auto"/>
        </w:rPr>
        <w:t xml:space="preserve"> </w:t>
      </w:r>
      <w:r>
        <w:rPr>
          <w:rFonts w:ascii="Arial" w:cs="Arial" w:eastAsia="Arial" w:hAnsi="Arial"/>
          <w:sz w:val="17"/>
          <w:szCs w:val="17"/>
          <w:color w:val="auto"/>
        </w:rPr>
        <w:t>as follows:</w:t>
      </w:r>
    </w:p>
    <w:p>
      <w:pPr>
        <w:spacing w:after="0" w:line="187" w:lineRule="exact"/>
        <w:rPr>
          <w:sz w:val="20"/>
          <w:szCs w:val="20"/>
          <w:color w:val="auto"/>
        </w:rPr>
      </w:pPr>
    </w:p>
    <w:p>
      <w:pPr>
        <w:jc w:val="both"/>
        <w:ind w:left="780" w:right="40" w:firstLine="705"/>
        <w:spacing w:after="0" w:line="249" w:lineRule="auto"/>
        <w:tabs>
          <w:tab w:leader="none" w:pos="2177" w:val="left"/>
        </w:tabs>
        <w:numPr>
          <w:ilvl w:val="0"/>
          <w:numId w:val="73"/>
        </w:numPr>
        <w:rPr>
          <w:rFonts w:ascii="Arial" w:cs="Arial" w:eastAsia="Arial" w:hAnsi="Arial"/>
          <w:sz w:val="20"/>
          <w:szCs w:val="20"/>
          <w:color w:val="auto"/>
        </w:rPr>
      </w:pPr>
      <w:r>
        <w:rPr>
          <w:rFonts w:ascii="Arial" w:cs="Arial" w:eastAsia="Arial" w:hAnsi="Arial"/>
          <w:sz w:val="18"/>
          <w:szCs w:val="18"/>
          <w:color w:val="auto"/>
        </w:rPr>
        <w:t>"Affiliate" shall include, without limitation, any corporation, partnership, joint venture, employee benefit plan, trust or other enterprise that directly or indirectly through one or more intermediaries, controls or is controlled by, or is under common control with, the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1F1F1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311" w:right="479" w:bottom="1440" w:gutter="0" w:footer="0" w:header="0"/>
        </w:sectPr>
      </w:pPr>
    </w:p>
    <w:bookmarkStart w:id="101" w:name="page102"/>
    <w:bookmarkEnd w:id="101"/>
    <w:p>
      <w:pPr>
        <w:ind w:left="780" w:right="40" w:firstLine="705"/>
        <w:spacing w:after="0" w:line="250" w:lineRule="auto"/>
        <w:tabs>
          <w:tab w:leader="none" w:pos="2178" w:val="left"/>
        </w:tabs>
        <w:numPr>
          <w:ilvl w:val="0"/>
          <w:numId w:val="74"/>
        </w:numPr>
        <w:rPr>
          <w:rFonts w:ascii="Arial" w:cs="Arial" w:eastAsia="Arial" w:hAnsi="Arial"/>
          <w:sz w:val="20"/>
          <w:szCs w:val="20"/>
          <w:color w:val="auto"/>
        </w:rPr>
      </w:pPr>
      <w:r>
        <w:rPr>
          <w:rFonts w:ascii="Arial" w:cs="Arial" w:eastAsia="Arial" w:hAnsi="Arial"/>
          <w:sz w:val="18"/>
          <w:szCs w:val="18"/>
          <w:color w:val="auto"/>
        </w:rPr>
        <w:t>"Authority" shall mean the entity selected by the Director or Officer to determine his or her right to indemnification pursuant to Section 8.04 hereof.</w:t>
      </w:r>
    </w:p>
    <w:p>
      <w:pPr>
        <w:spacing w:after="0" w:line="219" w:lineRule="exact"/>
        <w:rPr>
          <w:rFonts w:ascii="Arial" w:cs="Arial" w:eastAsia="Arial" w:hAnsi="Arial"/>
          <w:sz w:val="20"/>
          <w:szCs w:val="20"/>
          <w:color w:val="auto"/>
        </w:rPr>
      </w:pPr>
    </w:p>
    <w:p>
      <w:pPr>
        <w:ind w:left="780" w:right="20" w:firstLine="705"/>
        <w:spacing w:after="0" w:line="250" w:lineRule="auto"/>
        <w:tabs>
          <w:tab w:leader="none" w:pos="2178" w:val="left"/>
        </w:tabs>
        <w:numPr>
          <w:ilvl w:val="0"/>
          <w:numId w:val="74"/>
        </w:numPr>
        <w:rPr>
          <w:rFonts w:ascii="Arial" w:cs="Arial" w:eastAsia="Arial" w:hAnsi="Arial"/>
          <w:sz w:val="20"/>
          <w:szCs w:val="20"/>
          <w:color w:val="auto"/>
        </w:rPr>
      </w:pPr>
      <w:r>
        <w:rPr>
          <w:rFonts w:ascii="Arial" w:cs="Arial" w:eastAsia="Arial" w:hAnsi="Arial"/>
          <w:sz w:val="18"/>
          <w:szCs w:val="18"/>
          <w:color w:val="auto"/>
        </w:rPr>
        <w:t>"Board" shall mean the entire then elected and serving Board of Directors of the Corporation, including all members thereof who are Parties to the subject Proceeding or any related Proceeding.</w:t>
      </w:r>
    </w:p>
    <w:p>
      <w:pPr>
        <w:spacing w:after="0" w:line="205" w:lineRule="exact"/>
        <w:rPr>
          <w:rFonts w:ascii="Arial" w:cs="Arial" w:eastAsia="Arial" w:hAnsi="Arial"/>
          <w:sz w:val="20"/>
          <w:szCs w:val="20"/>
          <w:color w:val="auto"/>
        </w:rPr>
      </w:pPr>
    </w:p>
    <w:p>
      <w:pPr>
        <w:jc w:val="both"/>
        <w:ind w:left="780" w:right="20" w:firstLine="705"/>
        <w:spacing w:after="0" w:line="249" w:lineRule="auto"/>
        <w:tabs>
          <w:tab w:leader="none" w:pos="2178" w:val="left"/>
        </w:tabs>
        <w:numPr>
          <w:ilvl w:val="0"/>
          <w:numId w:val="74"/>
        </w:numPr>
        <w:rPr>
          <w:rFonts w:ascii="Arial" w:cs="Arial" w:eastAsia="Arial" w:hAnsi="Arial"/>
          <w:sz w:val="20"/>
          <w:szCs w:val="20"/>
          <w:color w:val="auto"/>
        </w:rPr>
      </w:pPr>
      <w:r>
        <w:rPr>
          <w:rFonts w:ascii="Arial" w:cs="Arial" w:eastAsia="Arial" w:hAnsi="Arial"/>
          <w:sz w:val="18"/>
          <w:szCs w:val="18"/>
          <w:color w:val="auto"/>
        </w:rPr>
        <w:t>"Breach of Duty" shall mean the Director or Officer breached or failed to perform his or her duties to the Corporation and his or her breach of or failure to perform those duties is determined, in accordance with Section 8.04 hereof, to constitute misconduct under the Indiana Business Corporation Law.</w:t>
      </w:r>
    </w:p>
    <w:p>
      <w:pPr>
        <w:spacing w:after="0" w:line="221" w:lineRule="exact"/>
        <w:rPr>
          <w:rFonts w:ascii="Arial" w:cs="Arial" w:eastAsia="Arial" w:hAnsi="Arial"/>
          <w:sz w:val="20"/>
          <w:szCs w:val="20"/>
          <w:color w:val="auto"/>
        </w:rPr>
      </w:pPr>
    </w:p>
    <w:p>
      <w:pPr>
        <w:jc w:val="both"/>
        <w:ind w:left="800" w:firstLine="715"/>
        <w:spacing w:after="0" w:line="249" w:lineRule="auto"/>
        <w:tabs>
          <w:tab w:leader="none" w:pos="2214" w:val="left"/>
        </w:tabs>
        <w:numPr>
          <w:ilvl w:val="2"/>
          <w:numId w:val="74"/>
        </w:numPr>
        <w:rPr>
          <w:rFonts w:ascii="Arial" w:cs="Arial" w:eastAsia="Arial" w:hAnsi="Arial"/>
          <w:sz w:val="20"/>
          <w:szCs w:val="20"/>
          <w:color w:val="auto"/>
        </w:rPr>
      </w:pPr>
      <w:r>
        <w:rPr>
          <w:rFonts w:ascii="Arial" w:cs="Arial" w:eastAsia="Arial" w:hAnsi="Arial"/>
          <w:sz w:val="18"/>
          <w:szCs w:val="18"/>
          <w:color w:val="auto"/>
        </w:rPr>
        <w:t>"Corporation," as used herein and as defined in the Indiana Business Corporation Law and incorporated by reference into the definitions of certain other capitalized terms used herein, shall mean this corporation, including, without limitation, any successor corporation or entity to this corporation by way of merger, consolidation or acquisition of all or substantially all of the capital stock or assets of this corporation.</w:t>
      </w:r>
    </w:p>
    <w:p>
      <w:pPr>
        <w:spacing w:after="0" w:line="209" w:lineRule="exact"/>
        <w:rPr>
          <w:rFonts w:ascii="Arial" w:cs="Arial" w:eastAsia="Arial" w:hAnsi="Arial"/>
          <w:sz w:val="20"/>
          <w:szCs w:val="20"/>
          <w:color w:val="auto"/>
        </w:rPr>
      </w:pPr>
    </w:p>
    <w:p>
      <w:pPr>
        <w:jc w:val="both"/>
        <w:ind w:left="800" w:firstLine="700"/>
        <w:spacing w:after="0" w:line="249" w:lineRule="auto"/>
        <w:tabs>
          <w:tab w:leader="none" w:pos="2200" w:val="left"/>
        </w:tabs>
        <w:numPr>
          <w:ilvl w:val="1"/>
          <w:numId w:val="74"/>
        </w:numPr>
        <w:rPr>
          <w:rFonts w:ascii="Arial" w:cs="Arial" w:eastAsia="Arial" w:hAnsi="Arial"/>
          <w:sz w:val="20"/>
          <w:szCs w:val="20"/>
          <w:color w:val="auto"/>
        </w:rPr>
      </w:pPr>
      <w:r>
        <w:rPr>
          <w:rFonts w:ascii="Arial" w:cs="Arial" w:eastAsia="Arial" w:hAnsi="Arial"/>
          <w:sz w:val="18"/>
          <w:szCs w:val="18"/>
          <w:color w:val="auto"/>
        </w:rPr>
        <w:t>"Director or Officer" shall have the meaning set forth in the Indiana Business Corporation Law; provided, that, it shall be conclusively presumed that any Director or Officer serving as a director, officer, partner, trustee, member of any governing or decision-making committee, employee or agent of an Affiliate shall be so serving at the request of the Corporation.</w:t>
      </w:r>
    </w:p>
    <w:p>
      <w:pPr>
        <w:spacing w:after="0" w:line="221" w:lineRule="exact"/>
        <w:rPr>
          <w:rFonts w:ascii="Arial" w:cs="Arial" w:eastAsia="Arial" w:hAnsi="Arial"/>
          <w:sz w:val="20"/>
          <w:szCs w:val="20"/>
          <w:color w:val="auto"/>
        </w:rPr>
      </w:pPr>
    </w:p>
    <w:p>
      <w:pPr>
        <w:ind w:left="2200" w:hanging="700"/>
        <w:spacing w:after="0"/>
        <w:tabs>
          <w:tab w:leader="none" w:pos="2200" w:val="left"/>
        </w:tabs>
        <w:numPr>
          <w:ilvl w:val="1"/>
          <w:numId w:val="74"/>
        </w:numPr>
        <w:rPr>
          <w:rFonts w:ascii="Arial" w:cs="Arial" w:eastAsia="Arial" w:hAnsi="Arial"/>
          <w:sz w:val="18"/>
          <w:szCs w:val="18"/>
          <w:color w:val="auto"/>
        </w:rPr>
      </w:pPr>
      <w:r>
        <w:rPr>
          <w:rFonts w:ascii="Arial" w:cs="Arial" w:eastAsia="Arial" w:hAnsi="Arial"/>
          <w:sz w:val="16"/>
          <w:szCs w:val="16"/>
          <w:color w:val="auto"/>
        </w:rPr>
        <w:t>"Disinterested Quorum" shall mean a quorum of the Board who are not Parties to the subject Proceeding or any related</w:t>
      </w:r>
    </w:p>
    <w:p>
      <w:pPr>
        <w:spacing w:after="0" w:line="2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Proceeding.</w:t>
      </w:r>
    </w:p>
    <w:p>
      <w:pPr>
        <w:spacing w:after="0" w:line="221" w:lineRule="exact"/>
        <w:rPr>
          <w:rFonts w:ascii="Arial" w:cs="Arial" w:eastAsia="Arial" w:hAnsi="Arial"/>
          <w:sz w:val="18"/>
          <w:szCs w:val="18"/>
          <w:color w:val="auto"/>
        </w:rPr>
      </w:pPr>
    </w:p>
    <w:p>
      <w:pPr>
        <w:jc w:val="both"/>
        <w:ind w:left="800" w:firstLine="700"/>
        <w:spacing w:after="0" w:line="249" w:lineRule="auto"/>
        <w:tabs>
          <w:tab w:leader="none" w:pos="2200" w:val="left"/>
        </w:tabs>
        <w:numPr>
          <w:ilvl w:val="1"/>
          <w:numId w:val="74"/>
        </w:numPr>
        <w:rPr>
          <w:rFonts w:ascii="Arial" w:cs="Arial" w:eastAsia="Arial" w:hAnsi="Arial"/>
          <w:sz w:val="20"/>
          <w:szCs w:val="20"/>
          <w:color w:val="auto"/>
        </w:rPr>
      </w:pPr>
      <w:r>
        <w:rPr>
          <w:rFonts w:ascii="Arial" w:cs="Arial" w:eastAsia="Arial" w:hAnsi="Arial"/>
          <w:sz w:val="18"/>
          <w:szCs w:val="18"/>
          <w:color w:val="auto"/>
        </w:rPr>
        <w:t>"Party" shall have the meaning set forth in the Indiana Business Corporation Law; provided, that, the term "Party" shall also include any Director or Officer or employee of the Corporation who is or was a witness in a Proceeding at a time when he or she has not otherwise been formally named a Party thereto.</w:t>
      </w:r>
    </w:p>
    <w:p>
      <w:pPr>
        <w:spacing w:after="0" w:line="208" w:lineRule="exact"/>
        <w:rPr>
          <w:rFonts w:ascii="Arial" w:cs="Arial" w:eastAsia="Arial" w:hAnsi="Arial"/>
          <w:sz w:val="20"/>
          <w:szCs w:val="20"/>
          <w:color w:val="auto"/>
        </w:rPr>
      </w:pPr>
    </w:p>
    <w:p>
      <w:pPr>
        <w:jc w:val="both"/>
        <w:ind w:left="800" w:firstLine="700"/>
        <w:spacing w:after="0" w:line="250" w:lineRule="auto"/>
        <w:tabs>
          <w:tab w:leader="none" w:pos="2200" w:val="left"/>
        </w:tabs>
        <w:numPr>
          <w:ilvl w:val="1"/>
          <w:numId w:val="74"/>
        </w:numPr>
        <w:rPr>
          <w:rFonts w:ascii="Arial" w:cs="Arial" w:eastAsia="Arial" w:hAnsi="Arial"/>
          <w:sz w:val="20"/>
          <w:szCs w:val="20"/>
          <w:color w:val="auto"/>
        </w:rPr>
      </w:pPr>
      <w:r>
        <w:rPr>
          <w:rFonts w:ascii="Arial" w:cs="Arial" w:eastAsia="Arial" w:hAnsi="Arial"/>
          <w:sz w:val="18"/>
          <w:szCs w:val="18"/>
          <w:color w:val="auto"/>
        </w:rPr>
        <w:t>"Proceeding" shall have the meaning set forth in the Indiana Business Corporation Law; provided, that, in accordance with Indiana Business Corporation Law, the term "Proceeding" shall also include all Proceedings: (i) brought under (in whole or in part) the Securities Act of 1933, as amended, the Securities Exchange Act of 1934, as amended, their respective state counterparts, and/or any rule or regulation promulgated under any of the foregoing; (ii) brought before an Authority or otherwise to enforce rights hereunder; (iii) any appeal from a Proceeding; and (iv) any Proceeding in which the Director or Officer is a plaintiff or petitioner because he or she is a Director or Officer; provided, however, that any such Proceeding under this subsection (iv) must be authorized by a majority vote of a Disinterested Quorum.</w:t>
      </w:r>
    </w:p>
    <w:p>
      <w:pPr>
        <w:spacing w:after="0" w:line="204" w:lineRule="exact"/>
        <w:rPr>
          <w:sz w:val="20"/>
          <w:szCs w:val="20"/>
          <w:color w:val="auto"/>
        </w:rPr>
      </w:pPr>
    </w:p>
    <w:p>
      <w:pPr>
        <w:jc w:val="both"/>
        <w:ind w:left="100" w:right="20" w:firstLine="719"/>
        <w:spacing w:after="0" w:line="260" w:lineRule="auto"/>
        <w:rPr>
          <w:sz w:val="20"/>
          <w:szCs w:val="20"/>
          <w:color w:val="auto"/>
        </w:rPr>
      </w:pPr>
      <w:r>
        <w:rPr>
          <w:rFonts w:ascii="Arial" w:cs="Arial" w:eastAsia="Arial" w:hAnsi="Arial"/>
          <w:sz w:val="20"/>
          <w:szCs w:val="20"/>
          <w:color w:val="auto"/>
        </w:rPr>
        <w:t xml:space="preserve">8.02 </w:t>
      </w:r>
      <w:r>
        <w:rPr>
          <w:rFonts w:ascii="Arial" w:cs="Arial" w:eastAsia="Arial" w:hAnsi="Arial"/>
          <w:sz w:val="17"/>
          <w:szCs w:val="17"/>
          <w:u w:val="single" w:color="auto"/>
          <w:color w:val="auto"/>
        </w:rPr>
        <w:t>Provision of Indemnification</w:t>
      </w:r>
      <w:r>
        <w:rPr>
          <w:rFonts w:ascii="Arial" w:cs="Arial" w:eastAsia="Arial" w:hAnsi="Arial"/>
          <w:sz w:val="17"/>
          <w:szCs w:val="17"/>
          <w:color w:val="auto"/>
        </w:rPr>
        <w:t>. The Corporation shall, to the fullest extent permitted or required by the Indiana Business Corporation</w:t>
      </w:r>
      <w:r>
        <w:rPr>
          <w:rFonts w:ascii="Arial" w:cs="Arial" w:eastAsia="Arial" w:hAnsi="Arial"/>
          <w:sz w:val="20"/>
          <w:szCs w:val="20"/>
          <w:color w:val="auto"/>
        </w:rPr>
        <w:t xml:space="preserve"> </w:t>
      </w:r>
      <w:r>
        <w:rPr>
          <w:rFonts w:ascii="Arial" w:cs="Arial" w:eastAsia="Arial" w:hAnsi="Arial"/>
          <w:sz w:val="17"/>
          <w:szCs w:val="17"/>
          <w:color w:val="auto"/>
        </w:rPr>
        <w:t>Law, including any amendments thereto (but in the case of any such amendment, only to the extent such amendment permits or requires the Corporation to provide broader indemnification rights than prior to such amendment), indemnify its Directors and Officers against any and all Liabilities, and advance any and all reasonable Expenses, incurred thereby in any Proceeding to which any such Director or Officer is a Party because he or she is or was a Director or Officer of the Corporation. The Corporation shall also indemnify an employee who is not a Director or Officer, to the extent that the employee has been successful on the merits or otherwise in defense of a Proceeding, for all reasonable Expenses incurred in the Proceeding if the employee was a Party because he or she is or was an employee of the Corporation. The rights to indemnification granted hereunder shall not be deemed exclusive of any other rights to indemnification</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1F1F1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354" w:right="479" w:bottom="1440" w:gutter="0" w:footer="0" w:header="0"/>
        </w:sectPr>
      </w:pPr>
    </w:p>
    <w:bookmarkStart w:id="102" w:name="page103"/>
    <w:bookmarkEnd w:id="102"/>
    <w:p>
      <w:pPr>
        <w:jc w:val="both"/>
        <w:ind w:left="100" w:right="20"/>
        <w:spacing w:after="0" w:line="263" w:lineRule="auto"/>
        <w:rPr>
          <w:sz w:val="20"/>
          <w:szCs w:val="20"/>
          <w:color w:val="auto"/>
        </w:rPr>
      </w:pPr>
      <w:r>
        <w:rPr>
          <w:rFonts w:ascii="Arial" w:cs="Arial" w:eastAsia="Arial" w:hAnsi="Arial"/>
          <w:sz w:val="18"/>
          <w:szCs w:val="18"/>
          <w:color w:val="auto"/>
        </w:rPr>
        <w:t>against Liabilities or the advancement of Expenses which a Director or Officer may be entitled under any written agreement, Board resolution, vote of shareholders, the Indiana Business Corporation Law or otherwise. All capitalized terms used in this Article VIII and not otherwise defined herein shall have the meaning set forth in the Indiana Business Corporation Law.</w:t>
      </w:r>
    </w:p>
    <w:p>
      <w:pPr>
        <w:spacing w:after="0" w:line="194" w:lineRule="exact"/>
        <w:rPr>
          <w:sz w:val="20"/>
          <w:szCs w:val="20"/>
          <w:color w:val="auto"/>
        </w:rPr>
      </w:pPr>
    </w:p>
    <w:p>
      <w:pPr>
        <w:ind w:left="800"/>
        <w:spacing w:after="0"/>
        <w:tabs>
          <w:tab w:leader="none" w:pos="150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w:t>
      </w:r>
    </w:p>
    <w:p>
      <w:pPr>
        <w:spacing w:after="0" w:line="231" w:lineRule="exact"/>
        <w:rPr>
          <w:sz w:val="20"/>
          <w:szCs w:val="20"/>
          <w:color w:val="auto"/>
        </w:rPr>
      </w:pPr>
    </w:p>
    <w:p>
      <w:pPr>
        <w:jc w:val="both"/>
        <w:ind w:left="800" w:firstLine="700"/>
        <w:spacing w:after="0" w:line="249" w:lineRule="auto"/>
        <w:tabs>
          <w:tab w:leader="none" w:pos="2200" w:val="left"/>
        </w:tabs>
        <w:numPr>
          <w:ilvl w:val="0"/>
          <w:numId w:val="75"/>
        </w:numPr>
        <w:rPr>
          <w:rFonts w:ascii="Arial" w:cs="Arial" w:eastAsia="Arial" w:hAnsi="Arial"/>
          <w:sz w:val="20"/>
          <w:szCs w:val="20"/>
          <w:color w:val="auto"/>
        </w:rPr>
      </w:pPr>
      <w:r>
        <w:rPr>
          <w:rFonts w:ascii="Arial" w:cs="Arial" w:eastAsia="Arial" w:hAnsi="Arial"/>
          <w:sz w:val="18"/>
          <w:szCs w:val="18"/>
          <w:color w:val="auto"/>
        </w:rPr>
        <w:t>A Director or Officer who seeks indemnification under Section 8.02 hereof shall make a written request therefor to the Corporation. Subject to Section 8.02(b) hereof, within sixty days of the Corporation's receipt of such request, the Corporation shall pay or reimburse the Director or Officer for the entire amount of Liabilities incurred by the Director or Officer in connection with the subject Proceeding (net of any Expenses previously advanced pursuant to Section 8.05 hereof).</w:t>
      </w:r>
    </w:p>
    <w:p>
      <w:pPr>
        <w:spacing w:after="0" w:line="209" w:lineRule="exact"/>
        <w:rPr>
          <w:rFonts w:ascii="Arial" w:cs="Arial" w:eastAsia="Arial" w:hAnsi="Arial"/>
          <w:sz w:val="20"/>
          <w:szCs w:val="20"/>
          <w:color w:val="auto"/>
        </w:rPr>
      </w:pPr>
    </w:p>
    <w:p>
      <w:pPr>
        <w:jc w:val="both"/>
        <w:ind w:left="800" w:right="20" w:firstLine="715"/>
        <w:spacing w:after="0" w:line="249" w:lineRule="auto"/>
        <w:tabs>
          <w:tab w:leader="none" w:pos="2213" w:val="left"/>
        </w:tabs>
        <w:numPr>
          <w:ilvl w:val="1"/>
          <w:numId w:val="75"/>
        </w:numPr>
        <w:rPr>
          <w:rFonts w:ascii="Arial" w:cs="Arial" w:eastAsia="Arial" w:hAnsi="Arial"/>
          <w:sz w:val="20"/>
          <w:szCs w:val="20"/>
          <w:color w:val="auto"/>
        </w:rPr>
      </w:pPr>
      <w:r>
        <w:rPr>
          <w:rFonts w:ascii="Arial" w:cs="Arial" w:eastAsia="Arial" w:hAnsi="Arial"/>
          <w:sz w:val="18"/>
          <w:szCs w:val="18"/>
          <w:color w:val="auto"/>
        </w:rPr>
        <w:t>No indemnification shall be required to be paid by the Corporation pursuant to Section 8.02 hereof if, within such sixty-day period: (i) a Disinterested Quorum, by a majority vote thereof, determines that the Director or Officer requesting indemnification engaged in misconduct constituting a Breach of Duty; or (ii) a Disinterested Quorum cannot be obtained.</w:t>
      </w:r>
    </w:p>
    <w:p>
      <w:pPr>
        <w:spacing w:after="0" w:line="208" w:lineRule="exact"/>
        <w:rPr>
          <w:sz w:val="20"/>
          <w:szCs w:val="20"/>
          <w:color w:val="auto"/>
        </w:rPr>
      </w:pPr>
    </w:p>
    <w:p>
      <w:pPr>
        <w:jc w:val="both"/>
        <w:ind w:left="800" w:firstLine="700"/>
        <w:spacing w:after="0" w:line="249" w:lineRule="auto"/>
        <w:tabs>
          <w:tab w:leader="none" w:pos="2200" w:val="left"/>
        </w:tabs>
        <w:numPr>
          <w:ilvl w:val="0"/>
          <w:numId w:val="76"/>
        </w:numPr>
        <w:rPr>
          <w:rFonts w:ascii="Arial" w:cs="Arial" w:eastAsia="Arial" w:hAnsi="Arial"/>
          <w:sz w:val="20"/>
          <w:szCs w:val="20"/>
          <w:color w:val="auto"/>
        </w:rPr>
      </w:pPr>
      <w:r>
        <w:rPr>
          <w:rFonts w:ascii="Arial" w:cs="Arial" w:eastAsia="Arial" w:hAnsi="Arial"/>
          <w:sz w:val="18"/>
          <w:szCs w:val="18"/>
          <w:color w:val="auto"/>
        </w:rPr>
        <w:t>In either case of nonpayment pursuant to Section 8.03(b) hereof, the Board shall immediately authorize by resolution that an Authority , as provided in Section 8.04 hereof , determine whether the Director's or Officer's conduct constituted a Breach of Duty and, therefore, whether indemnification should be denied hereunder.</w:t>
      </w:r>
    </w:p>
    <w:p>
      <w:pPr>
        <w:spacing w:after="0" w:line="221" w:lineRule="exact"/>
        <w:rPr>
          <w:rFonts w:ascii="Arial" w:cs="Arial" w:eastAsia="Arial" w:hAnsi="Arial"/>
          <w:sz w:val="20"/>
          <w:szCs w:val="20"/>
          <w:color w:val="auto"/>
        </w:rPr>
      </w:pPr>
    </w:p>
    <w:p>
      <w:pPr>
        <w:jc w:val="both"/>
        <w:ind w:left="800" w:firstLine="700"/>
        <w:spacing w:after="0" w:line="267" w:lineRule="auto"/>
        <w:tabs>
          <w:tab w:leader="none" w:pos="2198" w:val="left"/>
        </w:tabs>
        <w:numPr>
          <w:ilvl w:val="0"/>
          <w:numId w:val="76"/>
        </w:numPr>
        <w:rPr>
          <w:rFonts w:ascii="Arial" w:cs="Arial" w:eastAsia="Arial" w:hAnsi="Arial"/>
          <w:sz w:val="19"/>
          <w:szCs w:val="19"/>
          <w:color w:val="auto"/>
        </w:rPr>
      </w:pPr>
      <w:r>
        <w:rPr>
          <w:rFonts w:ascii="Arial" w:cs="Arial" w:eastAsia="Arial" w:hAnsi="Arial"/>
          <w:sz w:val="17"/>
          <w:szCs w:val="17"/>
          <w:color w:val="auto"/>
        </w:rPr>
        <w:t>(i) If the Board does not authorize an Authority to determine the Director' s or Officer's right to indemnification hereunder within such sixty-day period and /or (ii) if indemnification of the requested amount of Liabilities is paid by the Corporation, then it shall be conclusively presumed for all purposes that a Disinterested Quorum has affirmatively determined that the Director or Officer did not engage in misconduct constituting a Breach of Duty and, in the case of subsection (i) above (but not subsection (ii)), indemnification by the Corporation of the requested amount of Liabilities shall be paid to the Director or Officer immediately.</w:t>
      </w:r>
    </w:p>
    <w:p>
      <w:pPr>
        <w:spacing w:after="0" w:line="179" w:lineRule="exact"/>
        <w:rPr>
          <w:sz w:val="20"/>
          <w:szCs w:val="20"/>
          <w:color w:val="auto"/>
        </w:rPr>
      </w:pPr>
    </w:p>
    <w:p>
      <w:pPr>
        <w:ind w:left="820"/>
        <w:spacing w:after="0"/>
        <w:tabs>
          <w:tab w:leader="none" w:pos="1500" w:val="left"/>
        </w:tabs>
        <w:rPr>
          <w:sz w:val="20"/>
          <w:szCs w:val="20"/>
          <w:color w:val="auto"/>
        </w:rPr>
      </w:pPr>
      <w:r>
        <w:rPr>
          <w:rFonts w:ascii="Arial" w:cs="Arial" w:eastAsia="Arial" w:hAnsi="Arial"/>
          <w:sz w:val="20"/>
          <w:szCs w:val="20"/>
          <w:color w:val="auto"/>
        </w:rPr>
        <w:t>8.04</w:t>
      </w:r>
      <w:r>
        <w:rPr>
          <w:sz w:val="20"/>
          <w:szCs w:val="20"/>
          <w:color w:val="auto"/>
        </w:rPr>
        <w:tab/>
      </w:r>
      <w:r>
        <w:rPr>
          <w:rFonts w:ascii="Arial" w:cs="Arial" w:eastAsia="Arial" w:hAnsi="Arial"/>
          <w:sz w:val="16"/>
          <w:szCs w:val="16"/>
          <w:u w:val="single" w:color="auto"/>
          <w:color w:val="auto"/>
        </w:rPr>
        <w:t>Determination of Indemnification</w:t>
      </w:r>
      <w:r>
        <w:rPr>
          <w:rFonts w:ascii="Arial" w:cs="Arial" w:eastAsia="Arial" w:hAnsi="Arial"/>
          <w:sz w:val="16"/>
          <w:szCs w:val="16"/>
          <w:color w:val="auto"/>
        </w:rPr>
        <w:t>.</w:t>
      </w:r>
    </w:p>
    <w:p>
      <w:pPr>
        <w:spacing w:after="0" w:line="231" w:lineRule="exact"/>
        <w:rPr>
          <w:sz w:val="20"/>
          <w:szCs w:val="20"/>
          <w:color w:val="auto"/>
        </w:rPr>
      </w:pPr>
    </w:p>
    <w:p>
      <w:pPr>
        <w:jc w:val="both"/>
        <w:ind w:left="800" w:firstLine="700"/>
        <w:spacing w:after="0" w:line="249" w:lineRule="auto"/>
        <w:tabs>
          <w:tab w:leader="none" w:pos="2200" w:val="left"/>
        </w:tabs>
        <w:numPr>
          <w:ilvl w:val="1"/>
          <w:numId w:val="77"/>
        </w:numPr>
        <w:rPr>
          <w:rFonts w:ascii="Arial" w:cs="Arial" w:eastAsia="Arial" w:hAnsi="Arial"/>
          <w:sz w:val="20"/>
          <w:szCs w:val="20"/>
          <w:color w:val="auto"/>
        </w:rPr>
      </w:pPr>
      <w:r>
        <w:rPr>
          <w:rFonts w:ascii="Arial" w:cs="Arial" w:eastAsia="Arial" w:hAnsi="Arial"/>
          <w:sz w:val="18"/>
          <w:szCs w:val="18"/>
          <w:color w:val="auto"/>
        </w:rPr>
        <w:t>If the Board authorizes an Authority to determine a Director' s or Officer' s right to indemnification pursuant to Section 8.03 hereof, then the Director or Officer requesting indemnification shall have the absolute discretionary authority to select one of the following as such Authority:</w:t>
      </w:r>
    </w:p>
    <w:p>
      <w:pPr>
        <w:spacing w:after="0" w:line="221" w:lineRule="exact"/>
        <w:rPr>
          <w:rFonts w:ascii="Arial" w:cs="Arial" w:eastAsia="Arial" w:hAnsi="Arial"/>
          <w:sz w:val="20"/>
          <w:szCs w:val="20"/>
          <w:color w:val="auto"/>
        </w:rPr>
      </w:pPr>
    </w:p>
    <w:p>
      <w:pPr>
        <w:jc w:val="both"/>
        <w:ind w:left="1520" w:right="20" w:firstLine="699"/>
        <w:spacing w:after="0" w:line="249" w:lineRule="auto"/>
        <w:tabs>
          <w:tab w:leader="none" w:pos="2917" w:val="left"/>
        </w:tabs>
        <w:numPr>
          <w:ilvl w:val="3"/>
          <w:numId w:val="77"/>
        </w:numPr>
        <w:rPr>
          <w:rFonts w:ascii="Arial" w:cs="Arial" w:eastAsia="Arial" w:hAnsi="Arial"/>
          <w:sz w:val="20"/>
          <w:szCs w:val="20"/>
          <w:color w:val="auto"/>
        </w:rPr>
      </w:pPr>
      <w:r>
        <w:rPr>
          <w:rFonts w:ascii="Arial" w:cs="Arial" w:eastAsia="Arial" w:hAnsi="Arial"/>
          <w:sz w:val="18"/>
          <w:szCs w:val="18"/>
          <w:color w:val="auto"/>
        </w:rPr>
        <w:t>An independent legal counsel; provided, that such counsel shall be mutually selected by such Director or Officer and by a majority vote of a Disinterested Quorum or, if a Disinterested Quorum cannot be obtained, then by a majority vote of the Board;</w:t>
      </w:r>
    </w:p>
    <w:p>
      <w:pPr>
        <w:spacing w:after="0" w:line="208" w:lineRule="exact"/>
        <w:rPr>
          <w:rFonts w:ascii="Arial" w:cs="Arial" w:eastAsia="Arial" w:hAnsi="Arial"/>
          <w:sz w:val="20"/>
          <w:szCs w:val="20"/>
          <w:color w:val="auto"/>
        </w:rPr>
      </w:pPr>
    </w:p>
    <w:p>
      <w:pPr>
        <w:jc w:val="both"/>
        <w:ind w:left="1520" w:firstLine="699"/>
        <w:spacing w:after="0" w:line="249" w:lineRule="auto"/>
        <w:tabs>
          <w:tab w:leader="none" w:pos="2917" w:val="left"/>
        </w:tabs>
        <w:numPr>
          <w:ilvl w:val="3"/>
          <w:numId w:val="77"/>
        </w:numPr>
        <w:rPr>
          <w:rFonts w:ascii="Arial" w:cs="Arial" w:eastAsia="Arial" w:hAnsi="Arial"/>
          <w:sz w:val="20"/>
          <w:szCs w:val="20"/>
          <w:color w:val="auto"/>
        </w:rPr>
      </w:pPr>
      <w:r>
        <w:rPr>
          <w:rFonts w:ascii="Arial" w:cs="Arial" w:eastAsia="Arial" w:hAnsi="Arial"/>
          <w:sz w:val="18"/>
          <w:szCs w:val="18"/>
          <w:color w:val="auto"/>
        </w:rPr>
        <w:t>A panel of three arbitrators selected from the panels of arbitrators of the American Arbitration Association in Indiana; provided, that (A) one arbitrator shall be selected by such Director or Officer, the second arbitrator shall be selected by a majority vote of a Disinterested Quorum or, if a Disinterested Quorum cannot be obtained, then by a majority vote of the Board, and the third arbitrator shall be selected by the two previously selected arbitrators, and (B) in all other respects (other than this Article VIII), such panel shall be governed by the American Arbitration Association's then existing Commercial Arbitration Rules; or</w:t>
      </w:r>
    </w:p>
    <w:p>
      <w:pPr>
        <w:spacing w:after="0" w:line="224" w:lineRule="exact"/>
        <w:rPr>
          <w:rFonts w:ascii="Arial" w:cs="Arial" w:eastAsia="Arial" w:hAnsi="Arial"/>
          <w:sz w:val="20"/>
          <w:szCs w:val="20"/>
          <w:color w:val="auto"/>
        </w:rPr>
      </w:pPr>
    </w:p>
    <w:p>
      <w:pPr>
        <w:ind w:left="2860" w:hanging="686"/>
        <w:spacing w:after="0"/>
        <w:tabs>
          <w:tab w:leader="none" w:pos="2860" w:val="left"/>
        </w:tabs>
        <w:numPr>
          <w:ilvl w:val="2"/>
          <w:numId w:val="77"/>
        </w:numPr>
        <w:rPr>
          <w:rFonts w:ascii="Arial" w:cs="Arial" w:eastAsia="Arial" w:hAnsi="Arial"/>
          <w:sz w:val="20"/>
          <w:szCs w:val="20"/>
          <w:color w:val="auto"/>
        </w:rPr>
      </w:pPr>
      <w:r>
        <w:rPr>
          <w:rFonts w:ascii="Arial" w:cs="Arial" w:eastAsia="Arial" w:hAnsi="Arial"/>
          <w:sz w:val="18"/>
          <w:szCs w:val="18"/>
          <w:color w:val="auto"/>
        </w:rPr>
        <w:t>A court pursuant to and in accordance with Indiana Business Corporation Law.</w:t>
      </w:r>
    </w:p>
    <w:p>
      <w:pPr>
        <w:spacing w:after="0" w:line="214" w:lineRule="exact"/>
        <w:rPr>
          <w:rFonts w:ascii="Arial" w:cs="Arial" w:eastAsia="Arial" w:hAnsi="Arial"/>
          <w:sz w:val="20"/>
          <w:szCs w:val="20"/>
          <w:color w:val="auto"/>
        </w:rPr>
      </w:pPr>
    </w:p>
    <w:p>
      <w:pPr>
        <w:ind w:left="760" w:right="60" w:firstLine="710"/>
        <w:spacing w:after="0" w:line="250" w:lineRule="auto"/>
        <w:tabs>
          <w:tab w:leader="none" w:pos="2158" w:val="left"/>
        </w:tabs>
        <w:numPr>
          <w:ilvl w:val="0"/>
          <w:numId w:val="78"/>
        </w:numPr>
        <w:rPr>
          <w:rFonts w:ascii="Arial" w:cs="Arial" w:eastAsia="Arial" w:hAnsi="Arial"/>
          <w:sz w:val="20"/>
          <w:szCs w:val="20"/>
          <w:color w:val="auto"/>
        </w:rPr>
      </w:pPr>
      <w:r>
        <w:rPr>
          <w:rFonts w:ascii="Arial" w:cs="Arial" w:eastAsia="Arial" w:hAnsi="Arial"/>
          <w:sz w:val="18"/>
          <w:szCs w:val="18"/>
          <w:color w:val="auto"/>
        </w:rPr>
        <w:t>In any such determination by the selected Authority there shall exist a rebuttable presumption that the Director's or Officer's conduct did not constitute a Breach of Duty and that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1F1F1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125" w:right="479" w:bottom="1440" w:gutter="0" w:footer="0" w:header="0"/>
        </w:sectPr>
      </w:pPr>
    </w:p>
    <w:bookmarkStart w:id="103" w:name="page104"/>
    <w:bookmarkEnd w:id="103"/>
    <w:p>
      <w:pPr>
        <w:ind w:left="760" w:right="60"/>
        <w:spacing w:after="0" w:line="277" w:lineRule="auto"/>
        <w:rPr>
          <w:sz w:val="20"/>
          <w:szCs w:val="20"/>
          <w:color w:val="auto"/>
        </w:rPr>
      </w:pPr>
      <w:r>
        <w:rPr>
          <w:rFonts w:ascii="Arial" w:cs="Arial" w:eastAsia="Arial" w:hAnsi="Arial"/>
          <w:sz w:val="18"/>
          <w:szCs w:val="18"/>
          <w:color w:val="auto"/>
        </w:rPr>
        <w:t>indemnification against the requested amount of Liabilities is required. The burden of rebutting such a presumption by clear and convincing evidence shall be on the Corporation or such other party asserting that such indemnification should not be allowed.</w:t>
      </w:r>
    </w:p>
    <w:p>
      <w:pPr>
        <w:spacing w:after="0" w:line="183" w:lineRule="exact"/>
        <w:rPr>
          <w:sz w:val="20"/>
          <w:szCs w:val="20"/>
          <w:color w:val="auto"/>
        </w:rPr>
      </w:pPr>
    </w:p>
    <w:p>
      <w:pPr>
        <w:ind w:left="760" w:right="60" w:firstLine="710"/>
        <w:spacing w:after="0" w:line="250" w:lineRule="auto"/>
        <w:tabs>
          <w:tab w:leader="none" w:pos="2158" w:val="left"/>
        </w:tabs>
        <w:numPr>
          <w:ilvl w:val="0"/>
          <w:numId w:val="79"/>
        </w:numPr>
        <w:rPr>
          <w:rFonts w:ascii="Arial" w:cs="Arial" w:eastAsia="Arial" w:hAnsi="Arial"/>
          <w:sz w:val="20"/>
          <w:szCs w:val="20"/>
          <w:color w:val="auto"/>
        </w:rPr>
      </w:pPr>
      <w:r>
        <w:rPr>
          <w:rFonts w:ascii="Arial" w:cs="Arial" w:eastAsia="Arial" w:hAnsi="Arial"/>
          <w:sz w:val="18"/>
          <w:szCs w:val="18"/>
          <w:color w:val="auto"/>
        </w:rPr>
        <w:t>The Authority shall make its determination within sixty days of being selected and shall submit a written opinion of its conclusion simultaneously to both the Corporation and the Director or Officer.</w:t>
      </w:r>
    </w:p>
    <w:p>
      <w:pPr>
        <w:spacing w:after="0" w:line="205" w:lineRule="exact"/>
        <w:rPr>
          <w:rFonts w:ascii="Arial" w:cs="Arial" w:eastAsia="Arial" w:hAnsi="Arial"/>
          <w:sz w:val="20"/>
          <w:szCs w:val="20"/>
          <w:color w:val="auto"/>
        </w:rPr>
      </w:pPr>
    </w:p>
    <w:p>
      <w:pPr>
        <w:jc w:val="both"/>
        <w:ind w:left="760" w:right="60" w:firstLine="710"/>
        <w:spacing w:after="0" w:line="250" w:lineRule="auto"/>
        <w:tabs>
          <w:tab w:leader="none" w:pos="2158" w:val="left"/>
        </w:tabs>
        <w:numPr>
          <w:ilvl w:val="0"/>
          <w:numId w:val="79"/>
        </w:numPr>
        <w:rPr>
          <w:rFonts w:ascii="Arial" w:cs="Arial" w:eastAsia="Arial" w:hAnsi="Arial"/>
          <w:sz w:val="20"/>
          <w:szCs w:val="20"/>
          <w:color w:val="auto"/>
        </w:rPr>
      </w:pPr>
      <w:r>
        <w:rPr>
          <w:rFonts w:ascii="Arial" w:cs="Arial" w:eastAsia="Arial" w:hAnsi="Arial"/>
          <w:sz w:val="18"/>
          <w:szCs w:val="18"/>
          <w:color w:val="auto"/>
        </w:rPr>
        <w:t xml:space="preserve">If the Authority determines that indemnification is required hereunder, the Corporation shall pay the entire requested amount of Liabilities (net of any Expenses previously advanced pursuant to Section 8.05 hereof), including interest thereon at a reasonable rate, as determined by the Authority, within ten days of receipt of the Authority's opinion;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if it is determined by the Authority that a Director or Officer is entitled to indemnification against Liabilities' incurred in connection with some claims, issues or matters, but not as to other claims, issues or matters, involved in the subject Proceeding, the Corporation shall be required to pay (as set forth above) only the amount of such requested Liabilities as the Authority shall deem appropriate in light of all of the circumstances of such Proceeding.</w:t>
      </w:r>
    </w:p>
    <w:p>
      <w:pPr>
        <w:spacing w:after="0" w:line="206" w:lineRule="exact"/>
        <w:rPr>
          <w:rFonts w:ascii="Arial" w:cs="Arial" w:eastAsia="Arial" w:hAnsi="Arial"/>
          <w:sz w:val="20"/>
          <w:szCs w:val="20"/>
          <w:color w:val="auto"/>
        </w:rPr>
      </w:pPr>
    </w:p>
    <w:p>
      <w:pPr>
        <w:ind w:left="760" w:right="80" w:firstLine="725"/>
        <w:spacing w:after="0" w:line="250" w:lineRule="auto"/>
        <w:tabs>
          <w:tab w:leader="none" w:pos="2173" w:val="left"/>
        </w:tabs>
        <w:numPr>
          <w:ilvl w:val="1"/>
          <w:numId w:val="79"/>
        </w:numPr>
        <w:rPr>
          <w:rFonts w:ascii="Arial" w:cs="Arial" w:eastAsia="Arial" w:hAnsi="Arial"/>
          <w:sz w:val="20"/>
          <w:szCs w:val="20"/>
          <w:color w:val="auto"/>
        </w:rPr>
      </w:pPr>
      <w:r>
        <w:rPr>
          <w:rFonts w:ascii="Arial" w:cs="Arial" w:eastAsia="Arial" w:hAnsi="Arial"/>
          <w:sz w:val="18"/>
          <w:szCs w:val="18"/>
          <w:color w:val="auto"/>
        </w:rPr>
        <w:t>The determination by the Authority that indemnification is required hereunder shall be binding upon the Corporation regardless of any prior determination that the Director or Officer engaged in a Breach of Duty.</w:t>
      </w:r>
    </w:p>
    <w:p>
      <w:pPr>
        <w:spacing w:after="0" w:line="219" w:lineRule="exact"/>
        <w:rPr>
          <w:rFonts w:ascii="Arial" w:cs="Arial" w:eastAsia="Arial" w:hAnsi="Arial"/>
          <w:sz w:val="20"/>
          <w:szCs w:val="20"/>
          <w:color w:val="auto"/>
        </w:rPr>
      </w:pPr>
    </w:p>
    <w:p>
      <w:pPr>
        <w:ind w:left="780" w:right="60" w:firstLine="705"/>
        <w:spacing w:after="0" w:line="250" w:lineRule="auto"/>
        <w:tabs>
          <w:tab w:leader="none" w:pos="2177" w:val="left"/>
        </w:tabs>
        <w:numPr>
          <w:ilvl w:val="1"/>
          <w:numId w:val="79"/>
        </w:numPr>
        <w:rPr>
          <w:rFonts w:ascii="Arial" w:cs="Arial" w:eastAsia="Arial" w:hAnsi="Arial"/>
          <w:sz w:val="20"/>
          <w:szCs w:val="20"/>
          <w:color w:val="auto"/>
        </w:rPr>
      </w:pPr>
      <w:r>
        <w:rPr>
          <w:rFonts w:ascii="Arial" w:cs="Arial" w:eastAsia="Arial" w:hAnsi="Arial"/>
          <w:sz w:val="18"/>
          <w:szCs w:val="18"/>
          <w:color w:val="auto"/>
        </w:rPr>
        <w:t>All Expenses incurred in the determination process under this Section 8.04 by either the Corporation or the Director or Officer, including, without limitation, all Expenses of the selected _Authority, shall be paid by the Corporation.</w:t>
      </w:r>
    </w:p>
    <w:p>
      <w:pPr>
        <w:spacing w:after="0" w:line="20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20"/>
          <w:szCs w:val="20"/>
          <w:color w:val="auto"/>
        </w:rPr>
        <w:t>8.05</w:t>
      </w:r>
      <w:r>
        <w:rPr>
          <w:sz w:val="20"/>
          <w:szCs w:val="20"/>
          <w:color w:val="auto"/>
        </w:rPr>
        <w:tab/>
      </w:r>
      <w:r>
        <w:rPr>
          <w:rFonts w:ascii="Arial" w:cs="Arial" w:eastAsia="Arial" w:hAnsi="Arial"/>
          <w:sz w:val="16"/>
          <w:szCs w:val="16"/>
          <w:u w:val="single" w:color="auto"/>
          <w:color w:val="auto"/>
        </w:rPr>
        <w:t>Mandatory Allowance of Expenses</w:t>
      </w:r>
      <w:r>
        <w:rPr>
          <w:rFonts w:ascii="Arial" w:cs="Arial" w:eastAsia="Arial" w:hAnsi="Arial"/>
          <w:sz w:val="16"/>
          <w:szCs w:val="16"/>
          <w:color w:val="auto"/>
        </w:rPr>
        <w:t>.</w:t>
      </w:r>
    </w:p>
    <w:p>
      <w:pPr>
        <w:spacing w:after="0" w:line="231" w:lineRule="exact"/>
        <w:rPr>
          <w:sz w:val="20"/>
          <w:szCs w:val="20"/>
          <w:color w:val="auto"/>
        </w:rPr>
      </w:pPr>
    </w:p>
    <w:p>
      <w:pPr>
        <w:jc w:val="both"/>
        <w:ind w:left="780" w:right="60" w:firstLine="705"/>
        <w:spacing w:after="0" w:line="249" w:lineRule="auto"/>
        <w:tabs>
          <w:tab w:leader="none" w:pos="2177"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Corporation shall pay or reimburse from time to time or at any time, within ten days after the receipt of the Director's or Officer's written request therefor, the reasonable Expenses of the Director or Officer as such Expenses are incurred; provided, the following conditions are satisfied:</w:t>
      </w:r>
    </w:p>
    <w:p>
      <w:pPr>
        <w:spacing w:after="0" w:line="289" w:lineRule="exact"/>
        <w:rPr>
          <w:rFonts w:ascii="Arial" w:cs="Arial" w:eastAsia="Arial" w:hAnsi="Arial"/>
          <w:sz w:val="20"/>
          <w:szCs w:val="20"/>
          <w:color w:val="auto"/>
        </w:rPr>
      </w:pPr>
    </w:p>
    <w:p>
      <w:pPr>
        <w:ind w:left="1520" w:right="20" w:firstLine="699"/>
        <w:spacing w:after="0" w:line="250" w:lineRule="auto"/>
        <w:tabs>
          <w:tab w:leader="none" w:pos="2918" w:val="left"/>
        </w:tabs>
        <w:numPr>
          <w:ilvl w:val="2"/>
          <w:numId w:val="80"/>
        </w:numPr>
        <w:rPr>
          <w:rFonts w:ascii="Arial" w:cs="Arial" w:eastAsia="Arial" w:hAnsi="Arial"/>
          <w:sz w:val="20"/>
          <w:szCs w:val="20"/>
          <w:color w:val="auto"/>
        </w:rPr>
      </w:pPr>
      <w:r>
        <w:rPr>
          <w:rFonts w:ascii="Arial" w:cs="Arial" w:eastAsia="Arial" w:hAnsi="Arial"/>
          <w:sz w:val="18"/>
          <w:szCs w:val="18"/>
          <w:color w:val="auto"/>
        </w:rPr>
        <w:t>The Director or Officer furnishes to the Corporation an executed written certificate affirming his or her good faith belief that he or she has not engaged in misconduct which constitutes a Breach of Duty; and</w:t>
      </w:r>
    </w:p>
    <w:p>
      <w:pPr>
        <w:spacing w:after="0" w:line="205" w:lineRule="exact"/>
        <w:rPr>
          <w:rFonts w:ascii="Arial" w:cs="Arial" w:eastAsia="Arial" w:hAnsi="Arial"/>
          <w:sz w:val="20"/>
          <w:szCs w:val="20"/>
          <w:color w:val="auto"/>
        </w:rPr>
      </w:pPr>
    </w:p>
    <w:p>
      <w:pPr>
        <w:jc w:val="both"/>
        <w:ind w:left="1520" w:firstLine="699"/>
        <w:spacing w:after="0" w:line="249" w:lineRule="auto"/>
        <w:tabs>
          <w:tab w:leader="none" w:pos="2919" w:val="left"/>
        </w:tabs>
        <w:numPr>
          <w:ilvl w:val="2"/>
          <w:numId w:val="80"/>
        </w:numPr>
        <w:rPr>
          <w:rFonts w:ascii="Arial" w:cs="Arial" w:eastAsia="Arial" w:hAnsi="Arial"/>
          <w:sz w:val="20"/>
          <w:szCs w:val="20"/>
          <w:color w:val="auto"/>
        </w:rPr>
      </w:pPr>
      <w:r>
        <w:rPr>
          <w:rFonts w:ascii="Arial" w:cs="Arial" w:eastAsia="Arial" w:hAnsi="Arial"/>
          <w:sz w:val="18"/>
          <w:szCs w:val="18"/>
          <w:color w:val="auto"/>
        </w:rPr>
        <w:t>The Director or Officer furnishes to the Corporation an unsecured executed written agreement to repay any advances made under this Section 8.05 if it is ultimately determined by an Authority that he or she is not entitled to be indemnified by the Corporation for such Expenses pursuant to Section 8.04 hereof.</w:t>
      </w:r>
    </w:p>
    <w:p>
      <w:pPr>
        <w:spacing w:after="0" w:line="221" w:lineRule="exact"/>
        <w:rPr>
          <w:rFonts w:ascii="Arial" w:cs="Arial" w:eastAsia="Arial" w:hAnsi="Arial"/>
          <w:sz w:val="20"/>
          <w:szCs w:val="20"/>
          <w:color w:val="auto"/>
        </w:rPr>
      </w:pPr>
    </w:p>
    <w:p>
      <w:pPr>
        <w:ind w:left="820" w:right="20" w:firstLine="695"/>
        <w:spacing w:after="0" w:line="250" w:lineRule="auto"/>
        <w:tabs>
          <w:tab w:leader="none" w:pos="2218" w:val="left"/>
        </w:tabs>
        <w:numPr>
          <w:ilvl w:val="1"/>
          <w:numId w:val="80"/>
        </w:numPr>
        <w:rPr>
          <w:rFonts w:ascii="Arial" w:cs="Arial" w:eastAsia="Arial" w:hAnsi="Arial"/>
          <w:sz w:val="20"/>
          <w:szCs w:val="20"/>
          <w:color w:val="auto"/>
        </w:rPr>
      </w:pPr>
      <w:r>
        <w:rPr>
          <w:rFonts w:ascii="Arial" w:cs="Arial" w:eastAsia="Arial" w:hAnsi="Arial"/>
          <w:sz w:val="18"/>
          <w:szCs w:val="18"/>
          <w:color w:val="auto"/>
        </w:rPr>
        <w:t>If the Director or Officer must repay any previously advanced Expenses pursuant to this Section 8.05, such Director or Officer shall not be required to pay interest on such amounts.</w:t>
      </w:r>
    </w:p>
    <w:p>
      <w:pPr>
        <w:spacing w:after="0" w:line="203"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20"/>
          <w:szCs w:val="20"/>
          <w:color w:val="auto"/>
        </w:rPr>
        <w:t>8.06</w:t>
      </w:r>
      <w:r>
        <w:rPr>
          <w:sz w:val="20"/>
          <w:szCs w:val="20"/>
          <w:color w:val="auto"/>
        </w:rPr>
        <w:tab/>
      </w:r>
      <w:r>
        <w:rPr>
          <w:rFonts w:ascii="Arial" w:cs="Arial" w:eastAsia="Arial" w:hAnsi="Arial"/>
          <w:sz w:val="16"/>
          <w:szCs w:val="16"/>
          <w:u w:val="single" w:color="auto"/>
          <w:color w:val="auto"/>
        </w:rPr>
        <w:t>Indemnification and Allowance of Expenses of Certain Others.</w:t>
      </w:r>
    </w:p>
    <w:p>
      <w:pPr>
        <w:spacing w:after="0" w:line="231" w:lineRule="exact"/>
        <w:rPr>
          <w:sz w:val="20"/>
          <w:szCs w:val="20"/>
          <w:color w:val="auto"/>
        </w:rPr>
      </w:pPr>
    </w:p>
    <w:p>
      <w:pPr>
        <w:jc w:val="both"/>
        <w:ind w:left="820" w:right="20" w:firstLine="711"/>
        <w:spacing w:after="0" w:line="249" w:lineRule="auto"/>
        <w:tabs>
          <w:tab w:leader="none" w:pos="2233" w:val="left"/>
        </w:tabs>
        <w:numPr>
          <w:ilvl w:val="0"/>
          <w:numId w:val="81"/>
        </w:numPr>
        <w:rPr>
          <w:rFonts w:ascii="Arial" w:cs="Arial" w:eastAsia="Arial" w:hAnsi="Arial"/>
          <w:sz w:val="20"/>
          <w:szCs w:val="20"/>
          <w:color w:val="auto"/>
        </w:rPr>
      </w:pPr>
      <w:r>
        <w:rPr>
          <w:rFonts w:ascii="Arial" w:cs="Arial" w:eastAsia="Arial" w:hAnsi="Arial"/>
          <w:sz w:val="18"/>
          <w:szCs w:val="18"/>
          <w:color w:val="auto"/>
        </w:rPr>
        <w:t>The Board may, in its sole and absolute discretion as it deems appropriate, pursuant to a majority vote thereof, indemnify a director or officer of an Affiliate (who is not otherwise serving as a Director or Officer) against all Liabilities, and shall advance the reasonable Expenses, incurred by such director or officer in a Proceeding to the same extent hereunder as if such director or officer incurred such Liabilities because he or she was a Director or Officer, if such director or officer is a Party thereto because he or she is or was a director or officer of the Affiliate.</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1F1F1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25" w:right="459" w:bottom="1440" w:gutter="0" w:footer="0" w:header="0"/>
        </w:sectPr>
      </w:pPr>
    </w:p>
    <w:bookmarkStart w:id="104" w:name="page105"/>
    <w:bookmarkEnd w:id="104"/>
    <w:p>
      <w:pPr>
        <w:jc w:val="both"/>
        <w:ind w:left="820" w:firstLine="711"/>
        <w:spacing w:after="0" w:line="249" w:lineRule="auto"/>
        <w:tabs>
          <w:tab w:leader="none" w:pos="2233" w:val="left"/>
        </w:tabs>
        <w:numPr>
          <w:ilvl w:val="1"/>
          <w:numId w:val="82"/>
        </w:numPr>
        <w:rPr>
          <w:rFonts w:ascii="Arial" w:cs="Arial" w:eastAsia="Arial" w:hAnsi="Arial"/>
          <w:sz w:val="20"/>
          <w:szCs w:val="20"/>
          <w:color w:val="auto"/>
        </w:rPr>
      </w:pPr>
      <w:r>
        <w:rPr>
          <w:rFonts w:ascii="Arial" w:cs="Arial" w:eastAsia="Arial" w:hAnsi="Arial"/>
          <w:sz w:val="18"/>
          <w:szCs w:val="18"/>
          <w:color w:val="auto"/>
        </w:rPr>
        <w:t>The Corporation shall indemnify an employee who is not a Director or Officer, to the extent he or she has been successful on the merits or otherwise in defense of a Proceeding, for all reasonable Expenses incurred in the Proceeding if the employee was a Party because he or she was an employee of the Corporation.</w:t>
      </w:r>
    </w:p>
    <w:p>
      <w:pPr>
        <w:spacing w:after="0" w:line="221" w:lineRule="exact"/>
        <w:rPr>
          <w:rFonts w:ascii="Arial" w:cs="Arial" w:eastAsia="Arial" w:hAnsi="Arial"/>
          <w:sz w:val="20"/>
          <w:szCs w:val="20"/>
          <w:color w:val="auto"/>
        </w:rPr>
      </w:pPr>
    </w:p>
    <w:p>
      <w:pPr>
        <w:jc w:val="both"/>
        <w:ind w:left="820" w:firstLine="695"/>
        <w:spacing w:after="0" w:line="249" w:lineRule="auto"/>
        <w:tabs>
          <w:tab w:leader="none" w:pos="2218" w:val="left"/>
        </w:tabs>
        <w:numPr>
          <w:ilvl w:val="0"/>
          <w:numId w:val="83"/>
        </w:numPr>
        <w:rPr>
          <w:rFonts w:ascii="Arial" w:cs="Arial" w:eastAsia="Arial" w:hAnsi="Arial"/>
          <w:sz w:val="20"/>
          <w:szCs w:val="20"/>
          <w:color w:val="auto"/>
        </w:rPr>
      </w:pPr>
      <w:r>
        <w:rPr>
          <w:rFonts w:ascii="Arial" w:cs="Arial" w:eastAsia="Arial" w:hAnsi="Arial"/>
          <w:sz w:val="18"/>
          <w:szCs w:val="18"/>
          <w:color w:val="auto"/>
        </w:rPr>
        <w:t>The Board may, in its sole and absolute discretion as it deems appropriate, pursuant to a majority vote thereof, indemnify (to the extent not otherwise provided in Section 8.06(b) hereof) against Liabilities incurred by, and/or provide for the allowance of reasonable Expenses of, an employee or authorized agent of the Corporation acting within the scope of his or her duties as such and who is not otherwise a Director or Officer.</w:t>
      </w:r>
    </w:p>
    <w:p>
      <w:pPr>
        <w:spacing w:after="0" w:line="193" w:lineRule="exact"/>
        <w:rPr>
          <w:sz w:val="20"/>
          <w:szCs w:val="20"/>
          <w:color w:val="auto"/>
        </w:rPr>
      </w:pPr>
    </w:p>
    <w:p>
      <w:pPr>
        <w:jc w:val="both"/>
        <w:ind w:left="100" w:firstLine="719"/>
        <w:spacing w:after="0" w:line="255" w:lineRule="auto"/>
        <w:rPr>
          <w:sz w:val="20"/>
          <w:szCs w:val="20"/>
          <w:color w:val="auto"/>
        </w:rPr>
      </w:pPr>
      <w:r>
        <w:rPr>
          <w:rFonts w:ascii="Arial" w:cs="Arial" w:eastAsia="Arial" w:hAnsi="Arial"/>
          <w:sz w:val="20"/>
          <w:szCs w:val="20"/>
          <w:color w:val="auto"/>
        </w:rPr>
        <w:t xml:space="preserve">8.07 </w:t>
      </w:r>
      <w:r>
        <w:rPr>
          <w:rFonts w:ascii="Arial" w:cs="Arial" w:eastAsia="Arial" w:hAnsi="Arial"/>
          <w:sz w:val="17"/>
          <w:szCs w:val="17"/>
          <w:u w:val="single" w:color="auto"/>
          <w:color w:val="auto"/>
        </w:rPr>
        <w:t>Insurance.</w:t>
      </w:r>
      <w:r>
        <w:rPr>
          <w:rFonts w:ascii="Arial" w:cs="Arial" w:eastAsia="Arial" w:hAnsi="Arial"/>
          <w:sz w:val="20"/>
          <w:szCs w:val="20"/>
          <w:color w:val="auto"/>
        </w:rPr>
        <w:t xml:space="preserve"> </w:t>
      </w:r>
      <w:r>
        <w:rPr>
          <w:rFonts w:ascii="Arial" w:cs="Arial" w:eastAsia="Arial" w:hAnsi="Arial"/>
          <w:sz w:val="17"/>
          <w:szCs w:val="17"/>
          <w:color w:val="auto"/>
        </w:rPr>
        <w:t>The Corporation may, but shall not be required to, supplement the foregoing rights to indemnification against Liabilities</w:t>
      </w:r>
      <w:r>
        <w:rPr>
          <w:rFonts w:ascii="Arial" w:cs="Arial" w:eastAsia="Arial" w:hAnsi="Arial"/>
          <w:sz w:val="20"/>
          <w:szCs w:val="20"/>
          <w:color w:val="auto"/>
        </w:rPr>
        <w:t xml:space="preserve"> </w:t>
      </w:r>
      <w:r>
        <w:rPr>
          <w:rFonts w:ascii="Arial" w:cs="Arial" w:eastAsia="Arial" w:hAnsi="Arial"/>
          <w:sz w:val="17"/>
          <w:szCs w:val="17"/>
          <w:color w:val="auto"/>
        </w:rPr>
        <w:t>and advancement of Expenses under this Article VIII by the purchase of insurance on behalf of any one or more of such Directors, Officers or employees, whether or not the Corporation would be obligated to indemnify or advance Expenses to such Director, Officer or employee under this Section 8.07.</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IX. AMENDMENTS</w:t>
      </w:r>
    </w:p>
    <w:p>
      <w:pPr>
        <w:spacing w:after="0" w:line="222" w:lineRule="exact"/>
        <w:rPr>
          <w:sz w:val="20"/>
          <w:szCs w:val="20"/>
          <w:color w:val="auto"/>
        </w:rPr>
      </w:pPr>
    </w:p>
    <w:p>
      <w:pPr>
        <w:jc w:val="both"/>
        <w:ind w:left="100" w:firstLine="704"/>
        <w:spacing w:after="0" w:line="242" w:lineRule="auto"/>
        <w:rPr>
          <w:sz w:val="20"/>
          <w:szCs w:val="20"/>
          <w:color w:val="auto"/>
        </w:rPr>
      </w:pPr>
      <w:r>
        <w:rPr>
          <w:rFonts w:ascii="Arial" w:cs="Arial" w:eastAsia="Arial" w:hAnsi="Arial"/>
          <w:sz w:val="20"/>
          <w:szCs w:val="20"/>
          <w:color w:val="auto"/>
        </w:rPr>
        <w:t xml:space="preserve">9.01 </w:t>
      </w:r>
      <w:r>
        <w:rPr>
          <w:rFonts w:ascii="Arial" w:cs="Arial" w:eastAsia="Arial" w:hAnsi="Arial"/>
          <w:sz w:val="17"/>
          <w:szCs w:val="17"/>
          <w:u w:val="single" w:color="auto"/>
          <w:color w:val="auto"/>
        </w:rPr>
        <w:t>By Shareholders.</w:t>
      </w:r>
      <w:r>
        <w:rPr>
          <w:rFonts w:ascii="Arial" w:cs="Arial" w:eastAsia="Arial" w:hAnsi="Arial"/>
          <w:sz w:val="20"/>
          <w:szCs w:val="20"/>
          <w:color w:val="auto"/>
        </w:rPr>
        <w:t xml:space="preserve"> </w:t>
      </w:r>
      <w:r>
        <w:rPr>
          <w:rFonts w:ascii="Arial" w:cs="Arial" w:eastAsia="Arial" w:hAnsi="Arial"/>
          <w:sz w:val="17"/>
          <w:szCs w:val="17"/>
          <w:color w:val="auto"/>
        </w:rPr>
        <w:t>These bylaws may be amended or repealed and new bylaws may be adopted by the shareholders at any annual</w:t>
      </w:r>
      <w:r>
        <w:rPr>
          <w:rFonts w:ascii="Arial" w:cs="Arial" w:eastAsia="Arial" w:hAnsi="Arial"/>
          <w:sz w:val="20"/>
          <w:szCs w:val="20"/>
          <w:color w:val="auto"/>
        </w:rPr>
        <w:t xml:space="preserve"> </w:t>
      </w:r>
      <w:r>
        <w:rPr>
          <w:rFonts w:ascii="Arial" w:cs="Arial" w:eastAsia="Arial" w:hAnsi="Arial"/>
          <w:sz w:val="17"/>
          <w:szCs w:val="17"/>
          <w:color w:val="auto"/>
        </w:rPr>
        <w:t>or special meeting of the shareholders at which a quorum is in attendance.</w:t>
      </w:r>
    </w:p>
    <w:p>
      <w:pPr>
        <w:spacing w:after="0" w:line="278" w:lineRule="exact"/>
        <w:rPr>
          <w:sz w:val="20"/>
          <w:szCs w:val="20"/>
          <w:color w:val="auto"/>
        </w:rPr>
      </w:pPr>
    </w:p>
    <w:p>
      <w:pPr>
        <w:jc w:val="both"/>
        <w:ind w:left="40" w:right="20" w:firstLine="704"/>
        <w:spacing w:after="0" w:line="255"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17"/>
          <w:szCs w:val="17"/>
          <w:u w:val="single" w:color="auto"/>
          <w:color w:val="auto"/>
        </w:rPr>
        <w:t>By Directors.</w:t>
      </w:r>
      <w:r>
        <w:rPr>
          <w:rFonts w:ascii="Arial" w:cs="Arial" w:eastAsia="Arial" w:hAnsi="Arial"/>
          <w:sz w:val="20"/>
          <w:szCs w:val="20"/>
          <w:color w:val="auto"/>
        </w:rPr>
        <w:t xml:space="preserve"> </w:t>
      </w:r>
      <w:r>
        <w:rPr>
          <w:rFonts w:ascii="Arial" w:cs="Arial" w:eastAsia="Arial" w:hAnsi="Arial"/>
          <w:sz w:val="17"/>
          <w:szCs w:val="17"/>
          <w:color w:val="auto"/>
        </w:rPr>
        <w:t>Except as otherwise provided by the Indiana Business Corporation Law or the articles of incorporation, these bylaws</w:t>
      </w:r>
      <w:r>
        <w:rPr>
          <w:rFonts w:ascii="Arial" w:cs="Arial" w:eastAsia="Arial" w:hAnsi="Arial"/>
          <w:sz w:val="20"/>
          <w:szCs w:val="20"/>
          <w:color w:val="auto"/>
        </w:rPr>
        <w:t xml:space="preserve"> </w:t>
      </w:r>
      <w:r>
        <w:rPr>
          <w:rFonts w:ascii="Arial" w:cs="Arial" w:eastAsia="Arial" w:hAnsi="Arial"/>
          <w:sz w:val="17"/>
          <w:szCs w:val="17"/>
          <w:color w:val="auto"/>
        </w:rPr>
        <w:t xml:space="preserve">may also be amended or repealed and new bylaws may be adopted by the Board of Directors by affirmative vote of a majority of the number of directors present at any meeting at which a quorum is in attendance;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shareholders in adopting, amending or repealing a particular bylaw may provide therein that the Board of Directors may not amend, repeal or readopt that bylaw.</w:t>
      </w:r>
    </w:p>
    <w:p>
      <w:pPr>
        <w:spacing w:after="0" w:line="202" w:lineRule="exact"/>
        <w:rPr>
          <w:sz w:val="20"/>
          <w:szCs w:val="20"/>
          <w:color w:val="auto"/>
        </w:rPr>
      </w:pPr>
    </w:p>
    <w:p>
      <w:pPr>
        <w:jc w:val="both"/>
        <w:ind w:left="60" w:right="20" w:firstLine="704"/>
        <w:spacing w:after="0" w:line="290" w:lineRule="auto"/>
        <w:rPr>
          <w:sz w:val="20"/>
          <w:szCs w:val="20"/>
          <w:color w:val="auto"/>
        </w:rPr>
      </w:pPr>
      <w:r>
        <w:rPr>
          <w:rFonts w:ascii="Arial" w:cs="Arial" w:eastAsia="Arial" w:hAnsi="Arial"/>
          <w:sz w:val="19"/>
          <w:szCs w:val="19"/>
          <w:color w:val="auto"/>
        </w:rPr>
        <w:t xml:space="preserve">9.03 </w:t>
      </w:r>
      <w:r>
        <w:rPr>
          <w:rFonts w:ascii="Arial" w:cs="Arial" w:eastAsia="Arial" w:hAnsi="Arial"/>
          <w:sz w:val="16"/>
          <w:szCs w:val="16"/>
          <w:u w:val="single" w:color="auto"/>
          <w:color w:val="auto"/>
        </w:rPr>
        <w:t>Implied Amendments.</w:t>
      </w:r>
      <w:r>
        <w:rPr>
          <w:rFonts w:ascii="Arial" w:cs="Arial" w:eastAsia="Arial" w:hAnsi="Arial"/>
          <w:sz w:val="19"/>
          <w:szCs w:val="19"/>
          <w:color w:val="auto"/>
        </w:rPr>
        <w:t xml:space="preserve"> </w:t>
      </w:r>
      <w:r>
        <w:rPr>
          <w:rFonts w:ascii="Arial" w:cs="Arial" w:eastAsia="Arial" w:hAnsi="Arial"/>
          <w:sz w:val="16"/>
          <w:szCs w:val="16"/>
          <w:color w:val="auto"/>
        </w:rPr>
        <w:t>Any action taken or authorized by the shareholders or by the Board of Directors which would be</w:t>
      </w:r>
      <w:r>
        <w:rPr>
          <w:rFonts w:ascii="Arial" w:cs="Arial" w:eastAsia="Arial" w:hAnsi="Arial"/>
          <w:sz w:val="19"/>
          <w:szCs w:val="19"/>
          <w:color w:val="auto"/>
        </w:rPr>
        <w:t xml:space="preserve"> </w:t>
      </w:r>
      <w:r>
        <w:rPr>
          <w:rFonts w:ascii="Arial" w:cs="Arial" w:eastAsia="Arial" w:hAnsi="Arial"/>
          <w:sz w:val="16"/>
          <w:szCs w:val="16"/>
          <w:color w:val="auto"/>
        </w:rPr>
        <w:t>inconsistent with the bylaws then in effect but which is taken or authorized by affirmative vote of not less than the number of shares or the number of directors required to amend the bylaws so that the bylaws would be consistent with such action shall be given the same effect as though the bylaws had been temporarily amended or suspended so far, but only so far, as is necessary to permit the specific action so taken or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1F1F1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68580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354" w:right="4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H&amp;E Equipment Services, Inc.’s Common Stock</w:t>
      </w:r>
    </w:p>
    <w:p>
      <w:pPr>
        <w:spacing w:after="0" w:line="229" w:lineRule="exact"/>
        <w:rPr>
          <w:sz w:val="20"/>
          <w:szCs w:val="20"/>
          <w:color w:val="auto"/>
        </w:rPr>
      </w:pPr>
    </w:p>
    <w:p>
      <w:pPr>
        <w:ind w:right="120" w:firstLine="360"/>
        <w:spacing w:after="0" w:line="301" w:lineRule="auto"/>
        <w:rPr>
          <w:sz w:val="20"/>
          <w:szCs w:val="20"/>
          <w:color w:val="auto"/>
        </w:rPr>
      </w:pPr>
      <w:r>
        <w:rPr>
          <w:rFonts w:ascii="Arial" w:cs="Arial" w:eastAsia="Arial" w:hAnsi="Arial"/>
          <w:sz w:val="16"/>
          <w:szCs w:val="16"/>
          <w:color w:val="auto"/>
        </w:rPr>
        <w:t>The following description of our common stock is a summary and does not purport to be complete. It is subject to and qualified in its entirety by reference to our Amended and Restated Certificate of Incorporation (the “certificate of incorporation”) and our Amended and Restated Bylaws (the “bylaws”), each of which are incorporated by reference as an exhibit to the Annual Report on Form 10-K of which this Exhibit 4.8 is a part. We encourage you to read our certificate of incorporation, our bylaws and the applicable provisions of Delaware General Corporation Law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authorized to issue up to 175,000,000 shares of common stock, par value $0.01 per share, and 25,000,000 shares of preferred stock, par value $0.01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holders of our common stock are entitled to one vote for each share held of record on all matters submitted to a vote of the stockholders. Our stockholders do not have cumulative voting rights in the election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Subject to preferences that may be granted to any outstanding shares of preferred stock, holders of our common stock are entitled to receive ratably those dividends as may be declared by our board of directors out of funds legally available therefore, as well as any other distributions made to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of our assets remaining after we pay our liabilities and distribute the liquidation preference to holders of our outstanding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or Conversion Rights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Holders of our common stock have no preemptive or other subscription or conversion rights. There are no redemption or sinking fund provisions applicable to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board of directors has the authority, without further action by our stockholders, to issue our preferred stock in one or more series and to fix the rights, preferences, privileges, and restrictions thereof. These rights, preferences, and privileges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our holders of common stock and the likelihood that such holders will receive dividend payments and payments upon liquidation. In addition, the issuance of our preferred stock could have the effect of delaying, deferring, or preventing a change in our control.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certain transactions involving us and our predecessors (the “Prior Transactions”), a predecessor company (“H&amp;E Holdings”) entered into a registration rights agreement with affiliates of Bruckmann, Rosser, Sherrill &amp; Co., Inc. (“BRS”), certain members of management and certain other entities. In connection with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right="120"/>
        <w:spacing w:after="0" w:line="277" w:lineRule="auto"/>
        <w:rPr>
          <w:sz w:val="20"/>
          <w:szCs w:val="20"/>
          <w:color w:val="auto"/>
        </w:rPr>
      </w:pPr>
      <w:r>
        <w:rPr>
          <w:rFonts w:ascii="Arial" w:cs="Arial" w:eastAsia="Arial" w:hAnsi="Arial"/>
          <w:sz w:val="18"/>
          <w:szCs w:val="18"/>
          <w:color w:val="auto"/>
        </w:rPr>
        <w:t>initial public offering in February 2006, the parties amended and restated the registration rights agreement to provide that the registration rights agreement thereafter applies to our common stock held by the parties.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Prior Transactions, H&amp;E Holdings entered into an investor rights agreement with affiliates of BRS, Credit Suisse First Boston Corporation and other members of H&amp;E Holdings (the “Investors”). In connection with our initial public offering in February 2006, the parties amended and restated the investor rights agreement to, among other things, provide that the investor rights agreement thereafter applies to our common stock held by the parties. Pursuant to the terms of the restated investor rights agreement, subject to certain conditions, Investors holding 33% or more of the equity interests issued to the Investors on the date of the investor rights agreement (or successor securities) have the right on any two occasions to require us to register all or part of such equity interests under the Securities Act of 1933, as amended (the “Securities Act”), at our expense. In addition, the Investors are entitled to request the inclusion of any equity interests subject to the investor rights agreement in any registration statement at our expense whenever we propose to register any of our equity interests under the Securities Act. In connection with all such registrations, we agreed to indemnify the Investors against certain liabilities, including liabilities under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Certain provisions of our certificate of incorporation and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us and our stockholders. These provisions also are designed to reduce our vulnerability to an unsolicited proposal for our takeover that does not contemplate the acquisition of all of our outstanding shares or an unsolicited proposal for the restructuring or sale of all or part of us. The provisions are also intended to discourage certain tactics that may be used in proxy fights. However,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stockholders.</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Written Consent of Stockholders. </w:t>
      </w:r>
      <w:r>
        <w:rPr>
          <w:rFonts w:ascii="Arial" w:cs="Arial" w:eastAsia="Arial" w:hAnsi="Arial"/>
          <w:sz w:val="16"/>
          <w:szCs w:val="16"/>
          <w:color w:val="auto"/>
        </w:rPr>
        <w:t>Our certificate of incorporation and bylaws provide that any action required or permitted to be taken by our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taken at a duly called meeting of stockholders and not by written consent. Elimination of actions by written consent of stockholders may lengthen the amount of time required to take stockholder actions because actions by written consent are not subject to the minimum notice requirement of a stockholder's meeting. The elimination of actions by written consent of the stockholders may deter hostile takeover attempts. Without the availability of actions by written consent of the stockholders, a holder controlling a majority of our capital stock would not be able to amend our bylaws without holding a stockholders meeting. To hold such a meeting, the holder would have to obtain the consent of a majority of the board of directors, the chairman of the board or the chief executive officer to call a stockholders' meeting and satisfy the applicable notice provisions set forth in our bylaws.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i w:val="1"/>
          <w:iCs w:val="1"/>
          <w:color w:val="auto"/>
        </w:rPr>
        <w:t xml:space="preserve">Amendment of the Bylaws. </w:t>
      </w:r>
      <w:r>
        <w:rPr>
          <w:rFonts w:ascii="Arial" w:cs="Arial" w:eastAsia="Arial" w:hAnsi="Arial"/>
          <w:sz w:val="17"/>
          <w:szCs w:val="17"/>
          <w:color w:val="auto"/>
        </w:rPr>
        <w:t>Under Delaware law, the power to adopt, amend or repeal a corporation's bylaws is conferred upon the stockholders.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may, however, in its certificate of incorporation also confer upon the board of directors the power to adopt, amend or repeal its bylaws. Our certificate of incorporation and bylaws grant our board the power to alter, amend and repeal our bylaws, or adopt new bylaws, on the affirmative vote of a majority of the directors then in office. Our stockholders may alter, amend or repeal our bylaws, or adopt new bylaws, but only at a regular or special meeting of stockholders by an affirmative vote of not less than 66</w:t>
      </w:r>
      <w:r>
        <w:rPr>
          <w:rFonts w:ascii="Arial" w:cs="Arial" w:eastAsia="Arial" w:hAnsi="Arial"/>
          <w:sz w:val="23"/>
          <w:szCs w:val="23"/>
          <w:color w:val="auto"/>
          <w:vertAlign w:val="superscript"/>
        </w:rPr>
        <w:t>2</w:t>
      </w:r>
      <w:r>
        <w:rPr>
          <w:rFonts w:ascii="Arial" w:cs="Arial" w:eastAsia="Arial" w:hAnsi="Arial"/>
          <w:sz w:val="17"/>
          <w:szCs w:val="17"/>
          <w:color w:val="auto"/>
        </w:rPr>
        <w:t>/3% in voting power of all outstanding shares of our capital stock entitled to vote generally at an election of directors, voting together as a single class.</w:t>
      </w:r>
    </w:p>
    <w:p>
      <w:pPr>
        <w:spacing w:after="0" w:line="184" w:lineRule="exact"/>
        <w:rPr>
          <w:sz w:val="20"/>
          <w:szCs w:val="20"/>
          <w:color w:val="auto"/>
        </w:rPr>
      </w:pPr>
    </w:p>
    <w:p>
      <w:pPr>
        <w:ind w:right="200"/>
        <w:spacing w:after="0"/>
        <w:rPr>
          <w:sz w:val="20"/>
          <w:szCs w:val="20"/>
          <w:color w:val="auto"/>
        </w:rPr>
      </w:pPr>
      <w:r>
        <w:rPr>
          <w:rFonts w:ascii="Arial" w:cs="Arial" w:eastAsia="Arial" w:hAnsi="Arial"/>
          <w:sz w:val="18"/>
          <w:szCs w:val="18"/>
          <w:i w:val="1"/>
          <w:iCs w:val="1"/>
          <w:color w:val="auto"/>
        </w:rPr>
        <w:t xml:space="preserve">Amendment of Certificate of Incorporation. </w:t>
      </w:r>
      <w:r>
        <w:rPr>
          <w:rFonts w:ascii="Arial" w:cs="Arial" w:eastAsia="Arial" w:hAnsi="Arial"/>
          <w:sz w:val="18"/>
          <w:szCs w:val="18"/>
          <w:color w:val="auto"/>
        </w:rPr>
        <w:t>The provisions of our certificate of incorporation that could have anti-takeover effects as described above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amendment, alteration, repeal, or rescission either by (i) our board of directors without the assent or vote of our stockholders or (ii) the affirmative vote of not less than 66</w:t>
      </w:r>
      <w:r>
        <w:rPr>
          <w:rFonts w:ascii="Arial" w:cs="Arial" w:eastAsia="Arial" w:hAnsi="Arial"/>
          <w:sz w:val="24"/>
          <w:szCs w:val="24"/>
          <w:color w:val="auto"/>
          <w:vertAlign w:val="superscript"/>
        </w:rPr>
        <w:t>2</w:t>
      </w:r>
      <w:r>
        <w:rPr>
          <w:rFonts w:ascii="Arial" w:cs="Arial" w:eastAsia="Arial" w:hAnsi="Arial"/>
          <w:sz w:val="18"/>
          <w:szCs w:val="18"/>
          <w:color w:val="auto"/>
        </w:rPr>
        <w:t>/3% in voting power of all outstanding shares of our capital stock entitled to vote generally at an election of directors, voting together as a single class, depending on the subject provision. This requirement makes it more difficult for stockholders to make changes to the provisions in our certificate of incorporation which could have anti-takeover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7" w:name="page108"/>
    <w:bookmarkEnd w:id="107"/>
    <w:p>
      <w:pPr>
        <w:ind w:right="760"/>
        <w:spacing w:after="0" w:line="277" w:lineRule="auto"/>
        <w:rPr>
          <w:sz w:val="20"/>
          <w:szCs w:val="20"/>
          <w:color w:val="auto"/>
        </w:rPr>
      </w:pPr>
      <w:r>
        <w:rPr>
          <w:rFonts w:ascii="Arial" w:cs="Arial" w:eastAsia="Arial" w:hAnsi="Arial"/>
          <w:sz w:val="18"/>
          <w:szCs w:val="18"/>
          <w:color w:val="auto"/>
        </w:rPr>
        <w:t>effects by allowing the holders of a minority of the voting securities to prevent the holders of a majority of voting securities from amending these provisions.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Our bylaws preclude our stockholders from calling special meetings of stockholders or requiring the board of directors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officer to call such a meeting or from proposing business at such a meeting. Our bylaws provide that only a majority of our board of directors, the chairman of the board, the chief executive officer or the president can call a special meeting of stockholders. Because our stockholders do not have the right to call a special meeting, a stockholder cannot force stockholder consideration of a proposal over the opposition of the board of directors by calling a special meeting of stockholders prior to the time a majority of the board of directors, the chairman of the board, the chief executive officer or the president believes the matter should be considered or until the next annual meeting provided that the requestor met the notice requirements. The restriction on the ability of stockholders to call a special meeting means that a proposal to replace board members also can be delayed until the next annual meeting.</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authority that our board of directors possess to issue preferred stock could potentially be used to discourage attempts by</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parties to obtain control of us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Other Limitations on Stockholder Actions. </w:t>
      </w:r>
      <w:r>
        <w:rPr>
          <w:rFonts w:ascii="Arial" w:cs="Arial" w:eastAsia="Arial" w:hAnsi="Arial"/>
          <w:sz w:val="17"/>
          <w:szCs w:val="17"/>
          <w:color w:val="auto"/>
        </w:rPr>
        <w:t>Advance notice is required for stockholders to nominate directors or to submit proposals for consideration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of stockholders. This provision may have the effect of precluding the conduct of certain business at a meeting if the proper notice is not provided and may also discourage or deter a potential acquirer from conducting a solicitation of proxies to elect the acquirer's own slate of directors or otherwise attempting to obtain control of our Company. In addition, the ability of our stockholders to remove directors without cause is precluded. Also, the certificate of incorporation does not permit cumulative voting in the election of directors. Instead, any election of directors will be decided by a plurality of the votes cast (in person or by proxy) by holders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shares of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listed on The Nasdaq Global Select Market under the symbol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10.4</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137160</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SIXTH AMENDED AND RESTATED</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CREDIT AGREEMENT</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by and among</w:t>
      </w: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Agent,</w:t>
      </w:r>
    </w:p>
    <w:p>
      <w:pPr>
        <w:spacing w:after="0" w:line="206"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BANK OF AMERICA, N.A., and</w:t>
      </w:r>
    </w:p>
    <w:p>
      <w:pPr>
        <w:ind w:left="2960"/>
        <w:spacing w:after="0"/>
        <w:rPr>
          <w:sz w:val="20"/>
          <w:szCs w:val="20"/>
          <w:color w:val="auto"/>
        </w:rPr>
      </w:pPr>
      <w:r>
        <w:rPr>
          <w:rFonts w:ascii="Arial" w:cs="Arial" w:eastAsia="Arial" w:hAnsi="Arial"/>
          <w:sz w:val="20"/>
          <w:szCs w:val="20"/>
          <w:b w:val="1"/>
          <w:bCs w:val="1"/>
          <w:color w:val="auto"/>
        </w:rPr>
        <w:t>JPMORGAN CHASE BANK, N.A.,</w:t>
      </w:r>
    </w:p>
    <w:p>
      <w:pPr>
        <w:ind w:left="3460"/>
        <w:spacing w:after="0"/>
        <w:rPr>
          <w:sz w:val="20"/>
          <w:szCs w:val="20"/>
          <w:color w:val="auto"/>
        </w:rPr>
      </w:pPr>
      <w:r>
        <w:rPr>
          <w:rFonts w:ascii="Arial" w:cs="Arial" w:eastAsia="Arial" w:hAnsi="Arial"/>
          <w:sz w:val="20"/>
          <w:szCs w:val="20"/>
          <w:b w:val="1"/>
          <w:bCs w:val="1"/>
          <w:color w:val="auto"/>
        </w:rPr>
        <w:t>as Joint Lead Arrangers,</w:t>
      </w:r>
    </w:p>
    <w:p>
      <w:pPr>
        <w:spacing w:after="0" w:line="206"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BANK OF AMERICA, N.A., and</w:t>
      </w:r>
    </w:p>
    <w:p>
      <w:pPr>
        <w:ind w:left="2960"/>
        <w:spacing w:after="0"/>
        <w:rPr>
          <w:sz w:val="20"/>
          <w:szCs w:val="20"/>
          <w:color w:val="auto"/>
        </w:rPr>
      </w:pPr>
      <w:r>
        <w:rPr>
          <w:rFonts w:ascii="Arial" w:cs="Arial" w:eastAsia="Arial" w:hAnsi="Arial"/>
          <w:sz w:val="20"/>
          <w:szCs w:val="20"/>
          <w:b w:val="1"/>
          <w:bCs w:val="1"/>
          <w:color w:val="auto"/>
        </w:rPr>
        <w:t>JPMORGAN CHASE BANK, N.A.,</w:t>
      </w:r>
    </w:p>
    <w:p>
      <w:pPr>
        <w:ind w:left="3520"/>
        <w:spacing w:after="0"/>
        <w:rPr>
          <w:sz w:val="20"/>
          <w:szCs w:val="20"/>
          <w:color w:val="auto"/>
        </w:rPr>
      </w:pPr>
      <w:r>
        <w:rPr>
          <w:rFonts w:ascii="Arial" w:cs="Arial" w:eastAsia="Arial" w:hAnsi="Arial"/>
          <w:sz w:val="20"/>
          <w:szCs w:val="20"/>
          <w:b w:val="1"/>
          <w:bCs w:val="1"/>
          <w:color w:val="auto"/>
        </w:rPr>
        <w:t>as Joint Book Runners,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BANK OF AMERICA, N.A., and</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JPMORGAN CHASE BANK, N.A.,</w:t>
      </w:r>
    </w:p>
    <w:p>
      <w:pPr>
        <w:jc w:val="center"/>
        <w:ind w:right="1100"/>
        <w:spacing w:after="0"/>
        <w:rPr>
          <w:sz w:val="20"/>
          <w:szCs w:val="20"/>
          <w:color w:val="auto"/>
        </w:rPr>
      </w:pPr>
      <w:r>
        <w:rPr>
          <w:rFonts w:ascii="Arial" w:cs="Arial" w:eastAsia="Arial" w:hAnsi="Arial"/>
          <w:sz w:val="20"/>
          <w:szCs w:val="20"/>
          <w:b w:val="1"/>
          <w:bCs w:val="1"/>
          <w:color w:val="auto"/>
        </w:rPr>
        <w:t>as Co-Syndication Agents,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THE LENDERS THAT ARE PARTIES HERETO</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the Lenders,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H&amp;E EQUIPMENT SERVICES,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Parent and a Borrower,</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THE SUBSIDIARIES OF PARENT THAT ARE PARTY HERETO,</w:t>
      </w:r>
    </w:p>
    <w:p>
      <w:pPr>
        <w:spacing w:after="0" w:line="3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Borrowers</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Dated as of February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459105</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728980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0000FF"/>
              </w:rPr>
              <w:t>1.</w:t>
            </w:r>
          </w:p>
        </w:tc>
        <w:tc>
          <w:tcPr>
            <w:tcW w:w="8240" w:type="dxa"/>
            <w:vAlign w:val="bottom"/>
          </w:tcPr>
          <w:p>
            <w:pPr>
              <w:ind w:left="460"/>
              <w:spacing w:after="0"/>
              <w:rPr>
                <w:sz w:val="20"/>
                <w:szCs w:val="20"/>
                <w:color w:val="auto"/>
              </w:rPr>
            </w:pPr>
            <w:r>
              <w:rPr>
                <w:rFonts w:ascii="Arial" w:cs="Arial" w:eastAsia="Arial" w:hAnsi="Arial"/>
                <w:sz w:val="20"/>
                <w:szCs w:val="20"/>
                <w:color w:val="0000FF"/>
              </w:rPr>
              <w:t>DEFINITIONS AND CONSTRUCTION.</w:t>
            </w:r>
          </w:p>
        </w:tc>
        <w:tc>
          <w:tcPr>
            <w:tcW w:w="21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1.1</w:t>
            </w:r>
          </w:p>
        </w:tc>
        <w:tc>
          <w:tcPr>
            <w:tcW w:w="8240" w:type="dxa"/>
            <w:vAlign w:val="bottom"/>
          </w:tcPr>
          <w:p>
            <w:pPr>
              <w:ind w:left="460"/>
              <w:spacing w:after="0"/>
              <w:rPr>
                <w:sz w:val="20"/>
                <w:szCs w:val="20"/>
                <w:color w:val="auto"/>
              </w:rPr>
            </w:pPr>
            <w:r>
              <w:rPr>
                <w:rFonts w:ascii="Arial" w:cs="Arial" w:eastAsia="Arial" w:hAnsi="Arial"/>
                <w:sz w:val="20"/>
                <w:szCs w:val="20"/>
                <w:color w:val="0000FF"/>
              </w:rPr>
              <w:t>Definitions</w:t>
            </w:r>
          </w:p>
        </w:tc>
        <w:tc>
          <w:tcPr>
            <w:tcW w:w="21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1.2</w:t>
            </w:r>
          </w:p>
        </w:tc>
        <w:tc>
          <w:tcPr>
            <w:tcW w:w="8240" w:type="dxa"/>
            <w:vAlign w:val="bottom"/>
          </w:tcPr>
          <w:p>
            <w:pPr>
              <w:ind w:left="460"/>
              <w:spacing w:after="0"/>
              <w:rPr>
                <w:sz w:val="20"/>
                <w:szCs w:val="20"/>
                <w:color w:val="auto"/>
              </w:rPr>
            </w:pPr>
            <w:r>
              <w:rPr>
                <w:rFonts w:ascii="Arial" w:cs="Arial" w:eastAsia="Arial" w:hAnsi="Arial"/>
                <w:sz w:val="20"/>
                <w:szCs w:val="20"/>
                <w:color w:val="0000FF"/>
              </w:rPr>
              <w:t>Accounting Terms</w:t>
            </w:r>
          </w:p>
        </w:tc>
        <w:tc>
          <w:tcPr>
            <w:tcW w:w="21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1.3</w:t>
            </w:r>
          </w:p>
        </w:tc>
        <w:tc>
          <w:tcPr>
            <w:tcW w:w="8240" w:type="dxa"/>
            <w:vAlign w:val="bottom"/>
          </w:tcPr>
          <w:p>
            <w:pPr>
              <w:ind w:left="460"/>
              <w:spacing w:after="0"/>
              <w:rPr>
                <w:sz w:val="20"/>
                <w:szCs w:val="20"/>
                <w:color w:val="auto"/>
              </w:rPr>
            </w:pPr>
            <w:r>
              <w:rPr>
                <w:rFonts w:ascii="Arial" w:cs="Arial" w:eastAsia="Arial" w:hAnsi="Arial"/>
                <w:sz w:val="20"/>
                <w:szCs w:val="20"/>
                <w:color w:val="0000FF"/>
              </w:rPr>
              <w:t>Code</w:t>
            </w:r>
          </w:p>
        </w:tc>
        <w:tc>
          <w:tcPr>
            <w:tcW w:w="21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1.4</w:t>
            </w:r>
          </w:p>
        </w:tc>
        <w:tc>
          <w:tcPr>
            <w:tcW w:w="8240" w:type="dxa"/>
            <w:vAlign w:val="bottom"/>
          </w:tcPr>
          <w:p>
            <w:pPr>
              <w:ind w:left="460"/>
              <w:spacing w:after="0"/>
              <w:rPr>
                <w:sz w:val="20"/>
                <w:szCs w:val="20"/>
                <w:color w:val="auto"/>
              </w:rPr>
            </w:pPr>
            <w:r>
              <w:rPr>
                <w:rFonts w:ascii="Arial" w:cs="Arial" w:eastAsia="Arial" w:hAnsi="Arial"/>
                <w:sz w:val="20"/>
                <w:szCs w:val="20"/>
                <w:color w:val="0000FF"/>
              </w:rPr>
              <w:t>Construction</w:t>
            </w:r>
          </w:p>
        </w:tc>
        <w:tc>
          <w:tcPr>
            <w:tcW w:w="21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1.5</w:t>
            </w:r>
          </w:p>
        </w:tc>
        <w:tc>
          <w:tcPr>
            <w:tcW w:w="8240" w:type="dxa"/>
            <w:vAlign w:val="bottom"/>
          </w:tcPr>
          <w:p>
            <w:pPr>
              <w:ind w:left="460"/>
              <w:spacing w:after="0"/>
              <w:rPr>
                <w:sz w:val="20"/>
                <w:szCs w:val="20"/>
                <w:color w:val="auto"/>
              </w:rPr>
            </w:pPr>
            <w:r>
              <w:rPr>
                <w:rFonts w:ascii="Arial" w:cs="Arial" w:eastAsia="Arial" w:hAnsi="Arial"/>
                <w:sz w:val="20"/>
                <w:szCs w:val="20"/>
                <w:color w:val="0000FF"/>
              </w:rPr>
              <w:t>Time References</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1.6</w:t>
            </w:r>
          </w:p>
        </w:tc>
        <w:tc>
          <w:tcPr>
            <w:tcW w:w="8240" w:type="dxa"/>
            <w:vAlign w:val="bottom"/>
          </w:tcPr>
          <w:p>
            <w:pPr>
              <w:ind w:left="460"/>
              <w:spacing w:after="0"/>
              <w:rPr>
                <w:sz w:val="20"/>
                <w:szCs w:val="20"/>
                <w:color w:val="auto"/>
              </w:rPr>
            </w:pPr>
            <w:r>
              <w:rPr>
                <w:rFonts w:ascii="Arial" w:cs="Arial" w:eastAsia="Arial" w:hAnsi="Arial"/>
                <w:sz w:val="20"/>
                <w:szCs w:val="20"/>
                <w:color w:val="0000FF"/>
              </w:rPr>
              <w:t>Schedules and Exhibits</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1.7</w:t>
            </w:r>
          </w:p>
        </w:tc>
        <w:tc>
          <w:tcPr>
            <w:tcW w:w="8240" w:type="dxa"/>
            <w:vAlign w:val="bottom"/>
          </w:tcPr>
          <w:p>
            <w:pPr>
              <w:ind w:left="460"/>
              <w:spacing w:after="0"/>
              <w:rPr>
                <w:sz w:val="20"/>
                <w:szCs w:val="20"/>
                <w:color w:val="auto"/>
              </w:rPr>
            </w:pPr>
            <w:r>
              <w:rPr>
                <w:rFonts w:ascii="Arial" w:cs="Arial" w:eastAsia="Arial" w:hAnsi="Arial"/>
                <w:sz w:val="20"/>
                <w:szCs w:val="20"/>
                <w:color w:val="0000FF"/>
              </w:rPr>
              <w:t>Limited Condition Acquisitions</w:t>
            </w: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1.8</w:t>
            </w:r>
          </w:p>
        </w:tc>
        <w:tc>
          <w:tcPr>
            <w:tcW w:w="8240" w:type="dxa"/>
            <w:vAlign w:val="bottom"/>
          </w:tcPr>
          <w:p>
            <w:pPr>
              <w:ind w:left="460"/>
              <w:spacing w:after="0"/>
              <w:rPr>
                <w:sz w:val="20"/>
                <w:szCs w:val="20"/>
                <w:color w:val="auto"/>
              </w:rPr>
            </w:pPr>
            <w:r>
              <w:rPr>
                <w:rFonts w:ascii="Arial" w:cs="Arial" w:eastAsia="Arial" w:hAnsi="Arial"/>
                <w:sz w:val="20"/>
                <w:szCs w:val="20"/>
                <w:color w:val="0000FF"/>
              </w:rPr>
              <w:t>Divisions</w:t>
            </w:r>
          </w:p>
        </w:tc>
        <w:tc>
          <w:tcPr>
            <w:tcW w:w="21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1.9</w:t>
            </w:r>
          </w:p>
        </w:tc>
        <w:tc>
          <w:tcPr>
            <w:tcW w:w="8240" w:type="dxa"/>
            <w:vAlign w:val="bottom"/>
          </w:tcPr>
          <w:p>
            <w:pPr>
              <w:ind w:left="460"/>
              <w:spacing w:after="0"/>
              <w:rPr>
                <w:sz w:val="20"/>
                <w:szCs w:val="20"/>
                <w:color w:val="auto"/>
              </w:rPr>
            </w:pPr>
            <w:r>
              <w:rPr>
                <w:rFonts w:ascii="Arial" w:cs="Arial" w:eastAsia="Arial" w:hAnsi="Arial"/>
                <w:sz w:val="20"/>
                <w:szCs w:val="20"/>
                <w:color w:val="0000FF"/>
              </w:rPr>
              <w:t>Rates</w:t>
            </w:r>
          </w:p>
        </w:tc>
        <w:tc>
          <w:tcPr>
            <w:tcW w:w="21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w:t>
            </w:r>
          </w:p>
        </w:tc>
        <w:tc>
          <w:tcPr>
            <w:tcW w:w="8240" w:type="dxa"/>
            <w:vAlign w:val="bottom"/>
          </w:tcPr>
          <w:p>
            <w:pPr>
              <w:ind w:left="460"/>
              <w:spacing w:after="0"/>
              <w:rPr>
                <w:sz w:val="20"/>
                <w:szCs w:val="20"/>
                <w:color w:val="auto"/>
              </w:rPr>
            </w:pPr>
            <w:r>
              <w:rPr>
                <w:rFonts w:ascii="Arial" w:cs="Arial" w:eastAsia="Arial" w:hAnsi="Arial"/>
                <w:sz w:val="20"/>
                <w:szCs w:val="20"/>
                <w:color w:val="0000FF"/>
              </w:rPr>
              <w:t>LOANS AND TERMS OF PAYMENT.</w:t>
            </w:r>
          </w:p>
        </w:tc>
        <w:tc>
          <w:tcPr>
            <w:tcW w:w="21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w:t>
            </w:r>
          </w:p>
        </w:tc>
        <w:tc>
          <w:tcPr>
            <w:tcW w:w="8240" w:type="dxa"/>
            <w:vAlign w:val="bottom"/>
          </w:tcPr>
          <w:p>
            <w:pPr>
              <w:ind w:left="460"/>
              <w:spacing w:after="0"/>
              <w:rPr>
                <w:sz w:val="20"/>
                <w:szCs w:val="20"/>
                <w:color w:val="auto"/>
              </w:rPr>
            </w:pPr>
            <w:r>
              <w:rPr>
                <w:rFonts w:ascii="Arial" w:cs="Arial" w:eastAsia="Arial" w:hAnsi="Arial"/>
                <w:sz w:val="20"/>
                <w:szCs w:val="20"/>
                <w:color w:val="0000FF"/>
              </w:rPr>
              <w:t>Revolving Loans</w:t>
            </w:r>
          </w:p>
        </w:tc>
        <w:tc>
          <w:tcPr>
            <w:tcW w:w="21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2.2</w:t>
            </w:r>
          </w:p>
        </w:tc>
        <w:tc>
          <w:tcPr>
            <w:tcW w:w="824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1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2.3</w:t>
            </w:r>
          </w:p>
        </w:tc>
        <w:tc>
          <w:tcPr>
            <w:tcW w:w="8240" w:type="dxa"/>
            <w:vAlign w:val="bottom"/>
          </w:tcPr>
          <w:p>
            <w:pPr>
              <w:ind w:left="460"/>
              <w:spacing w:after="0"/>
              <w:rPr>
                <w:sz w:val="20"/>
                <w:szCs w:val="20"/>
                <w:color w:val="auto"/>
              </w:rPr>
            </w:pPr>
            <w:r>
              <w:rPr>
                <w:rFonts w:ascii="Arial" w:cs="Arial" w:eastAsia="Arial" w:hAnsi="Arial"/>
                <w:sz w:val="20"/>
                <w:szCs w:val="20"/>
                <w:color w:val="0000FF"/>
              </w:rPr>
              <w:t>Borrowing Procedures and Settlements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2.4</w:t>
            </w:r>
          </w:p>
        </w:tc>
        <w:tc>
          <w:tcPr>
            <w:tcW w:w="8240" w:type="dxa"/>
            <w:vAlign w:val="bottom"/>
          </w:tcPr>
          <w:p>
            <w:pPr>
              <w:ind w:left="460"/>
              <w:spacing w:after="0"/>
              <w:rPr>
                <w:sz w:val="20"/>
                <w:szCs w:val="20"/>
                <w:color w:val="auto"/>
              </w:rPr>
            </w:pPr>
            <w:r>
              <w:rPr>
                <w:rFonts w:ascii="Arial" w:cs="Arial" w:eastAsia="Arial" w:hAnsi="Arial"/>
                <w:sz w:val="20"/>
                <w:szCs w:val="20"/>
                <w:color w:val="0000FF"/>
              </w:rPr>
              <w:t>Payments; Reductions of Commitments; Prepayments</w:t>
            </w:r>
          </w:p>
        </w:tc>
        <w:tc>
          <w:tcPr>
            <w:tcW w:w="21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2.5</w:t>
            </w:r>
          </w:p>
        </w:tc>
        <w:tc>
          <w:tcPr>
            <w:tcW w:w="8240" w:type="dxa"/>
            <w:vAlign w:val="bottom"/>
          </w:tcPr>
          <w:p>
            <w:pPr>
              <w:ind w:left="460"/>
              <w:spacing w:after="0"/>
              <w:rPr>
                <w:sz w:val="20"/>
                <w:szCs w:val="20"/>
                <w:color w:val="auto"/>
              </w:rPr>
            </w:pPr>
            <w:r>
              <w:rPr>
                <w:rFonts w:ascii="Arial" w:cs="Arial" w:eastAsia="Arial" w:hAnsi="Arial"/>
                <w:sz w:val="20"/>
                <w:szCs w:val="20"/>
                <w:color w:val="0000FF"/>
              </w:rPr>
              <w:t>Promise to Pay; Promissory Notes</w:t>
            </w:r>
          </w:p>
        </w:tc>
        <w:tc>
          <w:tcPr>
            <w:tcW w:w="216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2.6</w:t>
            </w:r>
          </w:p>
        </w:tc>
        <w:tc>
          <w:tcPr>
            <w:tcW w:w="8240" w:type="dxa"/>
            <w:vAlign w:val="bottom"/>
          </w:tcPr>
          <w:p>
            <w:pPr>
              <w:ind w:left="460"/>
              <w:spacing w:after="0"/>
              <w:rPr>
                <w:sz w:val="20"/>
                <w:szCs w:val="20"/>
                <w:color w:val="auto"/>
              </w:rPr>
            </w:pPr>
            <w:r>
              <w:rPr>
                <w:rFonts w:ascii="Arial" w:cs="Arial" w:eastAsia="Arial" w:hAnsi="Arial"/>
                <w:sz w:val="20"/>
                <w:szCs w:val="20"/>
                <w:color w:val="0000FF"/>
              </w:rPr>
              <w:t>Interest Rates and Letter of Credit Fee: Rates, Payments, and Calculations</w:t>
            </w:r>
          </w:p>
        </w:tc>
        <w:tc>
          <w:tcPr>
            <w:tcW w:w="21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2.7</w:t>
            </w:r>
          </w:p>
        </w:tc>
        <w:tc>
          <w:tcPr>
            <w:tcW w:w="8240" w:type="dxa"/>
            <w:vAlign w:val="bottom"/>
          </w:tcPr>
          <w:p>
            <w:pPr>
              <w:ind w:left="460"/>
              <w:spacing w:after="0"/>
              <w:rPr>
                <w:sz w:val="20"/>
                <w:szCs w:val="20"/>
                <w:color w:val="auto"/>
              </w:rPr>
            </w:pPr>
            <w:r>
              <w:rPr>
                <w:rFonts w:ascii="Arial" w:cs="Arial" w:eastAsia="Arial" w:hAnsi="Arial"/>
                <w:sz w:val="20"/>
                <w:szCs w:val="20"/>
                <w:color w:val="0000FF"/>
              </w:rPr>
              <w:t>Crediting Payments</w:t>
            </w:r>
          </w:p>
        </w:tc>
        <w:tc>
          <w:tcPr>
            <w:tcW w:w="21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2.8</w:t>
            </w:r>
          </w:p>
        </w:tc>
        <w:tc>
          <w:tcPr>
            <w:tcW w:w="8240" w:type="dxa"/>
            <w:vAlign w:val="bottom"/>
          </w:tcPr>
          <w:p>
            <w:pPr>
              <w:ind w:left="460"/>
              <w:spacing w:after="0"/>
              <w:rPr>
                <w:sz w:val="20"/>
                <w:szCs w:val="20"/>
                <w:color w:val="auto"/>
              </w:rPr>
            </w:pPr>
            <w:r>
              <w:rPr>
                <w:rFonts w:ascii="Arial" w:cs="Arial" w:eastAsia="Arial" w:hAnsi="Arial"/>
                <w:sz w:val="20"/>
                <w:szCs w:val="20"/>
                <w:color w:val="0000FF"/>
              </w:rPr>
              <w:t>Designated Account</w:t>
            </w:r>
          </w:p>
        </w:tc>
        <w:tc>
          <w:tcPr>
            <w:tcW w:w="21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2.9</w:t>
            </w:r>
          </w:p>
        </w:tc>
        <w:tc>
          <w:tcPr>
            <w:tcW w:w="8240" w:type="dxa"/>
            <w:vAlign w:val="bottom"/>
          </w:tcPr>
          <w:p>
            <w:pPr>
              <w:ind w:left="460"/>
              <w:spacing w:after="0"/>
              <w:rPr>
                <w:sz w:val="20"/>
                <w:szCs w:val="20"/>
                <w:color w:val="auto"/>
              </w:rPr>
            </w:pPr>
            <w:r>
              <w:rPr>
                <w:rFonts w:ascii="Arial" w:cs="Arial" w:eastAsia="Arial" w:hAnsi="Arial"/>
                <w:sz w:val="20"/>
                <w:szCs w:val="20"/>
                <w:color w:val="0000FF"/>
              </w:rPr>
              <w:t>Maintenance of Loan Account; Statements of Obligations</w:t>
            </w:r>
          </w:p>
        </w:tc>
        <w:tc>
          <w:tcPr>
            <w:tcW w:w="21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2.10</w:t>
            </w:r>
          </w:p>
        </w:tc>
        <w:tc>
          <w:tcPr>
            <w:tcW w:w="8240" w:type="dxa"/>
            <w:vAlign w:val="bottom"/>
          </w:tcPr>
          <w:p>
            <w:pPr>
              <w:ind w:left="460"/>
              <w:spacing w:after="0"/>
              <w:rPr>
                <w:sz w:val="20"/>
                <w:szCs w:val="20"/>
                <w:color w:val="auto"/>
              </w:rPr>
            </w:pPr>
            <w:r>
              <w:rPr>
                <w:rFonts w:ascii="Arial" w:cs="Arial" w:eastAsia="Arial" w:hAnsi="Arial"/>
                <w:sz w:val="20"/>
                <w:szCs w:val="20"/>
                <w:color w:val="0000FF"/>
              </w:rPr>
              <w:t>Fees</w:t>
            </w:r>
          </w:p>
        </w:tc>
        <w:tc>
          <w:tcPr>
            <w:tcW w:w="21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2.11</w:t>
            </w:r>
          </w:p>
        </w:tc>
        <w:tc>
          <w:tcPr>
            <w:tcW w:w="8240" w:type="dxa"/>
            <w:vAlign w:val="bottom"/>
          </w:tcPr>
          <w:p>
            <w:pPr>
              <w:ind w:left="460"/>
              <w:spacing w:after="0"/>
              <w:rPr>
                <w:sz w:val="20"/>
                <w:szCs w:val="20"/>
                <w:color w:val="auto"/>
              </w:rPr>
            </w:pPr>
            <w:r>
              <w:rPr>
                <w:rFonts w:ascii="Arial" w:cs="Arial" w:eastAsia="Arial" w:hAnsi="Arial"/>
                <w:sz w:val="20"/>
                <w:szCs w:val="20"/>
                <w:color w:val="0000FF"/>
              </w:rPr>
              <w:t>Letters of Credit</w:t>
            </w:r>
          </w:p>
        </w:tc>
        <w:tc>
          <w:tcPr>
            <w:tcW w:w="21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2.12</w:t>
            </w:r>
          </w:p>
        </w:tc>
        <w:tc>
          <w:tcPr>
            <w:tcW w:w="8240" w:type="dxa"/>
            <w:vAlign w:val="bottom"/>
          </w:tcPr>
          <w:p>
            <w:pPr>
              <w:ind w:left="460"/>
              <w:spacing w:after="0"/>
              <w:rPr>
                <w:sz w:val="20"/>
                <w:szCs w:val="20"/>
                <w:color w:val="auto"/>
              </w:rPr>
            </w:pPr>
            <w:r>
              <w:rPr>
                <w:rFonts w:ascii="Arial" w:cs="Arial" w:eastAsia="Arial" w:hAnsi="Arial"/>
                <w:sz w:val="20"/>
                <w:szCs w:val="20"/>
                <w:color w:val="0000FF"/>
              </w:rPr>
              <w:t>SOFR Option</w:t>
            </w:r>
          </w:p>
        </w:tc>
        <w:tc>
          <w:tcPr>
            <w:tcW w:w="216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2.13</w:t>
            </w:r>
          </w:p>
        </w:tc>
        <w:tc>
          <w:tcPr>
            <w:tcW w:w="8240" w:type="dxa"/>
            <w:vAlign w:val="bottom"/>
          </w:tcPr>
          <w:p>
            <w:pPr>
              <w:ind w:left="460"/>
              <w:spacing w:after="0"/>
              <w:rPr>
                <w:sz w:val="20"/>
                <w:szCs w:val="20"/>
                <w:color w:val="auto"/>
              </w:rPr>
            </w:pPr>
            <w:r>
              <w:rPr>
                <w:rFonts w:ascii="Arial" w:cs="Arial" w:eastAsia="Arial" w:hAnsi="Arial"/>
                <w:sz w:val="20"/>
                <w:szCs w:val="20"/>
                <w:color w:val="0000FF"/>
              </w:rPr>
              <w:t>Capital Requirements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2.14</w:t>
            </w:r>
          </w:p>
        </w:tc>
        <w:tc>
          <w:tcPr>
            <w:tcW w:w="8240" w:type="dxa"/>
            <w:vAlign w:val="bottom"/>
          </w:tcPr>
          <w:p>
            <w:pPr>
              <w:ind w:left="460"/>
              <w:spacing w:after="0"/>
              <w:rPr>
                <w:sz w:val="20"/>
                <w:szCs w:val="20"/>
                <w:color w:val="auto"/>
              </w:rPr>
            </w:pPr>
            <w:r>
              <w:rPr>
                <w:rFonts w:ascii="Arial" w:cs="Arial" w:eastAsia="Arial" w:hAnsi="Arial"/>
                <w:sz w:val="20"/>
                <w:szCs w:val="20"/>
                <w:color w:val="0000FF"/>
              </w:rPr>
              <w:t>Incremental Facilities</w:t>
            </w:r>
          </w:p>
        </w:tc>
        <w:tc>
          <w:tcPr>
            <w:tcW w:w="216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2.15</w:t>
            </w:r>
          </w:p>
        </w:tc>
        <w:tc>
          <w:tcPr>
            <w:tcW w:w="8240" w:type="dxa"/>
            <w:vAlign w:val="bottom"/>
          </w:tcPr>
          <w:p>
            <w:pPr>
              <w:ind w:left="460"/>
              <w:spacing w:after="0"/>
              <w:rPr>
                <w:sz w:val="20"/>
                <w:szCs w:val="20"/>
                <w:color w:val="auto"/>
              </w:rPr>
            </w:pPr>
            <w:r>
              <w:rPr>
                <w:rFonts w:ascii="Arial" w:cs="Arial" w:eastAsia="Arial" w:hAnsi="Arial"/>
                <w:sz w:val="20"/>
                <w:szCs w:val="20"/>
                <w:color w:val="0000FF"/>
              </w:rPr>
              <w:t>Joint and Several Liability of Borrowers</w:t>
            </w:r>
          </w:p>
        </w:tc>
        <w:tc>
          <w:tcPr>
            <w:tcW w:w="216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w:t>
            </w:r>
          </w:p>
        </w:tc>
        <w:tc>
          <w:tcPr>
            <w:tcW w:w="8240" w:type="dxa"/>
            <w:vAlign w:val="bottom"/>
          </w:tcPr>
          <w:p>
            <w:pPr>
              <w:ind w:left="460"/>
              <w:spacing w:after="0"/>
              <w:rPr>
                <w:sz w:val="20"/>
                <w:szCs w:val="20"/>
                <w:color w:val="auto"/>
              </w:rPr>
            </w:pPr>
            <w:r>
              <w:rPr>
                <w:rFonts w:ascii="Arial" w:cs="Arial" w:eastAsia="Arial" w:hAnsi="Arial"/>
                <w:sz w:val="20"/>
                <w:szCs w:val="20"/>
                <w:color w:val="0000FF"/>
              </w:rPr>
              <w:t>CONDITIONS; TERM OF AGREEMENT.</w:t>
            </w:r>
          </w:p>
        </w:tc>
        <w:tc>
          <w:tcPr>
            <w:tcW w:w="21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3.1</w:t>
            </w:r>
          </w:p>
        </w:tc>
        <w:tc>
          <w:tcPr>
            <w:tcW w:w="8240" w:type="dxa"/>
            <w:vAlign w:val="bottom"/>
          </w:tcPr>
          <w:p>
            <w:pPr>
              <w:ind w:left="460"/>
              <w:spacing w:after="0"/>
              <w:rPr>
                <w:sz w:val="20"/>
                <w:szCs w:val="20"/>
                <w:color w:val="auto"/>
              </w:rPr>
            </w:pPr>
            <w:r>
              <w:rPr>
                <w:rFonts w:ascii="Arial" w:cs="Arial" w:eastAsia="Arial" w:hAnsi="Arial"/>
                <w:sz w:val="20"/>
                <w:szCs w:val="20"/>
                <w:color w:val="0000FF"/>
              </w:rPr>
              <w:t>Conditions Precedent to Sixth Restatement Effective Date</w:t>
            </w:r>
          </w:p>
        </w:tc>
        <w:tc>
          <w:tcPr>
            <w:tcW w:w="21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3.2</w:t>
            </w:r>
          </w:p>
        </w:tc>
        <w:tc>
          <w:tcPr>
            <w:tcW w:w="8240" w:type="dxa"/>
            <w:vAlign w:val="bottom"/>
          </w:tcPr>
          <w:p>
            <w:pPr>
              <w:ind w:left="460"/>
              <w:spacing w:after="0"/>
              <w:rPr>
                <w:sz w:val="20"/>
                <w:szCs w:val="20"/>
                <w:color w:val="auto"/>
              </w:rPr>
            </w:pPr>
            <w:r>
              <w:rPr>
                <w:rFonts w:ascii="Arial" w:cs="Arial" w:eastAsia="Arial" w:hAnsi="Arial"/>
                <w:sz w:val="20"/>
                <w:szCs w:val="20"/>
                <w:color w:val="0000FF"/>
              </w:rPr>
              <w:t>Conditions Precedent to all Extensions of Credit</w:t>
            </w:r>
          </w:p>
        </w:tc>
        <w:tc>
          <w:tcPr>
            <w:tcW w:w="21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3.3</w:t>
            </w:r>
          </w:p>
        </w:tc>
        <w:tc>
          <w:tcPr>
            <w:tcW w:w="8240" w:type="dxa"/>
            <w:vAlign w:val="bottom"/>
          </w:tcPr>
          <w:p>
            <w:pPr>
              <w:ind w:left="460"/>
              <w:spacing w:after="0"/>
              <w:rPr>
                <w:sz w:val="20"/>
                <w:szCs w:val="20"/>
                <w:color w:val="auto"/>
              </w:rPr>
            </w:pPr>
            <w:r>
              <w:rPr>
                <w:rFonts w:ascii="Arial" w:cs="Arial" w:eastAsia="Arial" w:hAnsi="Arial"/>
                <w:sz w:val="20"/>
                <w:szCs w:val="20"/>
                <w:color w:val="0000FF"/>
              </w:rPr>
              <w:t>Maturity</w:t>
            </w:r>
          </w:p>
        </w:tc>
        <w:tc>
          <w:tcPr>
            <w:tcW w:w="21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3.4</w:t>
            </w:r>
          </w:p>
        </w:tc>
        <w:tc>
          <w:tcPr>
            <w:tcW w:w="8240" w:type="dxa"/>
            <w:vAlign w:val="bottom"/>
          </w:tcPr>
          <w:p>
            <w:pPr>
              <w:ind w:left="460"/>
              <w:spacing w:after="0"/>
              <w:rPr>
                <w:sz w:val="20"/>
                <w:szCs w:val="20"/>
                <w:color w:val="auto"/>
              </w:rPr>
            </w:pPr>
            <w:r>
              <w:rPr>
                <w:rFonts w:ascii="Arial" w:cs="Arial" w:eastAsia="Arial" w:hAnsi="Arial"/>
                <w:sz w:val="20"/>
                <w:szCs w:val="20"/>
                <w:color w:val="0000FF"/>
              </w:rPr>
              <w:t>Effect of Maturity</w:t>
            </w:r>
          </w:p>
        </w:tc>
        <w:tc>
          <w:tcPr>
            <w:tcW w:w="21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3.5</w:t>
            </w:r>
          </w:p>
        </w:tc>
        <w:tc>
          <w:tcPr>
            <w:tcW w:w="8240" w:type="dxa"/>
            <w:vAlign w:val="bottom"/>
          </w:tcPr>
          <w:p>
            <w:pPr>
              <w:ind w:left="460"/>
              <w:spacing w:after="0"/>
              <w:rPr>
                <w:sz w:val="20"/>
                <w:szCs w:val="20"/>
                <w:color w:val="auto"/>
              </w:rPr>
            </w:pPr>
            <w:r>
              <w:rPr>
                <w:rFonts w:ascii="Arial" w:cs="Arial" w:eastAsia="Arial" w:hAnsi="Arial"/>
                <w:sz w:val="20"/>
                <w:szCs w:val="20"/>
                <w:color w:val="0000FF"/>
              </w:rPr>
              <w:t>Early Termination by Borrowers</w:t>
            </w:r>
          </w:p>
        </w:tc>
        <w:tc>
          <w:tcPr>
            <w:tcW w:w="21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3.6</w:t>
            </w:r>
          </w:p>
        </w:tc>
        <w:tc>
          <w:tcPr>
            <w:tcW w:w="8240" w:type="dxa"/>
            <w:vAlign w:val="bottom"/>
          </w:tcPr>
          <w:p>
            <w:pPr>
              <w:ind w:left="460"/>
              <w:spacing w:after="0"/>
              <w:rPr>
                <w:sz w:val="20"/>
                <w:szCs w:val="20"/>
                <w:color w:val="auto"/>
              </w:rPr>
            </w:pPr>
            <w:r>
              <w:rPr>
                <w:rFonts w:ascii="Arial" w:cs="Arial" w:eastAsia="Arial" w:hAnsi="Arial"/>
                <w:sz w:val="20"/>
                <w:szCs w:val="20"/>
                <w:color w:val="0000FF"/>
              </w:rPr>
              <w:t>Post-Closing Covenants</w:t>
            </w:r>
          </w:p>
        </w:tc>
        <w:tc>
          <w:tcPr>
            <w:tcW w:w="2160" w:type="dxa"/>
            <w:vAlign w:val="bottom"/>
          </w:tcPr>
          <w:p>
            <w:pPr>
              <w:jc w:val="right"/>
              <w:spacing w:after="0"/>
              <w:rPr>
                <w:sz w:val="20"/>
                <w:szCs w:val="20"/>
                <w:color w:val="auto"/>
              </w:rPr>
            </w:pPr>
            <w:r>
              <w:rPr>
                <w:rFonts w:ascii="Arial" w:cs="Arial" w:eastAsia="Arial" w:hAnsi="Arial"/>
                <w:sz w:val="20"/>
                <w:szCs w:val="20"/>
                <w:color w:val="auto"/>
              </w:rPr>
              <w:t>101</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113030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0000FF"/>
              </w:rPr>
              <w:t>4.</w:t>
            </w:r>
          </w:p>
        </w:tc>
        <w:tc>
          <w:tcPr>
            <w:tcW w:w="8160" w:type="dxa"/>
            <w:vAlign w:val="bottom"/>
          </w:tcPr>
          <w:p>
            <w:pPr>
              <w:ind w:left="460"/>
              <w:spacing w:after="0"/>
              <w:rPr>
                <w:sz w:val="20"/>
                <w:szCs w:val="20"/>
                <w:color w:val="auto"/>
              </w:rPr>
            </w:pPr>
            <w:r>
              <w:rPr>
                <w:rFonts w:ascii="Arial" w:cs="Arial" w:eastAsia="Arial" w:hAnsi="Arial"/>
                <w:sz w:val="20"/>
                <w:szCs w:val="20"/>
                <w:color w:val="0000FF"/>
              </w:rPr>
              <w:t>REPRESENTATIONS AND WARRANTIES.</w:t>
            </w:r>
          </w:p>
        </w:tc>
        <w:tc>
          <w:tcPr>
            <w:tcW w:w="224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w:t>
            </w:r>
          </w:p>
        </w:tc>
        <w:tc>
          <w:tcPr>
            <w:tcW w:w="8160" w:type="dxa"/>
            <w:vAlign w:val="bottom"/>
          </w:tcPr>
          <w:p>
            <w:pPr>
              <w:ind w:left="460"/>
              <w:spacing w:after="0"/>
              <w:rPr>
                <w:sz w:val="20"/>
                <w:szCs w:val="20"/>
                <w:color w:val="auto"/>
              </w:rPr>
            </w:pPr>
            <w:r>
              <w:rPr>
                <w:rFonts w:ascii="Arial" w:cs="Arial" w:eastAsia="Arial" w:hAnsi="Arial"/>
                <w:sz w:val="20"/>
                <w:szCs w:val="20"/>
                <w:color w:val="0000FF"/>
              </w:rPr>
              <w:t>Due Organization and Qualification; Restricted Subsidiaries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w:t>
            </w:r>
          </w:p>
        </w:tc>
        <w:tc>
          <w:tcPr>
            <w:tcW w:w="8160" w:type="dxa"/>
            <w:vAlign w:val="bottom"/>
          </w:tcPr>
          <w:p>
            <w:pPr>
              <w:ind w:left="460"/>
              <w:spacing w:after="0"/>
              <w:rPr>
                <w:sz w:val="20"/>
                <w:szCs w:val="20"/>
                <w:color w:val="auto"/>
              </w:rPr>
            </w:pPr>
            <w:r>
              <w:rPr>
                <w:rFonts w:ascii="Arial" w:cs="Arial" w:eastAsia="Arial" w:hAnsi="Arial"/>
                <w:sz w:val="20"/>
                <w:szCs w:val="20"/>
                <w:color w:val="0000FF"/>
              </w:rPr>
              <w:t>Due Authorization; No Conflict</w:t>
            </w:r>
          </w:p>
        </w:tc>
        <w:tc>
          <w:tcPr>
            <w:tcW w:w="224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4.3</w:t>
            </w:r>
          </w:p>
        </w:tc>
        <w:tc>
          <w:tcPr>
            <w:tcW w:w="8160" w:type="dxa"/>
            <w:vAlign w:val="bottom"/>
          </w:tcPr>
          <w:p>
            <w:pPr>
              <w:ind w:left="460"/>
              <w:spacing w:after="0"/>
              <w:rPr>
                <w:sz w:val="20"/>
                <w:szCs w:val="20"/>
                <w:color w:val="auto"/>
              </w:rPr>
            </w:pPr>
            <w:r>
              <w:rPr>
                <w:rFonts w:ascii="Arial" w:cs="Arial" w:eastAsia="Arial" w:hAnsi="Arial"/>
                <w:sz w:val="20"/>
                <w:szCs w:val="20"/>
                <w:color w:val="0000FF"/>
              </w:rPr>
              <w:t>Governmental Consents</w:t>
            </w:r>
          </w:p>
        </w:tc>
        <w:tc>
          <w:tcPr>
            <w:tcW w:w="224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4.4</w:t>
            </w:r>
          </w:p>
        </w:tc>
        <w:tc>
          <w:tcPr>
            <w:tcW w:w="8160" w:type="dxa"/>
            <w:vAlign w:val="bottom"/>
          </w:tcPr>
          <w:p>
            <w:pPr>
              <w:ind w:left="460"/>
              <w:spacing w:after="0"/>
              <w:rPr>
                <w:sz w:val="20"/>
                <w:szCs w:val="20"/>
                <w:color w:val="auto"/>
              </w:rPr>
            </w:pPr>
            <w:r>
              <w:rPr>
                <w:rFonts w:ascii="Arial" w:cs="Arial" w:eastAsia="Arial" w:hAnsi="Arial"/>
                <w:sz w:val="20"/>
                <w:szCs w:val="20"/>
                <w:color w:val="0000FF"/>
              </w:rPr>
              <w:t>Binding Obligations; Perfected Liens</w:t>
            </w:r>
          </w:p>
        </w:tc>
        <w:tc>
          <w:tcPr>
            <w:tcW w:w="224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4.5</w:t>
            </w:r>
          </w:p>
        </w:tc>
        <w:tc>
          <w:tcPr>
            <w:tcW w:w="8160" w:type="dxa"/>
            <w:vAlign w:val="bottom"/>
          </w:tcPr>
          <w:p>
            <w:pPr>
              <w:ind w:left="460"/>
              <w:spacing w:after="0"/>
              <w:rPr>
                <w:sz w:val="20"/>
                <w:szCs w:val="20"/>
                <w:color w:val="auto"/>
              </w:rPr>
            </w:pPr>
            <w:r>
              <w:rPr>
                <w:rFonts w:ascii="Arial" w:cs="Arial" w:eastAsia="Arial" w:hAnsi="Arial"/>
                <w:sz w:val="20"/>
                <w:szCs w:val="20"/>
                <w:color w:val="0000FF"/>
              </w:rPr>
              <w:t>Title to Assets; No Encumbrances</w:t>
            </w:r>
          </w:p>
        </w:tc>
        <w:tc>
          <w:tcPr>
            <w:tcW w:w="224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4.6</w:t>
            </w:r>
          </w:p>
        </w:tc>
        <w:tc>
          <w:tcPr>
            <w:tcW w:w="8160" w:type="dxa"/>
            <w:vAlign w:val="bottom"/>
          </w:tcPr>
          <w:p>
            <w:pPr>
              <w:ind w:left="460"/>
              <w:spacing w:after="0"/>
              <w:rPr>
                <w:sz w:val="20"/>
                <w:szCs w:val="20"/>
                <w:color w:val="auto"/>
              </w:rPr>
            </w:pPr>
            <w:r>
              <w:rPr>
                <w:rFonts w:ascii="Arial" w:cs="Arial" w:eastAsia="Arial" w:hAnsi="Arial"/>
                <w:sz w:val="20"/>
                <w:szCs w:val="20"/>
                <w:color w:val="0000FF"/>
              </w:rPr>
              <w:t>Litigation</w:t>
            </w:r>
          </w:p>
        </w:tc>
        <w:tc>
          <w:tcPr>
            <w:tcW w:w="224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4.7</w:t>
            </w:r>
          </w:p>
        </w:tc>
        <w:tc>
          <w:tcPr>
            <w:tcW w:w="8160" w:type="dxa"/>
            <w:vAlign w:val="bottom"/>
          </w:tcPr>
          <w:p>
            <w:pPr>
              <w:ind w:left="460"/>
              <w:spacing w:after="0"/>
              <w:rPr>
                <w:sz w:val="20"/>
                <w:szCs w:val="20"/>
                <w:color w:val="auto"/>
              </w:rPr>
            </w:pPr>
            <w:r>
              <w:rPr>
                <w:rFonts w:ascii="Arial" w:cs="Arial" w:eastAsia="Arial" w:hAnsi="Arial"/>
                <w:sz w:val="20"/>
                <w:szCs w:val="20"/>
                <w:color w:val="0000FF"/>
              </w:rPr>
              <w:t>Compliance with Laws</w:t>
            </w:r>
          </w:p>
        </w:tc>
        <w:tc>
          <w:tcPr>
            <w:tcW w:w="224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4.8</w:t>
            </w:r>
          </w:p>
        </w:tc>
        <w:tc>
          <w:tcPr>
            <w:tcW w:w="8160" w:type="dxa"/>
            <w:vAlign w:val="bottom"/>
          </w:tcPr>
          <w:p>
            <w:pPr>
              <w:ind w:left="460"/>
              <w:spacing w:after="0"/>
              <w:rPr>
                <w:sz w:val="20"/>
                <w:szCs w:val="20"/>
                <w:color w:val="auto"/>
              </w:rPr>
            </w:pPr>
            <w:r>
              <w:rPr>
                <w:rFonts w:ascii="Arial" w:cs="Arial" w:eastAsia="Arial" w:hAnsi="Arial"/>
                <w:sz w:val="20"/>
                <w:szCs w:val="20"/>
                <w:color w:val="0000FF"/>
              </w:rPr>
              <w:t>No Material Adverse Effect</w:t>
            </w:r>
          </w:p>
        </w:tc>
        <w:tc>
          <w:tcPr>
            <w:tcW w:w="224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4.9</w:t>
            </w:r>
          </w:p>
        </w:tc>
        <w:tc>
          <w:tcPr>
            <w:tcW w:w="8160" w:type="dxa"/>
            <w:vAlign w:val="bottom"/>
          </w:tcPr>
          <w:p>
            <w:pPr>
              <w:ind w:left="460"/>
              <w:spacing w:after="0"/>
              <w:rPr>
                <w:sz w:val="20"/>
                <w:szCs w:val="20"/>
                <w:color w:val="auto"/>
              </w:rPr>
            </w:pPr>
            <w:r>
              <w:rPr>
                <w:rFonts w:ascii="Arial" w:cs="Arial" w:eastAsia="Arial" w:hAnsi="Arial"/>
                <w:sz w:val="20"/>
                <w:szCs w:val="20"/>
                <w:color w:val="0000FF"/>
              </w:rPr>
              <w:t>Solvency</w:t>
            </w:r>
          </w:p>
        </w:tc>
        <w:tc>
          <w:tcPr>
            <w:tcW w:w="22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4.10</w:t>
            </w:r>
          </w:p>
        </w:tc>
        <w:tc>
          <w:tcPr>
            <w:tcW w:w="8160" w:type="dxa"/>
            <w:vAlign w:val="bottom"/>
          </w:tcPr>
          <w:p>
            <w:pPr>
              <w:ind w:left="460"/>
              <w:spacing w:after="0"/>
              <w:rPr>
                <w:sz w:val="20"/>
                <w:szCs w:val="20"/>
                <w:color w:val="auto"/>
              </w:rPr>
            </w:pPr>
            <w:r>
              <w:rPr>
                <w:rFonts w:ascii="Arial" w:cs="Arial" w:eastAsia="Arial" w:hAnsi="Arial"/>
                <w:sz w:val="20"/>
                <w:szCs w:val="20"/>
                <w:color w:val="0000FF"/>
              </w:rPr>
              <w:t>Employee Benefits</w:t>
            </w:r>
          </w:p>
        </w:tc>
        <w:tc>
          <w:tcPr>
            <w:tcW w:w="22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4.11</w:t>
            </w:r>
          </w:p>
        </w:tc>
        <w:tc>
          <w:tcPr>
            <w:tcW w:w="8160" w:type="dxa"/>
            <w:vAlign w:val="bottom"/>
          </w:tcPr>
          <w:p>
            <w:pPr>
              <w:ind w:left="460"/>
              <w:spacing w:after="0"/>
              <w:rPr>
                <w:sz w:val="20"/>
                <w:szCs w:val="20"/>
                <w:color w:val="auto"/>
              </w:rPr>
            </w:pPr>
            <w:r>
              <w:rPr>
                <w:rFonts w:ascii="Arial" w:cs="Arial" w:eastAsia="Arial" w:hAnsi="Arial"/>
                <w:sz w:val="20"/>
                <w:szCs w:val="20"/>
                <w:color w:val="0000FF"/>
              </w:rPr>
              <w:t>Environmental Condition</w:t>
            </w:r>
          </w:p>
        </w:tc>
        <w:tc>
          <w:tcPr>
            <w:tcW w:w="22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4.12</w:t>
            </w:r>
          </w:p>
        </w:tc>
        <w:tc>
          <w:tcPr>
            <w:tcW w:w="8160" w:type="dxa"/>
            <w:vAlign w:val="bottom"/>
          </w:tcPr>
          <w:p>
            <w:pPr>
              <w:ind w:left="460"/>
              <w:spacing w:after="0"/>
              <w:rPr>
                <w:sz w:val="20"/>
                <w:szCs w:val="20"/>
                <w:color w:val="auto"/>
              </w:rPr>
            </w:pPr>
            <w:r>
              <w:rPr>
                <w:rFonts w:ascii="Arial" w:cs="Arial" w:eastAsia="Arial" w:hAnsi="Arial"/>
                <w:sz w:val="20"/>
                <w:szCs w:val="20"/>
                <w:color w:val="0000FF"/>
              </w:rPr>
              <w:t>Complete Disclosure</w:t>
            </w:r>
          </w:p>
        </w:tc>
        <w:tc>
          <w:tcPr>
            <w:tcW w:w="224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4.13</w:t>
            </w:r>
          </w:p>
        </w:tc>
        <w:tc>
          <w:tcPr>
            <w:tcW w:w="8160" w:type="dxa"/>
            <w:vAlign w:val="bottom"/>
          </w:tcPr>
          <w:p>
            <w:pPr>
              <w:ind w:left="460"/>
              <w:spacing w:after="0"/>
              <w:rPr>
                <w:sz w:val="20"/>
                <w:szCs w:val="20"/>
                <w:color w:val="auto"/>
              </w:rPr>
            </w:pPr>
            <w:r>
              <w:rPr>
                <w:rFonts w:ascii="Arial" w:cs="Arial" w:eastAsia="Arial" w:hAnsi="Arial"/>
                <w:sz w:val="20"/>
                <w:szCs w:val="20"/>
                <w:color w:val="0000FF"/>
              </w:rPr>
              <w:t>Patriot Act</w:t>
            </w:r>
          </w:p>
        </w:tc>
        <w:tc>
          <w:tcPr>
            <w:tcW w:w="224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4.14</w:t>
            </w:r>
          </w:p>
        </w:tc>
        <w:tc>
          <w:tcPr>
            <w:tcW w:w="816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24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4.15</w:t>
            </w:r>
          </w:p>
        </w:tc>
        <w:tc>
          <w:tcPr>
            <w:tcW w:w="8160" w:type="dxa"/>
            <w:vAlign w:val="bottom"/>
          </w:tcPr>
          <w:p>
            <w:pPr>
              <w:ind w:left="460"/>
              <w:spacing w:after="0"/>
              <w:rPr>
                <w:sz w:val="20"/>
                <w:szCs w:val="20"/>
                <w:color w:val="auto"/>
              </w:rPr>
            </w:pPr>
            <w:r>
              <w:rPr>
                <w:rFonts w:ascii="Arial" w:cs="Arial" w:eastAsia="Arial" w:hAnsi="Arial"/>
                <w:sz w:val="20"/>
                <w:szCs w:val="20"/>
                <w:color w:val="0000FF"/>
              </w:rPr>
              <w:t>Payment of Taxes</w:t>
            </w:r>
          </w:p>
        </w:tc>
        <w:tc>
          <w:tcPr>
            <w:tcW w:w="224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4.16</w:t>
            </w:r>
          </w:p>
        </w:tc>
        <w:tc>
          <w:tcPr>
            <w:tcW w:w="8160" w:type="dxa"/>
            <w:vAlign w:val="bottom"/>
          </w:tcPr>
          <w:p>
            <w:pPr>
              <w:ind w:left="460"/>
              <w:spacing w:after="0"/>
              <w:rPr>
                <w:sz w:val="20"/>
                <w:szCs w:val="20"/>
                <w:color w:val="auto"/>
              </w:rPr>
            </w:pPr>
            <w:r>
              <w:rPr>
                <w:rFonts w:ascii="Arial" w:cs="Arial" w:eastAsia="Arial" w:hAnsi="Arial"/>
                <w:sz w:val="20"/>
                <w:szCs w:val="20"/>
                <w:color w:val="0000FF"/>
              </w:rPr>
              <w:t>Margin Stock</w:t>
            </w:r>
          </w:p>
        </w:tc>
        <w:tc>
          <w:tcPr>
            <w:tcW w:w="224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4.17</w:t>
            </w:r>
          </w:p>
        </w:tc>
        <w:tc>
          <w:tcPr>
            <w:tcW w:w="8160" w:type="dxa"/>
            <w:vAlign w:val="bottom"/>
          </w:tcPr>
          <w:p>
            <w:pPr>
              <w:ind w:left="460"/>
              <w:spacing w:after="0"/>
              <w:rPr>
                <w:sz w:val="20"/>
                <w:szCs w:val="20"/>
                <w:color w:val="auto"/>
              </w:rPr>
            </w:pPr>
            <w:r>
              <w:rPr>
                <w:rFonts w:ascii="Arial" w:cs="Arial" w:eastAsia="Arial" w:hAnsi="Arial"/>
                <w:sz w:val="20"/>
                <w:szCs w:val="20"/>
                <w:color w:val="0000FF"/>
              </w:rPr>
              <w:t>Governmental Regulation</w:t>
            </w:r>
          </w:p>
        </w:tc>
        <w:tc>
          <w:tcPr>
            <w:tcW w:w="224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4.18</w:t>
            </w:r>
          </w:p>
        </w:tc>
        <w:tc>
          <w:tcPr>
            <w:tcW w:w="8160" w:type="dxa"/>
            <w:vAlign w:val="bottom"/>
          </w:tcPr>
          <w:p>
            <w:pPr>
              <w:ind w:left="460"/>
              <w:spacing w:after="0"/>
              <w:rPr>
                <w:sz w:val="20"/>
                <w:szCs w:val="20"/>
                <w:color w:val="auto"/>
              </w:rPr>
            </w:pPr>
            <w:r>
              <w:rPr>
                <w:rFonts w:ascii="Arial" w:cs="Arial" w:eastAsia="Arial" w:hAnsi="Arial"/>
                <w:sz w:val="20"/>
                <w:szCs w:val="20"/>
                <w:color w:val="0000FF"/>
              </w:rPr>
              <w:t>OFAC; Sanctions; Anti-Corruption Laws; Anti-Money Laundering Laws</w:t>
            </w:r>
          </w:p>
        </w:tc>
        <w:tc>
          <w:tcPr>
            <w:tcW w:w="224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4.19</w:t>
            </w:r>
          </w:p>
        </w:tc>
        <w:tc>
          <w:tcPr>
            <w:tcW w:w="8160" w:type="dxa"/>
            <w:vAlign w:val="bottom"/>
          </w:tcPr>
          <w:p>
            <w:pPr>
              <w:ind w:left="460"/>
              <w:spacing w:after="0"/>
              <w:rPr>
                <w:sz w:val="20"/>
                <w:szCs w:val="20"/>
                <w:color w:val="auto"/>
              </w:rPr>
            </w:pPr>
            <w:r>
              <w:rPr>
                <w:rFonts w:ascii="Arial" w:cs="Arial" w:eastAsia="Arial" w:hAnsi="Arial"/>
                <w:sz w:val="20"/>
                <w:szCs w:val="20"/>
                <w:color w:val="0000FF"/>
              </w:rPr>
              <w:t>Employee and Labor Matters</w:t>
            </w:r>
          </w:p>
        </w:tc>
        <w:tc>
          <w:tcPr>
            <w:tcW w:w="224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4.20</w:t>
            </w:r>
          </w:p>
        </w:tc>
        <w:tc>
          <w:tcPr>
            <w:tcW w:w="816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24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4.21</w:t>
            </w:r>
          </w:p>
        </w:tc>
        <w:tc>
          <w:tcPr>
            <w:tcW w:w="8160" w:type="dxa"/>
            <w:vAlign w:val="bottom"/>
          </w:tcPr>
          <w:p>
            <w:pPr>
              <w:ind w:left="460"/>
              <w:spacing w:after="0"/>
              <w:rPr>
                <w:sz w:val="20"/>
                <w:szCs w:val="20"/>
                <w:color w:val="auto"/>
              </w:rPr>
            </w:pPr>
            <w:r>
              <w:rPr>
                <w:rFonts w:ascii="Arial" w:cs="Arial" w:eastAsia="Arial" w:hAnsi="Arial"/>
                <w:sz w:val="20"/>
                <w:szCs w:val="20"/>
                <w:color w:val="0000FF"/>
              </w:rPr>
              <w:t>Leases</w:t>
            </w:r>
          </w:p>
        </w:tc>
        <w:tc>
          <w:tcPr>
            <w:tcW w:w="224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4.22</w:t>
            </w:r>
          </w:p>
        </w:tc>
        <w:tc>
          <w:tcPr>
            <w:tcW w:w="8160" w:type="dxa"/>
            <w:vAlign w:val="bottom"/>
          </w:tcPr>
          <w:p>
            <w:pPr>
              <w:ind w:left="460"/>
              <w:spacing w:after="0"/>
              <w:rPr>
                <w:sz w:val="20"/>
                <w:szCs w:val="20"/>
                <w:color w:val="auto"/>
              </w:rPr>
            </w:pPr>
            <w:r>
              <w:rPr>
                <w:rFonts w:ascii="Arial" w:cs="Arial" w:eastAsia="Arial" w:hAnsi="Arial"/>
                <w:sz w:val="20"/>
                <w:szCs w:val="20"/>
                <w:color w:val="0000FF"/>
              </w:rPr>
              <w:t>Eligible Accounts</w:t>
            </w:r>
          </w:p>
        </w:tc>
        <w:tc>
          <w:tcPr>
            <w:tcW w:w="224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4.23</w:t>
            </w:r>
          </w:p>
        </w:tc>
        <w:tc>
          <w:tcPr>
            <w:tcW w:w="8160" w:type="dxa"/>
            <w:vAlign w:val="bottom"/>
          </w:tcPr>
          <w:p>
            <w:pPr>
              <w:ind w:left="460"/>
              <w:spacing w:after="0"/>
              <w:rPr>
                <w:sz w:val="20"/>
                <w:szCs w:val="20"/>
                <w:color w:val="auto"/>
              </w:rPr>
            </w:pPr>
            <w:r>
              <w:rPr>
                <w:rFonts w:ascii="Arial" w:cs="Arial" w:eastAsia="Arial" w:hAnsi="Arial"/>
                <w:sz w:val="20"/>
                <w:szCs w:val="20"/>
                <w:color w:val="0000FF"/>
              </w:rPr>
              <w:t>Eligible Inventory</w:t>
            </w:r>
          </w:p>
        </w:tc>
        <w:tc>
          <w:tcPr>
            <w:tcW w:w="224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4.24</w:t>
            </w:r>
          </w:p>
        </w:tc>
        <w:tc>
          <w:tcPr>
            <w:tcW w:w="8160" w:type="dxa"/>
            <w:vAlign w:val="bottom"/>
          </w:tcPr>
          <w:p>
            <w:pPr>
              <w:ind w:left="460"/>
              <w:spacing w:after="0"/>
              <w:rPr>
                <w:sz w:val="20"/>
                <w:szCs w:val="20"/>
                <w:color w:val="auto"/>
              </w:rPr>
            </w:pPr>
            <w:r>
              <w:rPr>
                <w:rFonts w:ascii="Arial" w:cs="Arial" w:eastAsia="Arial" w:hAnsi="Arial"/>
                <w:sz w:val="20"/>
                <w:szCs w:val="20"/>
                <w:color w:val="0000FF"/>
              </w:rPr>
              <w:t>Eligible Rolling Stock</w:t>
            </w:r>
          </w:p>
        </w:tc>
        <w:tc>
          <w:tcPr>
            <w:tcW w:w="224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4.25</w:t>
            </w:r>
          </w:p>
        </w:tc>
        <w:tc>
          <w:tcPr>
            <w:tcW w:w="8160" w:type="dxa"/>
            <w:vAlign w:val="bottom"/>
          </w:tcPr>
          <w:p>
            <w:pPr>
              <w:ind w:left="460"/>
              <w:spacing w:after="0"/>
              <w:rPr>
                <w:sz w:val="20"/>
                <w:szCs w:val="20"/>
                <w:color w:val="auto"/>
              </w:rPr>
            </w:pPr>
            <w:r>
              <w:rPr>
                <w:rFonts w:ascii="Arial" w:cs="Arial" w:eastAsia="Arial" w:hAnsi="Arial"/>
                <w:sz w:val="20"/>
                <w:szCs w:val="20"/>
                <w:color w:val="0000FF"/>
              </w:rPr>
              <w:t>Location of Inventory and Rolling Stock</w:t>
            </w:r>
          </w:p>
        </w:tc>
        <w:tc>
          <w:tcPr>
            <w:tcW w:w="224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4.26</w:t>
            </w:r>
          </w:p>
        </w:tc>
        <w:tc>
          <w:tcPr>
            <w:tcW w:w="8160" w:type="dxa"/>
            <w:vAlign w:val="bottom"/>
          </w:tcPr>
          <w:p>
            <w:pPr>
              <w:ind w:left="460"/>
              <w:spacing w:after="0"/>
              <w:rPr>
                <w:sz w:val="20"/>
                <w:szCs w:val="20"/>
                <w:color w:val="auto"/>
              </w:rPr>
            </w:pPr>
            <w:r>
              <w:rPr>
                <w:rFonts w:ascii="Arial" w:cs="Arial" w:eastAsia="Arial" w:hAnsi="Arial"/>
                <w:sz w:val="20"/>
                <w:szCs w:val="20"/>
                <w:color w:val="0000FF"/>
              </w:rPr>
              <w:t>Inventory Records</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4.27</w:t>
            </w:r>
          </w:p>
        </w:tc>
        <w:tc>
          <w:tcPr>
            <w:tcW w:w="816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4.28</w:t>
            </w:r>
          </w:p>
        </w:tc>
        <w:tc>
          <w:tcPr>
            <w:tcW w:w="816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4.29</w:t>
            </w:r>
          </w:p>
        </w:tc>
        <w:tc>
          <w:tcPr>
            <w:tcW w:w="8160" w:type="dxa"/>
            <w:vAlign w:val="bottom"/>
          </w:tcPr>
          <w:p>
            <w:pPr>
              <w:ind w:left="460"/>
              <w:spacing w:after="0"/>
              <w:rPr>
                <w:sz w:val="20"/>
                <w:szCs w:val="20"/>
                <w:color w:val="auto"/>
              </w:rPr>
            </w:pPr>
            <w:r>
              <w:rPr>
                <w:rFonts w:ascii="Arial" w:cs="Arial" w:eastAsia="Arial" w:hAnsi="Arial"/>
                <w:sz w:val="20"/>
                <w:szCs w:val="20"/>
                <w:color w:val="0000FF"/>
              </w:rPr>
              <w:t>Immaterial Subsidiaries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4.30</w:t>
            </w:r>
          </w:p>
        </w:tc>
        <w:tc>
          <w:tcPr>
            <w:tcW w:w="8160" w:type="dxa"/>
            <w:vAlign w:val="bottom"/>
          </w:tcPr>
          <w:p>
            <w:pPr>
              <w:ind w:left="460"/>
              <w:spacing w:after="0"/>
              <w:rPr>
                <w:sz w:val="20"/>
                <w:szCs w:val="20"/>
                <w:color w:val="auto"/>
              </w:rPr>
            </w:pPr>
            <w:r>
              <w:rPr>
                <w:rFonts w:ascii="Arial" w:cs="Arial" w:eastAsia="Arial" w:hAnsi="Arial"/>
                <w:sz w:val="20"/>
                <w:szCs w:val="20"/>
                <w:color w:val="0000FF"/>
              </w:rPr>
              <w:t>Hedge Agreements</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4.31</w:t>
            </w:r>
          </w:p>
        </w:tc>
        <w:tc>
          <w:tcPr>
            <w:tcW w:w="8160" w:type="dxa"/>
            <w:vAlign w:val="bottom"/>
          </w:tcPr>
          <w:p>
            <w:pPr>
              <w:ind w:left="460"/>
              <w:spacing w:after="0"/>
              <w:rPr>
                <w:sz w:val="20"/>
                <w:szCs w:val="20"/>
                <w:color w:val="auto"/>
              </w:rPr>
            </w:pPr>
            <w:r>
              <w:rPr>
                <w:rFonts w:ascii="Arial" w:cs="Arial" w:eastAsia="Arial" w:hAnsi="Arial"/>
                <w:sz w:val="20"/>
                <w:szCs w:val="20"/>
                <w:color w:val="0000FF"/>
              </w:rPr>
              <w:t>Insurance</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w:t>
            </w:r>
          </w:p>
        </w:tc>
        <w:tc>
          <w:tcPr>
            <w:tcW w:w="8160" w:type="dxa"/>
            <w:vAlign w:val="bottom"/>
          </w:tcPr>
          <w:p>
            <w:pPr>
              <w:ind w:left="460"/>
              <w:spacing w:after="0"/>
              <w:rPr>
                <w:sz w:val="20"/>
                <w:szCs w:val="20"/>
                <w:color w:val="auto"/>
              </w:rPr>
            </w:pPr>
            <w:r>
              <w:rPr>
                <w:rFonts w:ascii="Arial" w:cs="Arial" w:eastAsia="Arial" w:hAnsi="Arial"/>
                <w:sz w:val="20"/>
                <w:szCs w:val="20"/>
                <w:color w:val="0000FF"/>
              </w:rPr>
              <w:t>AFFIRMATIVE COVENANTS.</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w:t>
            </w:r>
          </w:p>
        </w:tc>
        <w:tc>
          <w:tcPr>
            <w:tcW w:w="8160" w:type="dxa"/>
            <w:vAlign w:val="bottom"/>
          </w:tcPr>
          <w:p>
            <w:pPr>
              <w:ind w:left="460"/>
              <w:spacing w:after="0"/>
              <w:rPr>
                <w:sz w:val="20"/>
                <w:szCs w:val="20"/>
                <w:color w:val="auto"/>
              </w:rPr>
            </w:pPr>
            <w:r>
              <w:rPr>
                <w:rFonts w:ascii="Arial" w:cs="Arial" w:eastAsia="Arial" w:hAnsi="Arial"/>
                <w:sz w:val="20"/>
                <w:szCs w:val="20"/>
                <w:color w:val="0000FF"/>
              </w:rPr>
              <w:t>Financial Statements, Reports, Certificates</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0000FF"/>
              </w:rPr>
              <w:t>5.2</w:t>
            </w:r>
          </w:p>
        </w:tc>
        <w:tc>
          <w:tcPr>
            <w:tcW w:w="8160" w:type="dxa"/>
            <w:vAlign w:val="bottom"/>
          </w:tcPr>
          <w:p>
            <w:pPr>
              <w:ind w:left="460"/>
              <w:spacing w:after="0"/>
              <w:rPr>
                <w:sz w:val="20"/>
                <w:szCs w:val="20"/>
                <w:color w:val="auto"/>
              </w:rPr>
            </w:pPr>
            <w:r>
              <w:rPr>
                <w:rFonts w:ascii="Arial" w:cs="Arial" w:eastAsia="Arial" w:hAnsi="Arial"/>
                <w:sz w:val="20"/>
                <w:szCs w:val="20"/>
                <w:color w:val="0000FF"/>
              </w:rPr>
              <w:t>Reporting</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5.3</w:t>
            </w:r>
          </w:p>
        </w:tc>
        <w:tc>
          <w:tcPr>
            <w:tcW w:w="8160" w:type="dxa"/>
            <w:vAlign w:val="bottom"/>
          </w:tcPr>
          <w:p>
            <w:pPr>
              <w:ind w:left="460"/>
              <w:spacing w:after="0"/>
              <w:rPr>
                <w:sz w:val="20"/>
                <w:szCs w:val="20"/>
                <w:color w:val="auto"/>
              </w:rPr>
            </w:pPr>
            <w:r>
              <w:rPr>
                <w:rFonts w:ascii="Arial" w:cs="Arial" w:eastAsia="Arial" w:hAnsi="Arial"/>
                <w:sz w:val="20"/>
                <w:szCs w:val="20"/>
                <w:color w:val="0000FF"/>
              </w:rPr>
              <w:t>Existence</w:t>
            </w:r>
          </w:p>
        </w:tc>
        <w:tc>
          <w:tcPr>
            <w:tcW w:w="224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5.4</w:t>
            </w:r>
          </w:p>
        </w:tc>
        <w:tc>
          <w:tcPr>
            <w:tcW w:w="8160" w:type="dxa"/>
            <w:vAlign w:val="bottom"/>
          </w:tcPr>
          <w:p>
            <w:pPr>
              <w:ind w:left="460"/>
              <w:spacing w:after="0"/>
              <w:rPr>
                <w:sz w:val="20"/>
                <w:szCs w:val="20"/>
                <w:color w:val="auto"/>
              </w:rPr>
            </w:pPr>
            <w:r>
              <w:rPr>
                <w:rFonts w:ascii="Arial" w:cs="Arial" w:eastAsia="Arial" w:hAnsi="Arial"/>
                <w:sz w:val="20"/>
                <w:szCs w:val="20"/>
                <w:color w:val="0000FF"/>
              </w:rPr>
              <w:t>Maintenance of Properties</w:t>
            </w:r>
          </w:p>
        </w:tc>
        <w:tc>
          <w:tcPr>
            <w:tcW w:w="22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5.5</w:t>
            </w:r>
          </w:p>
        </w:tc>
        <w:tc>
          <w:tcPr>
            <w:tcW w:w="8160" w:type="dxa"/>
            <w:vAlign w:val="bottom"/>
          </w:tcPr>
          <w:p>
            <w:pPr>
              <w:ind w:left="460"/>
              <w:spacing w:after="0"/>
              <w:rPr>
                <w:sz w:val="20"/>
                <w:szCs w:val="20"/>
                <w:color w:val="auto"/>
              </w:rPr>
            </w:pPr>
            <w:r>
              <w:rPr>
                <w:rFonts w:ascii="Arial" w:cs="Arial" w:eastAsia="Arial" w:hAnsi="Arial"/>
                <w:sz w:val="20"/>
                <w:szCs w:val="20"/>
                <w:color w:val="0000FF"/>
              </w:rPr>
              <w:t>Taxes</w:t>
            </w:r>
          </w:p>
        </w:tc>
        <w:tc>
          <w:tcPr>
            <w:tcW w:w="22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5.6</w:t>
            </w:r>
          </w:p>
        </w:tc>
        <w:tc>
          <w:tcPr>
            <w:tcW w:w="8160" w:type="dxa"/>
            <w:vAlign w:val="bottom"/>
          </w:tcPr>
          <w:p>
            <w:pPr>
              <w:ind w:left="460"/>
              <w:spacing w:after="0"/>
              <w:rPr>
                <w:sz w:val="20"/>
                <w:szCs w:val="20"/>
                <w:color w:val="auto"/>
              </w:rPr>
            </w:pPr>
            <w:r>
              <w:rPr>
                <w:rFonts w:ascii="Arial" w:cs="Arial" w:eastAsia="Arial" w:hAnsi="Arial"/>
                <w:sz w:val="20"/>
                <w:szCs w:val="20"/>
                <w:color w:val="0000FF"/>
              </w:rPr>
              <w:t>Insurance</w:t>
            </w:r>
          </w:p>
        </w:tc>
        <w:tc>
          <w:tcPr>
            <w:tcW w:w="22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5.7</w:t>
            </w:r>
          </w:p>
        </w:tc>
        <w:tc>
          <w:tcPr>
            <w:tcW w:w="8160" w:type="dxa"/>
            <w:vAlign w:val="bottom"/>
          </w:tcPr>
          <w:p>
            <w:pPr>
              <w:ind w:left="460"/>
              <w:spacing w:after="0"/>
              <w:rPr>
                <w:sz w:val="20"/>
                <w:szCs w:val="20"/>
                <w:color w:val="auto"/>
              </w:rPr>
            </w:pPr>
            <w:r>
              <w:rPr>
                <w:rFonts w:ascii="Arial" w:cs="Arial" w:eastAsia="Arial" w:hAnsi="Arial"/>
                <w:sz w:val="20"/>
                <w:szCs w:val="20"/>
                <w:color w:val="0000FF"/>
              </w:rPr>
              <w:t>Inspection</w:t>
            </w:r>
          </w:p>
        </w:tc>
        <w:tc>
          <w:tcPr>
            <w:tcW w:w="22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5.8</w:t>
            </w:r>
          </w:p>
        </w:tc>
        <w:tc>
          <w:tcPr>
            <w:tcW w:w="8160" w:type="dxa"/>
            <w:vAlign w:val="bottom"/>
          </w:tcPr>
          <w:p>
            <w:pPr>
              <w:ind w:left="460"/>
              <w:spacing w:after="0"/>
              <w:rPr>
                <w:sz w:val="20"/>
                <w:szCs w:val="20"/>
                <w:color w:val="auto"/>
              </w:rPr>
            </w:pPr>
            <w:r>
              <w:rPr>
                <w:rFonts w:ascii="Arial" w:cs="Arial" w:eastAsia="Arial" w:hAnsi="Arial"/>
                <w:sz w:val="20"/>
                <w:szCs w:val="20"/>
                <w:color w:val="0000FF"/>
              </w:rPr>
              <w:t>Compliance with Laws</w:t>
            </w:r>
          </w:p>
        </w:tc>
        <w:tc>
          <w:tcPr>
            <w:tcW w:w="224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5.9</w:t>
            </w:r>
          </w:p>
        </w:tc>
        <w:tc>
          <w:tcPr>
            <w:tcW w:w="8160" w:type="dxa"/>
            <w:vAlign w:val="bottom"/>
          </w:tcPr>
          <w:p>
            <w:pPr>
              <w:ind w:left="460"/>
              <w:spacing w:after="0"/>
              <w:rPr>
                <w:sz w:val="20"/>
                <w:szCs w:val="20"/>
                <w:color w:val="auto"/>
              </w:rPr>
            </w:pPr>
            <w:r>
              <w:rPr>
                <w:rFonts w:ascii="Arial" w:cs="Arial" w:eastAsia="Arial" w:hAnsi="Arial"/>
                <w:sz w:val="20"/>
                <w:szCs w:val="20"/>
                <w:color w:val="0000FF"/>
              </w:rPr>
              <w:t>Environmental</w:t>
            </w:r>
          </w:p>
        </w:tc>
        <w:tc>
          <w:tcPr>
            <w:tcW w:w="224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5.10</w:t>
            </w:r>
          </w:p>
        </w:tc>
        <w:tc>
          <w:tcPr>
            <w:tcW w:w="8160" w:type="dxa"/>
            <w:vAlign w:val="bottom"/>
          </w:tcPr>
          <w:p>
            <w:pPr>
              <w:ind w:left="460"/>
              <w:spacing w:after="0"/>
              <w:rPr>
                <w:sz w:val="20"/>
                <w:szCs w:val="20"/>
                <w:color w:val="auto"/>
              </w:rPr>
            </w:pPr>
            <w:r>
              <w:rPr>
                <w:rFonts w:ascii="Arial" w:cs="Arial" w:eastAsia="Arial" w:hAnsi="Arial"/>
                <w:sz w:val="20"/>
                <w:szCs w:val="20"/>
                <w:color w:val="0000FF"/>
              </w:rPr>
              <w:t>Disclosure Updates</w:t>
            </w:r>
          </w:p>
        </w:tc>
        <w:tc>
          <w:tcPr>
            <w:tcW w:w="22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5.11</w:t>
            </w:r>
          </w:p>
        </w:tc>
        <w:tc>
          <w:tcPr>
            <w:tcW w:w="8160" w:type="dxa"/>
            <w:vAlign w:val="bottom"/>
          </w:tcPr>
          <w:p>
            <w:pPr>
              <w:ind w:left="460"/>
              <w:spacing w:after="0"/>
              <w:rPr>
                <w:sz w:val="20"/>
                <w:szCs w:val="20"/>
                <w:color w:val="auto"/>
              </w:rPr>
            </w:pPr>
            <w:r>
              <w:rPr>
                <w:rFonts w:ascii="Arial" w:cs="Arial" w:eastAsia="Arial" w:hAnsi="Arial"/>
                <w:sz w:val="20"/>
                <w:szCs w:val="20"/>
                <w:color w:val="0000FF"/>
              </w:rPr>
              <w:t>Formation of Subsidiaries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5.12</w:t>
            </w:r>
          </w:p>
        </w:tc>
        <w:tc>
          <w:tcPr>
            <w:tcW w:w="8160" w:type="dxa"/>
            <w:vAlign w:val="bottom"/>
          </w:tcPr>
          <w:p>
            <w:pPr>
              <w:ind w:left="460"/>
              <w:spacing w:after="0"/>
              <w:rPr>
                <w:sz w:val="20"/>
                <w:szCs w:val="20"/>
                <w:color w:val="auto"/>
              </w:rPr>
            </w:pPr>
            <w:r>
              <w:rPr>
                <w:rFonts w:ascii="Arial" w:cs="Arial" w:eastAsia="Arial" w:hAnsi="Arial"/>
                <w:sz w:val="20"/>
                <w:szCs w:val="20"/>
                <w:color w:val="0000FF"/>
              </w:rPr>
              <w:t>Further Assurances</w:t>
            </w:r>
          </w:p>
        </w:tc>
        <w:tc>
          <w:tcPr>
            <w:tcW w:w="224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5.13</w:t>
            </w:r>
          </w:p>
        </w:tc>
        <w:tc>
          <w:tcPr>
            <w:tcW w:w="8160" w:type="dxa"/>
            <w:vAlign w:val="bottom"/>
          </w:tcPr>
          <w:p>
            <w:pPr>
              <w:ind w:left="460"/>
              <w:spacing w:after="0"/>
              <w:rPr>
                <w:sz w:val="20"/>
                <w:szCs w:val="20"/>
                <w:color w:val="auto"/>
              </w:rPr>
            </w:pPr>
            <w:r>
              <w:rPr>
                <w:rFonts w:ascii="Arial" w:cs="Arial" w:eastAsia="Arial" w:hAnsi="Arial"/>
                <w:sz w:val="20"/>
                <w:szCs w:val="20"/>
                <w:color w:val="0000FF"/>
              </w:rPr>
              <w:t>Lender Meetings</w:t>
            </w:r>
          </w:p>
        </w:tc>
        <w:tc>
          <w:tcPr>
            <w:tcW w:w="224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5.14</w:t>
            </w:r>
          </w:p>
        </w:tc>
        <w:tc>
          <w:tcPr>
            <w:tcW w:w="8160" w:type="dxa"/>
            <w:vAlign w:val="bottom"/>
          </w:tcPr>
          <w:p>
            <w:pPr>
              <w:ind w:left="460"/>
              <w:spacing w:after="0"/>
              <w:rPr>
                <w:sz w:val="20"/>
                <w:szCs w:val="20"/>
                <w:color w:val="auto"/>
              </w:rPr>
            </w:pPr>
            <w:r>
              <w:rPr>
                <w:rFonts w:ascii="Arial" w:cs="Arial" w:eastAsia="Arial" w:hAnsi="Arial"/>
                <w:sz w:val="20"/>
                <w:szCs w:val="20"/>
                <w:color w:val="0000FF"/>
              </w:rPr>
              <w:t>Compliance with ERISA and the IRC</w:t>
            </w:r>
          </w:p>
        </w:tc>
        <w:tc>
          <w:tcPr>
            <w:tcW w:w="224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5.15</w:t>
            </w:r>
          </w:p>
        </w:tc>
        <w:tc>
          <w:tcPr>
            <w:tcW w:w="8160" w:type="dxa"/>
            <w:vAlign w:val="bottom"/>
          </w:tcPr>
          <w:p>
            <w:pPr>
              <w:ind w:left="460"/>
              <w:spacing w:after="0"/>
              <w:rPr>
                <w:sz w:val="20"/>
                <w:szCs w:val="20"/>
                <w:color w:val="auto"/>
              </w:rPr>
            </w:pPr>
            <w:r>
              <w:rPr>
                <w:rFonts w:ascii="Arial" w:cs="Arial" w:eastAsia="Arial" w:hAnsi="Arial"/>
                <w:sz w:val="20"/>
                <w:szCs w:val="20"/>
                <w:color w:val="0000FF"/>
              </w:rPr>
              <w:t>Location of Inventory and Rolling Stock; Chief Executive Office</w:t>
            </w:r>
          </w:p>
        </w:tc>
        <w:tc>
          <w:tcPr>
            <w:tcW w:w="224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5.16</w:t>
            </w:r>
          </w:p>
        </w:tc>
        <w:tc>
          <w:tcPr>
            <w:tcW w:w="8160" w:type="dxa"/>
            <w:vAlign w:val="bottom"/>
          </w:tcPr>
          <w:p>
            <w:pPr>
              <w:ind w:left="460"/>
              <w:spacing w:after="0"/>
              <w:rPr>
                <w:sz w:val="20"/>
                <w:szCs w:val="20"/>
                <w:color w:val="auto"/>
              </w:rPr>
            </w:pPr>
            <w:r>
              <w:rPr>
                <w:rFonts w:ascii="Arial" w:cs="Arial" w:eastAsia="Arial" w:hAnsi="Arial"/>
                <w:sz w:val="20"/>
                <w:szCs w:val="20"/>
                <w:color w:val="0000FF"/>
              </w:rPr>
              <w:t>OFAC; Sanctions; Anti-Corruption Laws; Anti-Money Laundering Laws</w:t>
            </w:r>
          </w:p>
        </w:tc>
        <w:tc>
          <w:tcPr>
            <w:tcW w:w="224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5.17</w:t>
            </w:r>
          </w:p>
        </w:tc>
        <w:tc>
          <w:tcPr>
            <w:tcW w:w="8160" w:type="dxa"/>
            <w:vAlign w:val="bottom"/>
          </w:tcPr>
          <w:p>
            <w:pPr>
              <w:ind w:left="460"/>
              <w:spacing w:after="0"/>
              <w:rPr>
                <w:sz w:val="20"/>
                <w:szCs w:val="20"/>
                <w:color w:val="auto"/>
              </w:rPr>
            </w:pPr>
            <w:r>
              <w:rPr>
                <w:rFonts w:ascii="Arial" w:cs="Arial" w:eastAsia="Arial" w:hAnsi="Arial"/>
                <w:sz w:val="20"/>
                <w:szCs w:val="20"/>
                <w:color w:val="0000FF"/>
              </w:rPr>
              <w:t>Floor Plan and Off Balance Sheet Equipment Inventory</w:t>
            </w:r>
          </w:p>
        </w:tc>
        <w:tc>
          <w:tcPr>
            <w:tcW w:w="22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5.18</w:t>
            </w:r>
          </w:p>
        </w:tc>
        <w:tc>
          <w:tcPr>
            <w:tcW w:w="8160" w:type="dxa"/>
            <w:vAlign w:val="bottom"/>
          </w:tcPr>
          <w:p>
            <w:pPr>
              <w:ind w:left="460"/>
              <w:spacing w:after="0"/>
              <w:rPr>
                <w:sz w:val="20"/>
                <w:szCs w:val="20"/>
                <w:color w:val="auto"/>
              </w:rPr>
            </w:pPr>
            <w:r>
              <w:rPr>
                <w:rFonts w:ascii="Arial" w:cs="Arial" w:eastAsia="Arial" w:hAnsi="Arial"/>
                <w:sz w:val="20"/>
                <w:szCs w:val="20"/>
                <w:color w:val="0000FF"/>
              </w:rPr>
              <w:t>Designation of Subsidiaries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w:t>
            </w:r>
          </w:p>
        </w:tc>
        <w:tc>
          <w:tcPr>
            <w:tcW w:w="8160" w:type="dxa"/>
            <w:vAlign w:val="bottom"/>
          </w:tcPr>
          <w:p>
            <w:pPr>
              <w:ind w:left="460"/>
              <w:spacing w:after="0"/>
              <w:rPr>
                <w:sz w:val="20"/>
                <w:szCs w:val="20"/>
                <w:color w:val="auto"/>
              </w:rPr>
            </w:pPr>
            <w:r>
              <w:rPr>
                <w:rFonts w:ascii="Arial" w:cs="Arial" w:eastAsia="Arial" w:hAnsi="Arial"/>
                <w:sz w:val="20"/>
                <w:szCs w:val="20"/>
                <w:color w:val="0000FF"/>
              </w:rPr>
              <w:t>NEGATIVE COVENANTS.</w:t>
            </w:r>
          </w:p>
        </w:tc>
        <w:tc>
          <w:tcPr>
            <w:tcW w:w="22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w:t>
            </w:r>
          </w:p>
        </w:tc>
        <w:tc>
          <w:tcPr>
            <w:tcW w:w="8160" w:type="dxa"/>
            <w:vAlign w:val="bottom"/>
          </w:tcPr>
          <w:p>
            <w:pPr>
              <w:ind w:left="460"/>
              <w:spacing w:after="0"/>
              <w:rPr>
                <w:sz w:val="20"/>
                <w:szCs w:val="20"/>
                <w:color w:val="auto"/>
              </w:rPr>
            </w:pPr>
            <w:r>
              <w:rPr>
                <w:rFonts w:ascii="Arial" w:cs="Arial" w:eastAsia="Arial" w:hAnsi="Arial"/>
                <w:sz w:val="20"/>
                <w:szCs w:val="20"/>
                <w:color w:val="0000FF"/>
              </w:rPr>
              <w:t>Indebtedness</w:t>
            </w:r>
          </w:p>
        </w:tc>
        <w:tc>
          <w:tcPr>
            <w:tcW w:w="22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6.2</w:t>
            </w:r>
          </w:p>
        </w:tc>
        <w:tc>
          <w:tcPr>
            <w:tcW w:w="8160" w:type="dxa"/>
            <w:vAlign w:val="bottom"/>
          </w:tcPr>
          <w:p>
            <w:pPr>
              <w:ind w:left="460"/>
              <w:spacing w:after="0"/>
              <w:rPr>
                <w:sz w:val="20"/>
                <w:szCs w:val="20"/>
                <w:color w:val="auto"/>
              </w:rPr>
            </w:pPr>
            <w:r>
              <w:rPr>
                <w:rFonts w:ascii="Arial" w:cs="Arial" w:eastAsia="Arial" w:hAnsi="Arial"/>
                <w:sz w:val="20"/>
                <w:szCs w:val="20"/>
                <w:color w:val="0000FF"/>
              </w:rPr>
              <w:t>Liens</w:t>
            </w:r>
          </w:p>
        </w:tc>
        <w:tc>
          <w:tcPr>
            <w:tcW w:w="22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6.3</w:t>
            </w:r>
          </w:p>
        </w:tc>
        <w:tc>
          <w:tcPr>
            <w:tcW w:w="8160" w:type="dxa"/>
            <w:vAlign w:val="bottom"/>
          </w:tcPr>
          <w:p>
            <w:pPr>
              <w:ind w:left="460"/>
              <w:spacing w:after="0"/>
              <w:rPr>
                <w:sz w:val="20"/>
                <w:szCs w:val="20"/>
                <w:color w:val="auto"/>
              </w:rPr>
            </w:pPr>
            <w:r>
              <w:rPr>
                <w:rFonts w:ascii="Arial" w:cs="Arial" w:eastAsia="Arial" w:hAnsi="Arial"/>
                <w:sz w:val="20"/>
                <w:szCs w:val="20"/>
                <w:color w:val="0000FF"/>
              </w:rPr>
              <w:t>Restrictions on Fundamental Changes</w:t>
            </w:r>
          </w:p>
        </w:tc>
        <w:tc>
          <w:tcPr>
            <w:tcW w:w="224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6.4</w:t>
            </w:r>
          </w:p>
        </w:tc>
        <w:tc>
          <w:tcPr>
            <w:tcW w:w="8160" w:type="dxa"/>
            <w:vAlign w:val="bottom"/>
          </w:tcPr>
          <w:p>
            <w:pPr>
              <w:ind w:left="460"/>
              <w:spacing w:after="0"/>
              <w:rPr>
                <w:sz w:val="20"/>
                <w:szCs w:val="20"/>
                <w:color w:val="auto"/>
              </w:rPr>
            </w:pPr>
            <w:r>
              <w:rPr>
                <w:rFonts w:ascii="Arial" w:cs="Arial" w:eastAsia="Arial" w:hAnsi="Arial"/>
                <w:sz w:val="20"/>
                <w:szCs w:val="20"/>
                <w:color w:val="0000FF"/>
              </w:rPr>
              <w:t>Disposal of Assets</w:t>
            </w:r>
          </w:p>
        </w:tc>
        <w:tc>
          <w:tcPr>
            <w:tcW w:w="22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6.5</w:t>
            </w:r>
          </w:p>
        </w:tc>
        <w:tc>
          <w:tcPr>
            <w:tcW w:w="8160" w:type="dxa"/>
            <w:vAlign w:val="bottom"/>
          </w:tcPr>
          <w:p>
            <w:pPr>
              <w:ind w:left="460"/>
              <w:spacing w:after="0"/>
              <w:rPr>
                <w:sz w:val="20"/>
                <w:szCs w:val="20"/>
                <w:color w:val="auto"/>
              </w:rPr>
            </w:pPr>
            <w:r>
              <w:rPr>
                <w:rFonts w:ascii="Arial" w:cs="Arial" w:eastAsia="Arial" w:hAnsi="Arial"/>
                <w:sz w:val="20"/>
                <w:szCs w:val="20"/>
                <w:color w:val="0000FF"/>
              </w:rPr>
              <w:t>Nature of Business</w:t>
            </w:r>
          </w:p>
        </w:tc>
        <w:tc>
          <w:tcPr>
            <w:tcW w:w="22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6.6</w:t>
            </w:r>
          </w:p>
        </w:tc>
        <w:tc>
          <w:tcPr>
            <w:tcW w:w="8160" w:type="dxa"/>
            <w:vAlign w:val="bottom"/>
          </w:tcPr>
          <w:p>
            <w:pPr>
              <w:ind w:left="460"/>
              <w:spacing w:after="0"/>
              <w:rPr>
                <w:sz w:val="20"/>
                <w:szCs w:val="20"/>
                <w:color w:val="auto"/>
              </w:rPr>
            </w:pPr>
            <w:r>
              <w:rPr>
                <w:rFonts w:ascii="Arial" w:cs="Arial" w:eastAsia="Arial" w:hAnsi="Arial"/>
                <w:sz w:val="20"/>
                <w:szCs w:val="20"/>
                <w:color w:val="0000FF"/>
              </w:rPr>
              <w:t>Prepayments and Amendments</w:t>
            </w:r>
          </w:p>
        </w:tc>
        <w:tc>
          <w:tcPr>
            <w:tcW w:w="224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6.7</w:t>
            </w:r>
          </w:p>
        </w:tc>
        <w:tc>
          <w:tcPr>
            <w:tcW w:w="8160" w:type="dxa"/>
            <w:vAlign w:val="bottom"/>
          </w:tcPr>
          <w:p>
            <w:pPr>
              <w:ind w:left="460"/>
              <w:spacing w:after="0"/>
              <w:rPr>
                <w:sz w:val="20"/>
                <w:szCs w:val="20"/>
                <w:color w:val="auto"/>
              </w:rPr>
            </w:pPr>
            <w:r>
              <w:rPr>
                <w:rFonts w:ascii="Arial" w:cs="Arial" w:eastAsia="Arial" w:hAnsi="Arial"/>
                <w:sz w:val="20"/>
                <w:szCs w:val="20"/>
                <w:color w:val="0000FF"/>
              </w:rPr>
              <w:t>Restricted Payments</w:t>
            </w:r>
          </w:p>
        </w:tc>
        <w:tc>
          <w:tcPr>
            <w:tcW w:w="224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6.8</w:t>
            </w:r>
          </w:p>
        </w:tc>
        <w:tc>
          <w:tcPr>
            <w:tcW w:w="8160" w:type="dxa"/>
            <w:vAlign w:val="bottom"/>
          </w:tcPr>
          <w:p>
            <w:pPr>
              <w:ind w:left="460"/>
              <w:spacing w:after="0"/>
              <w:rPr>
                <w:sz w:val="20"/>
                <w:szCs w:val="20"/>
                <w:color w:val="auto"/>
              </w:rPr>
            </w:pPr>
            <w:r>
              <w:rPr>
                <w:rFonts w:ascii="Arial" w:cs="Arial" w:eastAsia="Arial" w:hAnsi="Arial"/>
                <w:sz w:val="20"/>
                <w:szCs w:val="20"/>
                <w:color w:val="0000FF"/>
              </w:rPr>
              <w:t>Accounting Methods</w:t>
            </w:r>
          </w:p>
        </w:tc>
        <w:tc>
          <w:tcPr>
            <w:tcW w:w="224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6.9</w:t>
            </w:r>
          </w:p>
        </w:tc>
        <w:tc>
          <w:tcPr>
            <w:tcW w:w="8160" w:type="dxa"/>
            <w:vAlign w:val="bottom"/>
          </w:tcPr>
          <w:p>
            <w:pPr>
              <w:ind w:left="460"/>
              <w:spacing w:after="0"/>
              <w:rPr>
                <w:sz w:val="20"/>
                <w:szCs w:val="20"/>
                <w:color w:val="auto"/>
              </w:rPr>
            </w:pPr>
            <w:r>
              <w:rPr>
                <w:rFonts w:ascii="Arial" w:cs="Arial" w:eastAsia="Arial" w:hAnsi="Arial"/>
                <w:sz w:val="20"/>
                <w:szCs w:val="20"/>
                <w:color w:val="0000FF"/>
              </w:rPr>
              <w:t>Investments</w:t>
            </w:r>
          </w:p>
        </w:tc>
        <w:tc>
          <w:tcPr>
            <w:tcW w:w="224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6.10</w:t>
            </w:r>
          </w:p>
        </w:tc>
        <w:tc>
          <w:tcPr>
            <w:tcW w:w="8160" w:type="dxa"/>
            <w:vAlign w:val="bottom"/>
          </w:tcPr>
          <w:p>
            <w:pPr>
              <w:ind w:left="460"/>
              <w:spacing w:after="0"/>
              <w:rPr>
                <w:sz w:val="20"/>
                <w:szCs w:val="20"/>
                <w:color w:val="auto"/>
              </w:rPr>
            </w:pPr>
            <w:r>
              <w:rPr>
                <w:rFonts w:ascii="Arial" w:cs="Arial" w:eastAsia="Arial" w:hAnsi="Arial"/>
                <w:sz w:val="20"/>
                <w:szCs w:val="20"/>
                <w:color w:val="0000FF"/>
              </w:rPr>
              <w:t>Transactions with Affiliates</w:t>
            </w:r>
          </w:p>
        </w:tc>
        <w:tc>
          <w:tcPr>
            <w:tcW w:w="224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6.11</w:t>
            </w:r>
          </w:p>
        </w:tc>
        <w:tc>
          <w:tcPr>
            <w:tcW w:w="8160" w:type="dxa"/>
            <w:vAlign w:val="bottom"/>
          </w:tcPr>
          <w:p>
            <w:pPr>
              <w:ind w:left="460"/>
              <w:spacing w:after="0"/>
              <w:rPr>
                <w:sz w:val="20"/>
                <w:szCs w:val="20"/>
                <w:color w:val="auto"/>
              </w:rPr>
            </w:pPr>
            <w:r>
              <w:rPr>
                <w:rFonts w:ascii="Arial" w:cs="Arial" w:eastAsia="Arial" w:hAnsi="Arial"/>
                <w:sz w:val="20"/>
                <w:szCs w:val="20"/>
                <w:color w:val="0000FF"/>
              </w:rPr>
              <w:t>Use of Proceeds</w:t>
            </w:r>
          </w:p>
        </w:tc>
        <w:tc>
          <w:tcPr>
            <w:tcW w:w="224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6.12</w:t>
            </w:r>
          </w:p>
        </w:tc>
        <w:tc>
          <w:tcPr>
            <w:tcW w:w="8160" w:type="dxa"/>
            <w:vAlign w:val="bottom"/>
          </w:tcPr>
          <w:p>
            <w:pPr>
              <w:ind w:left="460"/>
              <w:spacing w:after="0"/>
              <w:rPr>
                <w:sz w:val="20"/>
                <w:szCs w:val="20"/>
                <w:color w:val="auto"/>
              </w:rPr>
            </w:pPr>
            <w:r>
              <w:rPr>
                <w:rFonts w:ascii="Arial" w:cs="Arial" w:eastAsia="Arial" w:hAnsi="Arial"/>
                <w:sz w:val="20"/>
                <w:szCs w:val="20"/>
                <w:color w:val="0000FF"/>
              </w:rPr>
              <w:t>Limitation on Issuance of Equity Interests</w:t>
            </w:r>
          </w:p>
        </w:tc>
        <w:tc>
          <w:tcPr>
            <w:tcW w:w="224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6.13</w:t>
            </w:r>
          </w:p>
        </w:tc>
        <w:tc>
          <w:tcPr>
            <w:tcW w:w="816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24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6.14</w:t>
            </w:r>
          </w:p>
        </w:tc>
        <w:tc>
          <w:tcPr>
            <w:tcW w:w="8160" w:type="dxa"/>
            <w:vAlign w:val="bottom"/>
          </w:tcPr>
          <w:p>
            <w:pPr>
              <w:ind w:left="460"/>
              <w:spacing w:after="0"/>
              <w:rPr>
                <w:sz w:val="20"/>
                <w:szCs w:val="20"/>
                <w:color w:val="auto"/>
              </w:rPr>
            </w:pPr>
            <w:r>
              <w:rPr>
                <w:rFonts w:ascii="Arial" w:cs="Arial" w:eastAsia="Arial" w:hAnsi="Arial"/>
                <w:sz w:val="20"/>
                <w:szCs w:val="20"/>
                <w:color w:val="0000FF"/>
              </w:rPr>
              <w:t>[Reserved]</w:t>
            </w:r>
          </w:p>
        </w:tc>
        <w:tc>
          <w:tcPr>
            <w:tcW w:w="224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6.15</w:t>
            </w:r>
          </w:p>
        </w:tc>
        <w:tc>
          <w:tcPr>
            <w:tcW w:w="8160" w:type="dxa"/>
            <w:vAlign w:val="bottom"/>
          </w:tcPr>
          <w:p>
            <w:pPr>
              <w:ind w:left="460"/>
              <w:spacing w:after="0"/>
              <w:rPr>
                <w:sz w:val="20"/>
                <w:szCs w:val="20"/>
                <w:color w:val="auto"/>
              </w:rPr>
            </w:pPr>
            <w:r>
              <w:rPr>
                <w:rFonts w:ascii="Arial" w:cs="Arial" w:eastAsia="Arial" w:hAnsi="Arial"/>
                <w:sz w:val="20"/>
                <w:szCs w:val="20"/>
                <w:color w:val="0000FF"/>
              </w:rPr>
              <w:t>Immaterial Subsidiaries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6.16</w:t>
            </w:r>
          </w:p>
        </w:tc>
        <w:tc>
          <w:tcPr>
            <w:tcW w:w="8160" w:type="dxa"/>
            <w:vAlign w:val="bottom"/>
          </w:tcPr>
          <w:p>
            <w:pPr>
              <w:ind w:left="460"/>
              <w:spacing w:after="0"/>
              <w:rPr>
                <w:sz w:val="20"/>
                <w:szCs w:val="20"/>
                <w:color w:val="auto"/>
              </w:rPr>
            </w:pPr>
            <w:r>
              <w:rPr>
                <w:rFonts w:ascii="Arial" w:cs="Arial" w:eastAsia="Arial" w:hAnsi="Arial"/>
                <w:sz w:val="20"/>
                <w:szCs w:val="20"/>
                <w:color w:val="0000FF"/>
              </w:rPr>
              <w:t>Employee Benefits</w:t>
            </w:r>
          </w:p>
        </w:tc>
        <w:tc>
          <w:tcPr>
            <w:tcW w:w="2240" w:type="dxa"/>
            <w:vAlign w:val="bottom"/>
          </w:tcPr>
          <w:p>
            <w:pPr>
              <w:jc w:val="right"/>
              <w:spacing w:after="0"/>
              <w:rPr>
                <w:sz w:val="20"/>
                <w:szCs w:val="20"/>
                <w:color w:val="auto"/>
              </w:rPr>
            </w:pPr>
            <w:r>
              <w:rPr>
                <w:rFonts w:ascii="Arial" w:cs="Arial" w:eastAsia="Arial" w:hAnsi="Arial"/>
                <w:sz w:val="20"/>
                <w:szCs w:val="20"/>
                <w:color w:val="auto"/>
              </w:rPr>
              <w:t>118</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6"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0000FF"/>
              </w:rPr>
              <w:t>7.</w:t>
            </w:r>
          </w:p>
        </w:tc>
        <w:tc>
          <w:tcPr>
            <w:tcW w:w="9320" w:type="dxa"/>
            <w:vAlign w:val="bottom"/>
          </w:tcPr>
          <w:p>
            <w:pPr>
              <w:ind w:left="460"/>
              <w:spacing w:after="0"/>
              <w:rPr>
                <w:sz w:val="20"/>
                <w:szCs w:val="20"/>
                <w:color w:val="auto"/>
              </w:rPr>
            </w:pPr>
            <w:r>
              <w:rPr>
                <w:rFonts w:ascii="Arial" w:cs="Arial" w:eastAsia="Arial" w:hAnsi="Arial"/>
                <w:sz w:val="20"/>
                <w:szCs w:val="20"/>
                <w:color w:val="0000FF"/>
              </w:rPr>
              <w:t>FINANCIAL COVENANTS.</w:t>
            </w:r>
          </w:p>
        </w:tc>
        <w:tc>
          <w:tcPr>
            <w:tcW w:w="10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w:t>
            </w:r>
          </w:p>
        </w:tc>
        <w:tc>
          <w:tcPr>
            <w:tcW w:w="9320" w:type="dxa"/>
            <w:vAlign w:val="bottom"/>
          </w:tcPr>
          <w:p>
            <w:pPr>
              <w:ind w:left="460"/>
              <w:spacing w:after="0"/>
              <w:rPr>
                <w:sz w:val="20"/>
                <w:szCs w:val="20"/>
                <w:color w:val="auto"/>
              </w:rPr>
            </w:pPr>
            <w:r>
              <w:rPr>
                <w:rFonts w:ascii="Arial" w:cs="Arial" w:eastAsia="Arial" w:hAnsi="Arial"/>
                <w:sz w:val="20"/>
                <w:szCs w:val="20"/>
                <w:color w:val="0000FF"/>
              </w:rPr>
              <w:t>EVENTS OF DEFAULT.</w:t>
            </w:r>
          </w:p>
        </w:tc>
        <w:tc>
          <w:tcPr>
            <w:tcW w:w="10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8.1</w:t>
            </w:r>
          </w:p>
        </w:tc>
        <w:tc>
          <w:tcPr>
            <w:tcW w:w="9320" w:type="dxa"/>
            <w:vAlign w:val="bottom"/>
          </w:tcPr>
          <w:p>
            <w:pPr>
              <w:ind w:left="460"/>
              <w:spacing w:after="0"/>
              <w:rPr>
                <w:sz w:val="20"/>
                <w:szCs w:val="20"/>
                <w:color w:val="auto"/>
              </w:rPr>
            </w:pPr>
            <w:r>
              <w:rPr>
                <w:rFonts w:ascii="Arial" w:cs="Arial" w:eastAsia="Arial" w:hAnsi="Arial"/>
                <w:sz w:val="20"/>
                <w:szCs w:val="20"/>
                <w:color w:val="0000FF"/>
              </w:rPr>
              <w:t>Payments</w:t>
            </w:r>
          </w:p>
        </w:tc>
        <w:tc>
          <w:tcPr>
            <w:tcW w:w="10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8.2</w:t>
            </w:r>
          </w:p>
        </w:tc>
        <w:tc>
          <w:tcPr>
            <w:tcW w:w="9320" w:type="dxa"/>
            <w:vAlign w:val="bottom"/>
          </w:tcPr>
          <w:p>
            <w:pPr>
              <w:ind w:left="460"/>
              <w:spacing w:after="0"/>
              <w:rPr>
                <w:sz w:val="20"/>
                <w:szCs w:val="20"/>
                <w:color w:val="auto"/>
              </w:rPr>
            </w:pPr>
            <w:r>
              <w:rPr>
                <w:rFonts w:ascii="Arial" w:cs="Arial" w:eastAsia="Arial" w:hAnsi="Arial"/>
                <w:sz w:val="20"/>
                <w:szCs w:val="20"/>
                <w:color w:val="0000FF"/>
              </w:rPr>
              <w:t>Covenants</w:t>
            </w:r>
          </w:p>
        </w:tc>
        <w:tc>
          <w:tcPr>
            <w:tcW w:w="10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8.3</w:t>
            </w:r>
          </w:p>
        </w:tc>
        <w:tc>
          <w:tcPr>
            <w:tcW w:w="9320" w:type="dxa"/>
            <w:vAlign w:val="bottom"/>
          </w:tcPr>
          <w:p>
            <w:pPr>
              <w:ind w:left="460"/>
              <w:spacing w:after="0"/>
              <w:rPr>
                <w:sz w:val="20"/>
                <w:szCs w:val="20"/>
                <w:color w:val="auto"/>
              </w:rPr>
            </w:pPr>
            <w:r>
              <w:rPr>
                <w:rFonts w:ascii="Arial" w:cs="Arial" w:eastAsia="Arial" w:hAnsi="Arial"/>
                <w:sz w:val="20"/>
                <w:szCs w:val="20"/>
                <w:color w:val="0000FF"/>
              </w:rPr>
              <w:t>Judgments</w:t>
            </w:r>
          </w:p>
        </w:tc>
        <w:tc>
          <w:tcPr>
            <w:tcW w:w="10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8.4</w:t>
            </w:r>
          </w:p>
        </w:tc>
        <w:tc>
          <w:tcPr>
            <w:tcW w:w="9320" w:type="dxa"/>
            <w:vAlign w:val="bottom"/>
          </w:tcPr>
          <w:p>
            <w:pPr>
              <w:ind w:left="460"/>
              <w:spacing w:after="0"/>
              <w:rPr>
                <w:sz w:val="20"/>
                <w:szCs w:val="20"/>
                <w:color w:val="auto"/>
              </w:rPr>
            </w:pPr>
            <w:r>
              <w:rPr>
                <w:rFonts w:ascii="Arial" w:cs="Arial" w:eastAsia="Arial" w:hAnsi="Arial"/>
                <w:sz w:val="20"/>
                <w:szCs w:val="20"/>
                <w:color w:val="0000FF"/>
              </w:rPr>
              <w:t>Voluntary Bankruptcy, etc</w:t>
            </w:r>
          </w:p>
        </w:tc>
        <w:tc>
          <w:tcPr>
            <w:tcW w:w="10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8.5</w:t>
            </w:r>
          </w:p>
        </w:tc>
        <w:tc>
          <w:tcPr>
            <w:tcW w:w="9320" w:type="dxa"/>
            <w:vAlign w:val="bottom"/>
          </w:tcPr>
          <w:p>
            <w:pPr>
              <w:ind w:left="460"/>
              <w:spacing w:after="0"/>
              <w:rPr>
                <w:sz w:val="20"/>
                <w:szCs w:val="20"/>
                <w:color w:val="auto"/>
              </w:rPr>
            </w:pPr>
            <w:r>
              <w:rPr>
                <w:rFonts w:ascii="Arial" w:cs="Arial" w:eastAsia="Arial" w:hAnsi="Arial"/>
                <w:sz w:val="20"/>
                <w:szCs w:val="20"/>
                <w:color w:val="0000FF"/>
              </w:rPr>
              <w:t>Involuntary Bankruptcy, etc</w:t>
            </w:r>
          </w:p>
        </w:tc>
        <w:tc>
          <w:tcPr>
            <w:tcW w:w="10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8.6</w:t>
            </w:r>
          </w:p>
        </w:tc>
        <w:tc>
          <w:tcPr>
            <w:tcW w:w="9320" w:type="dxa"/>
            <w:vAlign w:val="bottom"/>
          </w:tcPr>
          <w:p>
            <w:pPr>
              <w:ind w:left="460"/>
              <w:spacing w:after="0"/>
              <w:rPr>
                <w:sz w:val="20"/>
                <w:szCs w:val="20"/>
                <w:color w:val="auto"/>
              </w:rPr>
            </w:pPr>
            <w:r>
              <w:rPr>
                <w:rFonts w:ascii="Arial" w:cs="Arial" w:eastAsia="Arial" w:hAnsi="Arial"/>
                <w:sz w:val="20"/>
                <w:szCs w:val="20"/>
                <w:color w:val="0000FF"/>
              </w:rPr>
              <w:t>Default Under Other Agreements</w:t>
            </w:r>
          </w:p>
        </w:tc>
        <w:tc>
          <w:tcPr>
            <w:tcW w:w="10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8.7</w:t>
            </w:r>
          </w:p>
        </w:tc>
        <w:tc>
          <w:tcPr>
            <w:tcW w:w="9320" w:type="dxa"/>
            <w:vAlign w:val="bottom"/>
          </w:tcPr>
          <w:p>
            <w:pPr>
              <w:ind w:left="460"/>
              <w:spacing w:after="0"/>
              <w:rPr>
                <w:sz w:val="20"/>
                <w:szCs w:val="20"/>
                <w:color w:val="auto"/>
              </w:rPr>
            </w:pPr>
            <w:r>
              <w:rPr>
                <w:rFonts w:ascii="Arial" w:cs="Arial" w:eastAsia="Arial" w:hAnsi="Arial"/>
                <w:sz w:val="20"/>
                <w:szCs w:val="20"/>
                <w:color w:val="0000FF"/>
              </w:rPr>
              <w:t>Representations, etc</w:t>
            </w:r>
          </w:p>
        </w:tc>
        <w:tc>
          <w:tcPr>
            <w:tcW w:w="10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8.8</w:t>
            </w:r>
          </w:p>
        </w:tc>
        <w:tc>
          <w:tcPr>
            <w:tcW w:w="9320" w:type="dxa"/>
            <w:vAlign w:val="bottom"/>
          </w:tcPr>
          <w:p>
            <w:pPr>
              <w:ind w:left="460"/>
              <w:spacing w:after="0"/>
              <w:rPr>
                <w:sz w:val="20"/>
                <w:szCs w:val="20"/>
                <w:color w:val="auto"/>
              </w:rPr>
            </w:pPr>
            <w:r>
              <w:rPr>
                <w:rFonts w:ascii="Arial" w:cs="Arial" w:eastAsia="Arial" w:hAnsi="Arial"/>
                <w:sz w:val="20"/>
                <w:szCs w:val="20"/>
                <w:color w:val="0000FF"/>
              </w:rPr>
              <w:t>Guaranty</w:t>
            </w:r>
          </w:p>
        </w:tc>
        <w:tc>
          <w:tcPr>
            <w:tcW w:w="10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8.9</w:t>
            </w:r>
          </w:p>
        </w:tc>
        <w:tc>
          <w:tcPr>
            <w:tcW w:w="9320" w:type="dxa"/>
            <w:vAlign w:val="bottom"/>
          </w:tcPr>
          <w:p>
            <w:pPr>
              <w:ind w:left="460"/>
              <w:spacing w:after="0"/>
              <w:rPr>
                <w:sz w:val="20"/>
                <w:szCs w:val="20"/>
                <w:color w:val="auto"/>
              </w:rPr>
            </w:pPr>
            <w:r>
              <w:rPr>
                <w:rFonts w:ascii="Arial" w:cs="Arial" w:eastAsia="Arial" w:hAnsi="Arial"/>
                <w:sz w:val="20"/>
                <w:szCs w:val="20"/>
                <w:color w:val="0000FF"/>
              </w:rPr>
              <w:t>Security Documents</w:t>
            </w:r>
          </w:p>
        </w:tc>
        <w:tc>
          <w:tcPr>
            <w:tcW w:w="10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8.10</w:t>
            </w:r>
          </w:p>
        </w:tc>
        <w:tc>
          <w:tcPr>
            <w:tcW w:w="9320" w:type="dxa"/>
            <w:vAlign w:val="bottom"/>
          </w:tcPr>
          <w:p>
            <w:pPr>
              <w:ind w:left="460"/>
              <w:spacing w:after="0"/>
              <w:rPr>
                <w:sz w:val="20"/>
                <w:szCs w:val="20"/>
                <w:color w:val="auto"/>
              </w:rPr>
            </w:pPr>
            <w:r>
              <w:rPr>
                <w:rFonts w:ascii="Arial" w:cs="Arial" w:eastAsia="Arial" w:hAnsi="Arial"/>
                <w:sz w:val="20"/>
                <w:szCs w:val="20"/>
                <w:color w:val="0000FF"/>
              </w:rPr>
              <w:t>Loan Documents</w:t>
            </w:r>
          </w:p>
        </w:tc>
        <w:tc>
          <w:tcPr>
            <w:tcW w:w="10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8.11</w:t>
            </w:r>
          </w:p>
        </w:tc>
        <w:tc>
          <w:tcPr>
            <w:tcW w:w="9320" w:type="dxa"/>
            <w:vAlign w:val="bottom"/>
          </w:tcPr>
          <w:p>
            <w:pPr>
              <w:ind w:left="460"/>
              <w:spacing w:after="0"/>
              <w:rPr>
                <w:sz w:val="20"/>
                <w:szCs w:val="20"/>
                <w:color w:val="auto"/>
              </w:rPr>
            </w:pPr>
            <w:r>
              <w:rPr>
                <w:rFonts w:ascii="Arial" w:cs="Arial" w:eastAsia="Arial" w:hAnsi="Arial"/>
                <w:sz w:val="20"/>
                <w:szCs w:val="20"/>
                <w:color w:val="0000FF"/>
              </w:rPr>
              <w:t>Change of Control</w:t>
            </w:r>
          </w:p>
        </w:tc>
        <w:tc>
          <w:tcPr>
            <w:tcW w:w="10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8.12</w:t>
            </w:r>
          </w:p>
        </w:tc>
        <w:tc>
          <w:tcPr>
            <w:tcW w:w="9320" w:type="dxa"/>
            <w:vAlign w:val="bottom"/>
          </w:tcPr>
          <w:p>
            <w:pPr>
              <w:ind w:left="460"/>
              <w:spacing w:after="0"/>
              <w:rPr>
                <w:sz w:val="20"/>
                <w:szCs w:val="20"/>
                <w:color w:val="auto"/>
              </w:rPr>
            </w:pPr>
            <w:r>
              <w:rPr>
                <w:rFonts w:ascii="Arial" w:cs="Arial" w:eastAsia="Arial" w:hAnsi="Arial"/>
                <w:sz w:val="20"/>
                <w:szCs w:val="20"/>
                <w:color w:val="0000FF"/>
              </w:rPr>
              <w:t>ERISA</w:t>
            </w:r>
          </w:p>
        </w:tc>
        <w:tc>
          <w:tcPr>
            <w:tcW w:w="10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9.</w:t>
            </w:r>
          </w:p>
        </w:tc>
        <w:tc>
          <w:tcPr>
            <w:tcW w:w="9320" w:type="dxa"/>
            <w:vAlign w:val="bottom"/>
          </w:tcPr>
          <w:p>
            <w:pPr>
              <w:ind w:left="460"/>
              <w:spacing w:after="0"/>
              <w:rPr>
                <w:sz w:val="20"/>
                <w:szCs w:val="20"/>
                <w:color w:val="auto"/>
              </w:rPr>
            </w:pPr>
            <w:r>
              <w:rPr>
                <w:rFonts w:ascii="Arial" w:cs="Arial" w:eastAsia="Arial" w:hAnsi="Arial"/>
                <w:sz w:val="20"/>
                <w:szCs w:val="20"/>
                <w:color w:val="0000FF"/>
              </w:rPr>
              <w:t>RIGHTS AND REMEDIES.</w:t>
            </w:r>
          </w:p>
        </w:tc>
        <w:tc>
          <w:tcPr>
            <w:tcW w:w="10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9.1</w:t>
            </w:r>
          </w:p>
        </w:tc>
        <w:tc>
          <w:tcPr>
            <w:tcW w:w="9320" w:type="dxa"/>
            <w:vAlign w:val="bottom"/>
          </w:tcPr>
          <w:p>
            <w:pPr>
              <w:ind w:left="460"/>
              <w:spacing w:after="0"/>
              <w:rPr>
                <w:sz w:val="20"/>
                <w:szCs w:val="20"/>
                <w:color w:val="auto"/>
              </w:rPr>
            </w:pPr>
            <w:r>
              <w:rPr>
                <w:rFonts w:ascii="Arial" w:cs="Arial" w:eastAsia="Arial" w:hAnsi="Arial"/>
                <w:sz w:val="20"/>
                <w:szCs w:val="20"/>
                <w:color w:val="0000FF"/>
              </w:rPr>
              <w:t>Rights and Remedies</w:t>
            </w:r>
          </w:p>
        </w:tc>
        <w:tc>
          <w:tcPr>
            <w:tcW w:w="10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9.2</w:t>
            </w:r>
          </w:p>
        </w:tc>
        <w:tc>
          <w:tcPr>
            <w:tcW w:w="9320" w:type="dxa"/>
            <w:vAlign w:val="bottom"/>
          </w:tcPr>
          <w:p>
            <w:pPr>
              <w:ind w:left="460"/>
              <w:spacing w:after="0"/>
              <w:rPr>
                <w:sz w:val="20"/>
                <w:szCs w:val="20"/>
                <w:color w:val="auto"/>
              </w:rPr>
            </w:pPr>
            <w:r>
              <w:rPr>
                <w:rFonts w:ascii="Arial" w:cs="Arial" w:eastAsia="Arial" w:hAnsi="Arial"/>
                <w:sz w:val="20"/>
                <w:szCs w:val="20"/>
                <w:color w:val="0000FF"/>
              </w:rPr>
              <w:t>Remedies Cumulative</w:t>
            </w:r>
          </w:p>
        </w:tc>
        <w:tc>
          <w:tcPr>
            <w:tcW w:w="10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10.</w:t>
            </w:r>
          </w:p>
        </w:tc>
        <w:tc>
          <w:tcPr>
            <w:tcW w:w="9320" w:type="dxa"/>
            <w:vAlign w:val="bottom"/>
          </w:tcPr>
          <w:p>
            <w:pPr>
              <w:ind w:left="460"/>
              <w:spacing w:after="0"/>
              <w:rPr>
                <w:sz w:val="20"/>
                <w:szCs w:val="20"/>
                <w:color w:val="auto"/>
              </w:rPr>
            </w:pPr>
            <w:r>
              <w:rPr>
                <w:rFonts w:ascii="Arial" w:cs="Arial" w:eastAsia="Arial" w:hAnsi="Arial"/>
                <w:sz w:val="20"/>
                <w:szCs w:val="20"/>
                <w:color w:val="0000FF"/>
              </w:rPr>
              <w:t>WAIVERS; INDEMNIFICATION.</w:t>
            </w:r>
          </w:p>
        </w:tc>
        <w:tc>
          <w:tcPr>
            <w:tcW w:w="10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10.1</w:t>
            </w:r>
          </w:p>
        </w:tc>
        <w:tc>
          <w:tcPr>
            <w:tcW w:w="9320" w:type="dxa"/>
            <w:vAlign w:val="bottom"/>
          </w:tcPr>
          <w:p>
            <w:pPr>
              <w:ind w:left="460"/>
              <w:spacing w:after="0"/>
              <w:rPr>
                <w:sz w:val="20"/>
                <w:szCs w:val="20"/>
                <w:color w:val="auto"/>
              </w:rPr>
            </w:pPr>
            <w:r>
              <w:rPr>
                <w:rFonts w:ascii="Arial" w:cs="Arial" w:eastAsia="Arial" w:hAnsi="Arial"/>
                <w:sz w:val="20"/>
                <w:szCs w:val="20"/>
                <w:color w:val="0000FF"/>
              </w:rPr>
              <w:t>Demand; Protest; Etc</w:t>
            </w:r>
          </w:p>
        </w:tc>
        <w:tc>
          <w:tcPr>
            <w:tcW w:w="10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10.2</w:t>
            </w:r>
          </w:p>
        </w:tc>
        <w:tc>
          <w:tcPr>
            <w:tcW w:w="9320" w:type="dxa"/>
            <w:vAlign w:val="bottom"/>
          </w:tcPr>
          <w:p>
            <w:pPr>
              <w:ind w:left="460"/>
              <w:spacing w:after="0"/>
              <w:rPr>
                <w:sz w:val="20"/>
                <w:szCs w:val="20"/>
                <w:color w:val="auto"/>
              </w:rPr>
            </w:pPr>
            <w:r>
              <w:rPr>
                <w:rFonts w:ascii="Arial" w:cs="Arial" w:eastAsia="Arial" w:hAnsi="Arial"/>
                <w:sz w:val="20"/>
                <w:szCs w:val="20"/>
                <w:color w:val="0000FF"/>
              </w:rPr>
              <w:t>The Lender Group’s Liability for Collateral</w:t>
            </w:r>
          </w:p>
        </w:tc>
        <w:tc>
          <w:tcPr>
            <w:tcW w:w="10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10.3</w:t>
            </w:r>
          </w:p>
        </w:tc>
        <w:tc>
          <w:tcPr>
            <w:tcW w:w="9320" w:type="dxa"/>
            <w:vAlign w:val="bottom"/>
          </w:tcPr>
          <w:p>
            <w:pPr>
              <w:ind w:left="460"/>
              <w:spacing w:after="0"/>
              <w:rPr>
                <w:sz w:val="20"/>
                <w:szCs w:val="20"/>
                <w:color w:val="auto"/>
              </w:rPr>
            </w:pPr>
            <w:r>
              <w:rPr>
                <w:rFonts w:ascii="Arial" w:cs="Arial" w:eastAsia="Arial" w:hAnsi="Arial"/>
                <w:sz w:val="20"/>
                <w:szCs w:val="20"/>
                <w:color w:val="0000FF"/>
              </w:rPr>
              <w:t>Indemnification</w:t>
            </w:r>
          </w:p>
        </w:tc>
        <w:tc>
          <w:tcPr>
            <w:tcW w:w="108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11.</w:t>
            </w:r>
          </w:p>
        </w:tc>
        <w:tc>
          <w:tcPr>
            <w:tcW w:w="9320" w:type="dxa"/>
            <w:vAlign w:val="bottom"/>
          </w:tcPr>
          <w:p>
            <w:pPr>
              <w:ind w:left="460"/>
              <w:spacing w:after="0"/>
              <w:rPr>
                <w:sz w:val="20"/>
                <w:szCs w:val="20"/>
                <w:color w:val="auto"/>
              </w:rPr>
            </w:pPr>
            <w:r>
              <w:rPr>
                <w:rFonts w:ascii="Arial" w:cs="Arial" w:eastAsia="Arial" w:hAnsi="Arial"/>
                <w:sz w:val="20"/>
                <w:szCs w:val="20"/>
                <w:color w:val="0000FF"/>
              </w:rPr>
              <w:t>NOTICES.</w:t>
            </w:r>
          </w:p>
        </w:tc>
        <w:tc>
          <w:tcPr>
            <w:tcW w:w="108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12.</w:t>
            </w:r>
          </w:p>
        </w:tc>
        <w:tc>
          <w:tcPr>
            <w:tcW w:w="9320" w:type="dxa"/>
            <w:vAlign w:val="bottom"/>
          </w:tcPr>
          <w:p>
            <w:pPr>
              <w:ind w:left="460"/>
              <w:spacing w:after="0"/>
              <w:rPr>
                <w:sz w:val="20"/>
                <w:szCs w:val="20"/>
                <w:color w:val="auto"/>
              </w:rPr>
            </w:pPr>
            <w:r>
              <w:rPr>
                <w:rFonts w:ascii="Arial" w:cs="Arial" w:eastAsia="Arial" w:hAnsi="Arial"/>
                <w:sz w:val="20"/>
                <w:szCs w:val="20"/>
                <w:color w:val="0000FF"/>
              </w:rPr>
              <w:t>CHOICE OF LAW AND VENUE; JURY TRIAL WAIVER; JUDICIAL REFERENCE PROVISION.</w:t>
            </w:r>
          </w:p>
        </w:tc>
        <w:tc>
          <w:tcPr>
            <w:tcW w:w="108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13.</w:t>
            </w:r>
          </w:p>
        </w:tc>
        <w:tc>
          <w:tcPr>
            <w:tcW w:w="9320" w:type="dxa"/>
            <w:vAlign w:val="bottom"/>
          </w:tcPr>
          <w:p>
            <w:pPr>
              <w:ind w:left="460"/>
              <w:spacing w:after="0"/>
              <w:rPr>
                <w:sz w:val="20"/>
                <w:szCs w:val="20"/>
                <w:color w:val="auto"/>
              </w:rPr>
            </w:pPr>
            <w:r>
              <w:rPr>
                <w:rFonts w:ascii="Arial" w:cs="Arial" w:eastAsia="Arial" w:hAnsi="Arial"/>
                <w:sz w:val="20"/>
                <w:szCs w:val="20"/>
                <w:color w:val="0000FF"/>
              </w:rPr>
              <w:t>ASSIGNMENTS AND PARTICIPATIONS; SUCCESSORS.</w:t>
            </w:r>
          </w:p>
        </w:tc>
        <w:tc>
          <w:tcPr>
            <w:tcW w:w="108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13.1</w:t>
            </w:r>
          </w:p>
        </w:tc>
        <w:tc>
          <w:tcPr>
            <w:tcW w:w="9320" w:type="dxa"/>
            <w:vAlign w:val="bottom"/>
          </w:tcPr>
          <w:p>
            <w:pPr>
              <w:ind w:left="460"/>
              <w:spacing w:after="0"/>
              <w:rPr>
                <w:sz w:val="20"/>
                <w:szCs w:val="20"/>
                <w:color w:val="auto"/>
              </w:rPr>
            </w:pPr>
            <w:r>
              <w:rPr>
                <w:rFonts w:ascii="Arial" w:cs="Arial" w:eastAsia="Arial" w:hAnsi="Arial"/>
                <w:sz w:val="20"/>
                <w:szCs w:val="20"/>
                <w:color w:val="0000FF"/>
              </w:rPr>
              <w:t>Assignments and Participations</w:t>
            </w:r>
          </w:p>
        </w:tc>
        <w:tc>
          <w:tcPr>
            <w:tcW w:w="108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13.2</w:t>
            </w:r>
          </w:p>
        </w:tc>
        <w:tc>
          <w:tcPr>
            <w:tcW w:w="9320" w:type="dxa"/>
            <w:vAlign w:val="bottom"/>
          </w:tcPr>
          <w:p>
            <w:pPr>
              <w:ind w:left="460"/>
              <w:spacing w:after="0"/>
              <w:rPr>
                <w:sz w:val="20"/>
                <w:szCs w:val="20"/>
                <w:color w:val="auto"/>
              </w:rPr>
            </w:pPr>
            <w:r>
              <w:rPr>
                <w:rFonts w:ascii="Arial" w:cs="Arial" w:eastAsia="Arial" w:hAnsi="Arial"/>
                <w:sz w:val="20"/>
                <w:szCs w:val="20"/>
                <w:color w:val="0000FF"/>
              </w:rPr>
              <w:t>Successors</w:t>
            </w:r>
          </w:p>
        </w:tc>
        <w:tc>
          <w:tcPr>
            <w:tcW w:w="108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14.</w:t>
            </w:r>
          </w:p>
        </w:tc>
        <w:tc>
          <w:tcPr>
            <w:tcW w:w="9320" w:type="dxa"/>
            <w:vAlign w:val="bottom"/>
          </w:tcPr>
          <w:p>
            <w:pPr>
              <w:ind w:left="460"/>
              <w:spacing w:after="0"/>
              <w:rPr>
                <w:sz w:val="20"/>
                <w:szCs w:val="20"/>
                <w:color w:val="auto"/>
              </w:rPr>
            </w:pPr>
            <w:r>
              <w:rPr>
                <w:rFonts w:ascii="Arial" w:cs="Arial" w:eastAsia="Arial" w:hAnsi="Arial"/>
                <w:sz w:val="20"/>
                <w:szCs w:val="20"/>
                <w:color w:val="0000FF"/>
              </w:rPr>
              <w:t>AMENDMENTS; WAIVERS.</w:t>
            </w:r>
          </w:p>
        </w:tc>
        <w:tc>
          <w:tcPr>
            <w:tcW w:w="108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14.1</w:t>
            </w:r>
          </w:p>
        </w:tc>
        <w:tc>
          <w:tcPr>
            <w:tcW w:w="9320" w:type="dxa"/>
            <w:vAlign w:val="bottom"/>
          </w:tcPr>
          <w:p>
            <w:pPr>
              <w:ind w:left="460"/>
              <w:spacing w:after="0"/>
              <w:rPr>
                <w:sz w:val="20"/>
                <w:szCs w:val="20"/>
                <w:color w:val="auto"/>
              </w:rPr>
            </w:pPr>
            <w:r>
              <w:rPr>
                <w:rFonts w:ascii="Arial" w:cs="Arial" w:eastAsia="Arial" w:hAnsi="Arial"/>
                <w:sz w:val="20"/>
                <w:szCs w:val="20"/>
                <w:color w:val="0000FF"/>
              </w:rPr>
              <w:t>Amendments and Waivers</w:t>
            </w:r>
          </w:p>
        </w:tc>
        <w:tc>
          <w:tcPr>
            <w:tcW w:w="108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14.2</w:t>
            </w:r>
          </w:p>
        </w:tc>
        <w:tc>
          <w:tcPr>
            <w:tcW w:w="9320" w:type="dxa"/>
            <w:vAlign w:val="bottom"/>
          </w:tcPr>
          <w:p>
            <w:pPr>
              <w:ind w:left="460"/>
              <w:spacing w:after="0"/>
              <w:rPr>
                <w:sz w:val="20"/>
                <w:szCs w:val="20"/>
                <w:color w:val="auto"/>
              </w:rPr>
            </w:pPr>
            <w:r>
              <w:rPr>
                <w:rFonts w:ascii="Arial" w:cs="Arial" w:eastAsia="Arial" w:hAnsi="Arial"/>
                <w:sz w:val="20"/>
                <w:szCs w:val="20"/>
                <w:color w:val="0000FF"/>
              </w:rPr>
              <w:t>Replacement of Certain Lenders</w:t>
            </w:r>
          </w:p>
        </w:tc>
        <w:tc>
          <w:tcPr>
            <w:tcW w:w="108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14.3</w:t>
            </w:r>
          </w:p>
        </w:tc>
        <w:tc>
          <w:tcPr>
            <w:tcW w:w="9320" w:type="dxa"/>
            <w:vAlign w:val="bottom"/>
          </w:tcPr>
          <w:p>
            <w:pPr>
              <w:ind w:left="460"/>
              <w:spacing w:after="0"/>
              <w:rPr>
                <w:sz w:val="20"/>
                <w:szCs w:val="20"/>
                <w:color w:val="auto"/>
              </w:rPr>
            </w:pPr>
            <w:r>
              <w:rPr>
                <w:rFonts w:ascii="Arial" w:cs="Arial" w:eastAsia="Arial" w:hAnsi="Arial"/>
                <w:sz w:val="20"/>
                <w:szCs w:val="20"/>
                <w:color w:val="0000FF"/>
              </w:rPr>
              <w:t>No Waivers; Cumulative Remedies</w:t>
            </w:r>
          </w:p>
        </w:tc>
        <w:tc>
          <w:tcPr>
            <w:tcW w:w="108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15.</w:t>
            </w:r>
          </w:p>
        </w:tc>
        <w:tc>
          <w:tcPr>
            <w:tcW w:w="9320" w:type="dxa"/>
            <w:vAlign w:val="bottom"/>
          </w:tcPr>
          <w:p>
            <w:pPr>
              <w:ind w:left="460"/>
              <w:spacing w:after="0"/>
              <w:rPr>
                <w:sz w:val="20"/>
                <w:szCs w:val="20"/>
                <w:color w:val="auto"/>
              </w:rPr>
            </w:pPr>
            <w:r>
              <w:rPr>
                <w:rFonts w:ascii="Arial" w:cs="Arial" w:eastAsia="Arial" w:hAnsi="Arial"/>
                <w:sz w:val="20"/>
                <w:szCs w:val="20"/>
                <w:color w:val="0000FF"/>
              </w:rPr>
              <w:t>AGENT; THE LENDER GROUP.</w:t>
            </w:r>
          </w:p>
        </w:tc>
        <w:tc>
          <w:tcPr>
            <w:tcW w:w="108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15.1</w:t>
            </w:r>
          </w:p>
        </w:tc>
        <w:tc>
          <w:tcPr>
            <w:tcW w:w="9320" w:type="dxa"/>
            <w:vAlign w:val="bottom"/>
          </w:tcPr>
          <w:p>
            <w:pPr>
              <w:ind w:left="460"/>
              <w:spacing w:after="0"/>
              <w:rPr>
                <w:sz w:val="20"/>
                <w:szCs w:val="20"/>
                <w:color w:val="auto"/>
              </w:rPr>
            </w:pPr>
            <w:r>
              <w:rPr>
                <w:rFonts w:ascii="Arial" w:cs="Arial" w:eastAsia="Arial" w:hAnsi="Arial"/>
                <w:sz w:val="20"/>
                <w:szCs w:val="20"/>
                <w:color w:val="0000FF"/>
              </w:rPr>
              <w:t>Appointment and Authorization of Agent</w:t>
            </w:r>
          </w:p>
        </w:tc>
        <w:tc>
          <w:tcPr>
            <w:tcW w:w="108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15.2</w:t>
            </w:r>
          </w:p>
        </w:tc>
        <w:tc>
          <w:tcPr>
            <w:tcW w:w="9320" w:type="dxa"/>
            <w:vAlign w:val="bottom"/>
          </w:tcPr>
          <w:p>
            <w:pPr>
              <w:ind w:left="460"/>
              <w:spacing w:after="0"/>
              <w:rPr>
                <w:sz w:val="20"/>
                <w:szCs w:val="20"/>
                <w:color w:val="auto"/>
              </w:rPr>
            </w:pPr>
            <w:r>
              <w:rPr>
                <w:rFonts w:ascii="Arial" w:cs="Arial" w:eastAsia="Arial" w:hAnsi="Arial"/>
                <w:sz w:val="20"/>
                <w:szCs w:val="20"/>
                <w:color w:val="0000FF"/>
              </w:rPr>
              <w:t>Delegation of Duties</w:t>
            </w:r>
          </w:p>
        </w:tc>
        <w:tc>
          <w:tcPr>
            <w:tcW w:w="108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364"/>
        </w:trPr>
        <w:tc>
          <w:tcPr>
            <w:tcW w:w="800" w:type="dxa"/>
            <w:vAlign w:val="bottom"/>
          </w:tcPr>
          <w:p>
            <w:pPr>
              <w:spacing w:after="0"/>
              <w:rPr>
                <w:sz w:val="20"/>
                <w:szCs w:val="20"/>
                <w:color w:val="auto"/>
              </w:rPr>
            </w:pPr>
            <w:r>
              <w:rPr>
                <w:rFonts w:ascii="Arial" w:cs="Arial" w:eastAsia="Arial" w:hAnsi="Arial"/>
                <w:sz w:val="20"/>
                <w:szCs w:val="20"/>
                <w:color w:val="0000FF"/>
              </w:rPr>
              <w:t>15.3</w:t>
            </w:r>
          </w:p>
        </w:tc>
        <w:tc>
          <w:tcPr>
            <w:tcW w:w="9320" w:type="dxa"/>
            <w:vAlign w:val="bottom"/>
          </w:tcPr>
          <w:p>
            <w:pPr>
              <w:ind w:left="460"/>
              <w:spacing w:after="0"/>
              <w:rPr>
                <w:sz w:val="20"/>
                <w:szCs w:val="20"/>
                <w:color w:val="auto"/>
              </w:rPr>
            </w:pPr>
            <w:r>
              <w:rPr>
                <w:rFonts w:ascii="Arial" w:cs="Arial" w:eastAsia="Arial" w:hAnsi="Arial"/>
                <w:sz w:val="20"/>
                <w:szCs w:val="20"/>
                <w:color w:val="0000FF"/>
              </w:rPr>
              <w:t>Liability of Agent</w:t>
            </w:r>
          </w:p>
        </w:tc>
        <w:tc>
          <w:tcPr>
            <w:tcW w:w="1080" w:type="dxa"/>
            <w:vAlign w:val="bottom"/>
          </w:tcPr>
          <w:p>
            <w:pPr>
              <w:jc w:val="right"/>
              <w:spacing w:after="0"/>
              <w:rPr>
                <w:sz w:val="20"/>
                <w:szCs w:val="20"/>
                <w:color w:val="auto"/>
              </w:rPr>
            </w:pPr>
            <w:r>
              <w:rPr>
                <w:rFonts w:ascii="Arial" w:cs="Arial" w:eastAsia="Arial" w:hAnsi="Arial"/>
                <w:sz w:val="20"/>
                <w:szCs w:val="20"/>
                <w:color w:val="auto"/>
              </w:rPr>
              <w:t>134</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0"/>
        </w:trPr>
        <w:tc>
          <w:tcPr>
            <w:tcW w:w="860" w:type="dxa"/>
            <w:vAlign w:val="bottom"/>
          </w:tcPr>
          <w:p>
            <w:pPr>
              <w:spacing w:after="0"/>
              <w:rPr>
                <w:sz w:val="20"/>
                <w:szCs w:val="20"/>
                <w:color w:val="auto"/>
              </w:rPr>
            </w:pPr>
            <w:r>
              <w:rPr>
                <w:rFonts w:ascii="Arial" w:cs="Arial" w:eastAsia="Arial" w:hAnsi="Arial"/>
                <w:sz w:val="20"/>
                <w:szCs w:val="20"/>
                <w:color w:val="0000FF"/>
              </w:rPr>
              <w:t>15.4</w:t>
            </w:r>
          </w:p>
        </w:tc>
        <w:tc>
          <w:tcPr>
            <w:tcW w:w="9200" w:type="dxa"/>
            <w:vAlign w:val="bottom"/>
          </w:tcPr>
          <w:p>
            <w:pPr>
              <w:ind w:left="400"/>
              <w:spacing w:after="0"/>
              <w:rPr>
                <w:sz w:val="20"/>
                <w:szCs w:val="20"/>
                <w:color w:val="auto"/>
              </w:rPr>
            </w:pPr>
            <w:r>
              <w:rPr>
                <w:rFonts w:ascii="Arial" w:cs="Arial" w:eastAsia="Arial" w:hAnsi="Arial"/>
                <w:sz w:val="20"/>
                <w:szCs w:val="20"/>
                <w:color w:val="0000FF"/>
              </w:rPr>
              <w:t>Reliance by Agent</w:t>
            </w:r>
          </w:p>
        </w:tc>
        <w:tc>
          <w:tcPr>
            <w:tcW w:w="114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15.5</w:t>
            </w:r>
          </w:p>
        </w:tc>
        <w:tc>
          <w:tcPr>
            <w:tcW w:w="9200" w:type="dxa"/>
            <w:vAlign w:val="bottom"/>
          </w:tcPr>
          <w:p>
            <w:pPr>
              <w:ind w:left="400"/>
              <w:spacing w:after="0"/>
              <w:rPr>
                <w:sz w:val="20"/>
                <w:szCs w:val="20"/>
                <w:color w:val="auto"/>
              </w:rPr>
            </w:pPr>
            <w:r>
              <w:rPr>
                <w:rFonts w:ascii="Arial" w:cs="Arial" w:eastAsia="Arial" w:hAnsi="Arial"/>
                <w:sz w:val="20"/>
                <w:szCs w:val="20"/>
                <w:color w:val="0000FF"/>
              </w:rPr>
              <w:t>Notice of Default or Event of Default</w:t>
            </w:r>
          </w:p>
        </w:tc>
        <w:tc>
          <w:tcPr>
            <w:tcW w:w="114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15.6</w:t>
            </w:r>
          </w:p>
        </w:tc>
        <w:tc>
          <w:tcPr>
            <w:tcW w:w="9200" w:type="dxa"/>
            <w:vAlign w:val="bottom"/>
          </w:tcPr>
          <w:p>
            <w:pPr>
              <w:ind w:left="400"/>
              <w:spacing w:after="0"/>
              <w:rPr>
                <w:sz w:val="20"/>
                <w:szCs w:val="20"/>
                <w:color w:val="auto"/>
              </w:rPr>
            </w:pPr>
            <w:r>
              <w:rPr>
                <w:rFonts w:ascii="Arial" w:cs="Arial" w:eastAsia="Arial" w:hAnsi="Arial"/>
                <w:sz w:val="20"/>
                <w:szCs w:val="20"/>
                <w:color w:val="0000FF"/>
              </w:rPr>
              <w:t>Credit Decision</w:t>
            </w:r>
          </w:p>
        </w:tc>
        <w:tc>
          <w:tcPr>
            <w:tcW w:w="114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15.7</w:t>
            </w:r>
          </w:p>
        </w:tc>
        <w:tc>
          <w:tcPr>
            <w:tcW w:w="9200" w:type="dxa"/>
            <w:vAlign w:val="bottom"/>
          </w:tcPr>
          <w:p>
            <w:pPr>
              <w:ind w:left="400"/>
              <w:spacing w:after="0"/>
              <w:rPr>
                <w:sz w:val="20"/>
                <w:szCs w:val="20"/>
                <w:color w:val="auto"/>
              </w:rPr>
            </w:pPr>
            <w:r>
              <w:rPr>
                <w:rFonts w:ascii="Arial" w:cs="Arial" w:eastAsia="Arial" w:hAnsi="Arial"/>
                <w:sz w:val="20"/>
                <w:szCs w:val="20"/>
                <w:color w:val="0000FF"/>
              </w:rPr>
              <w:t>Costs and Expenses; Indemnification</w:t>
            </w:r>
          </w:p>
        </w:tc>
        <w:tc>
          <w:tcPr>
            <w:tcW w:w="114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15.8</w:t>
            </w:r>
          </w:p>
        </w:tc>
        <w:tc>
          <w:tcPr>
            <w:tcW w:w="9200" w:type="dxa"/>
            <w:vAlign w:val="bottom"/>
          </w:tcPr>
          <w:p>
            <w:pPr>
              <w:ind w:left="400"/>
              <w:spacing w:after="0"/>
              <w:rPr>
                <w:sz w:val="20"/>
                <w:szCs w:val="20"/>
                <w:color w:val="auto"/>
              </w:rPr>
            </w:pPr>
            <w:r>
              <w:rPr>
                <w:rFonts w:ascii="Arial" w:cs="Arial" w:eastAsia="Arial" w:hAnsi="Arial"/>
                <w:sz w:val="20"/>
                <w:szCs w:val="20"/>
                <w:color w:val="0000FF"/>
              </w:rPr>
              <w:t>Agent in Individual Capacity</w:t>
            </w:r>
          </w:p>
        </w:tc>
        <w:tc>
          <w:tcPr>
            <w:tcW w:w="114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15.9</w:t>
            </w:r>
          </w:p>
        </w:tc>
        <w:tc>
          <w:tcPr>
            <w:tcW w:w="9200" w:type="dxa"/>
            <w:vAlign w:val="bottom"/>
          </w:tcPr>
          <w:p>
            <w:pPr>
              <w:ind w:left="400"/>
              <w:spacing w:after="0"/>
              <w:rPr>
                <w:sz w:val="20"/>
                <w:szCs w:val="20"/>
                <w:color w:val="auto"/>
              </w:rPr>
            </w:pPr>
            <w:r>
              <w:rPr>
                <w:rFonts w:ascii="Arial" w:cs="Arial" w:eastAsia="Arial" w:hAnsi="Arial"/>
                <w:sz w:val="20"/>
                <w:szCs w:val="20"/>
                <w:color w:val="0000FF"/>
              </w:rPr>
              <w:t>Successor Agent</w:t>
            </w:r>
          </w:p>
        </w:tc>
        <w:tc>
          <w:tcPr>
            <w:tcW w:w="114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15.10</w:t>
            </w:r>
          </w:p>
        </w:tc>
        <w:tc>
          <w:tcPr>
            <w:tcW w:w="9200" w:type="dxa"/>
            <w:vAlign w:val="bottom"/>
          </w:tcPr>
          <w:p>
            <w:pPr>
              <w:ind w:left="400"/>
              <w:spacing w:after="0"/>
              <w:rPr>
                <w:sz w:val="20"/>
                <w:szCs w:val="20"/>
                <w:color w:val="auto"/>
              </w:rPr>
            </w:pPr>
            <w:r>
              <w:rPr>
                <w:rFonts w:ascii="Arial" w:cs="Arial" w:eastAsia="Arial" w:hAnsi="Arial"/>
                <w:sz w:val="20"/>
                <w:szCs w:val="20"/>
                <w:color w:val="0000FF"/>
              </w:rPr>
              <w:t>Lender in Individual Capacity</w:t>
            </w:r>
          </w:p>
        </w:tc>
        <w:tc>
          <w:tcPr>
            <w:tcW w:w="114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15.11</w:t>
            </w:r>
          </w:p>
        </w:tc>
        <w:tc>
          <w:tcPr>
            <w:tcW w:w="9200" w:type="dxa"/>
            <w:vAlign w:val="bottom"/>
          </w:tcPr>
          <w:p>
            <w:pPr>
              <w:ind w:left="400"/>
              <w:spacing w:after="0"/>
              <w:rPr>
                <w:sz w:val="20"/>
                <w:szCs w:val="20"/>
                <w:color w:val="auto"/>
              </w:rPr>
            </w:pPr>
            <w:r>
              <w:rPr>
                <w:rFonts w:ascii="Arial" w:cs="Arial" w:eastAsia="Arial" w:hAnsi="Arial"/>
                <w:sz w:val="20"/>
                <w:szCs w:val="20"/>
                <w:color w:val="0000FF"/>
              </w:rPr>
              <w:t>Collateral Matters</w:t>
            </w:r>
          </w:p>
        </w:tc>
        <w:tc>
          <w:tcPr>
            <w:tcW w:w="114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15.12</w:t>
            </w:r>
          </w:p>
        </w:tc>
        <w:tc>
          <w:tcPr>
            <w:tcW w:w="9200" w:type="dxa"/>
            <w:vAlign w:val="bottom"/>
          </w:tcPr>
          <w:p>
            <w:pPr>
              <w:ind w:left="400"/>
              <w:spacing w:after="0"/>
              <w:rPr>
                <w:sz w:val="20"/>
                <w:szCs w:val="20"/>
                <w:color w:val="auto"/>
              </w:rPr>
            </w:pPr>
            <w:r>
              <w:rPr>
                <w:rFonts w:ascii="Arial" w:cs="Arial" w:eastAsia="Arial" w:hAnsi="Arial"/>
                <w:sz w:val="20"/>
                <w:szCs w:val="20"/>
                <w:color w:val="0000FF"/>
              </w:rPr>
              <w:t>Restrictions on Actions by Lenders; Sharing of Payments</w:t>
            </w:r>
          </w:p>
        </w:tc>
        <w:tc>
          <w:tcPr>
            <w:tcW w:w="114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15.13</w:t>
            </w:r>
          </w:p>
        </w:tc>
        <w:tc>
          <w:tcPr>
            <w:tcW w:w="9200" w:type="dxa"/>
            <w:vAlign w:val="bottom"/>
          </w:tcPr>
          <w:p>
            <w:pPr>
              <w:ind w:left="400"/>
              <w:spacing w:after="0"/>
              <w:rPr>
                <w:sz w:val="20"/>
                <w:szCs w:val="20"/>
                <w:color w:val="auto"/>
              </w:rPr>
            </w:pPr>
            <w:r>
              <w:rPr>
                <w:rFonts w:ascii="Arial" w:cs="Arial" w:eastAsia="Arial" w:hAnsi="Arial"/>
                <w:sz w:val="20"/>
                <w:szCs w:val="20"/>
                <w:color w:val="0000FF"/>
              </w:rPr>
              <w:t>Agency for Perfection</w:t>
            </w:r>
          </w:p>
        </w:tc>
        <w:tc>
          <w:tcPr>
            <w:tcW w:w="114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15.14</w:t>
            </w:r>
          </w:p>
        </w:tc>
        <w:tc>
          <w:tcPr>
            <w:tcW w:w="9200" w:type="dxa"/>
            <w:vAlign w:val="bottom"/>
          </w:tcPr>
          <w:p>
            <w:pPr>
              <w:ind w:left="400"/>
              <w:spacing w:after="0"/>
              <w:rPr>
                <w:sz w:val="20"/>
                <w:szCs w:val="20"/>
                <w:color w:val="auto"/>
              </w:rPr>
            </w:pPr>
            <w:r>
              <w:rPr>
                <w:rFonts w:ascii="Arial" w:cs="Arial" w:eastAsia="Arial" w:hAnsi="Arial"/>
                <w:sz w:val="20"/>
                <w:szCs w:val="20"/>
                <w:color w:val="0000FF"/>
              </w:rPr>
              <w:t>Payments by Agent to the Lenders</w:t>
            </w:r>
          </w:p>
        </w:tc>
        <w:tc>
          <w:tcPr>
            <w:tcW w:w="114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15.15</w:t>
            </w:r>
          </w:p>
        </w:tc>
        <w:tc>
          <w:tcPr>
            <w:tcW w:w="9200" w:type="dxa"/>
            <w:vAlign w:val="bottom"/>
          </w:tcPr>
          <w:p>
            <w:pPr>
              <w:ind w:left="400"/>
              <w:spacing w:after="0"/>
              <w:rPr>
                <w:sz w:val="20"/>
                <w:szCs w:val="20"/>
                <w:color w:val="auto"/>
              </w:rPr>
            </w:pPr>
            <w:r>
              <w:rPr>
                <w:rFonts w:ascii="Arial" w:cs="Arial" w:eastAsia="Arial" w:hAnsi="Arial"/>
                <w:sz w:val="20"/>
                <w:szCs w:val="20"/>
                <w:color w:val="0000FF"/>
              </w:rPr>
              <w:t>Concerning the Collateral and Related Loan Documents</w:t>
            </w:r>
          </w:p>
        </w:tc>
        <w:tc>
          <w:tcPr>
            <w:tcW w:w="114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15.16</w:t>
            </w:r>
          </w:p>
        </w:tc>
        <w:tc>
          <w:tcPr>
            <w:tcW w:w="9200" w:type="dxa"/>
            <w:vAlign w:val="bottom"/>
          </w:tcPr>
          <w:p>
            <w:pPr>
              <w:ind w:left="400"/>
              <w:spacing w:after="0"/>
              <w:rPr>
                <w:sz w:val="20"/>
                <w:szCs w:val="20"/>
                <w:color w:val="auto"/>
              </w:rPr>
            </w:pPr>
            <w:r>
              <w:rPr>
                <w:rFonts w:ascii="Arial" w:cs="Arial" w:eastAsia="Arial" w:hAnsi="Arial"/>
                <w:sz w:val="20"/>
                <w:szCs w:val="20"/>
                <w:color w:val="0000FF"/>
              </w:rPr>
              <w:t>Field Examination Reports; Confidentiality; Disclaimers by Lenders; Other Reports and Information</w:t>
            </w:r>
          </w:p>
        </w:tc>
        <w:tc>
          <w:tcPr>
            <w:tcW w:w="114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15.17</w:t>
            </w:r>
          </w:p>
        </w:tc>
        <w:tc>
          <w:tcPr>
            <w:tcW w:w="9200" w:type="dxa"/>
            <w:vAlign w:val="bottom"/>
          </w:tcPr>
          <w:p>
            <w:pPr>
              <w:ind w:left="400"/>
              <w:spacing w:after="0"/>
              <w:rPr>
                <w:sz w:val="20"/>
                <w:szCs w:val="20"/>
                <w:color w:val="auto"/>
              </w:rPr>
            </w:pPr>
            <w:r>
              <w:rPr>
                <w:rFonts w:ascii="Arial" w:cs="Arial" w:eastAsia="Arial" w:hAnsi="Arial"/>
                <w:sz w:val="20"/>
                <w:szCs w:val="20"/>
                <w:color w:val="0000FF"/>
              </w:rPr>
              <w:t>Several Obligations; No Liability</w:t>
            </w:r>
          </w:p>
        </w:tc>
        <w:tc>
          <w:tcPr>
            <w:tcW w:w="114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15.18</w:t>
            </w:r>
          </w:p>
        </w:tc>
        <w:tc>
          <w:tcPr>
            <w:tcW w:w="9200" w:type="dxa"/>
            <w:vAlign w:val="bottom"/>
          </w:tcPr>
          <w:p>
            <w:pPr>
              <w:ind w:left="400"/>
              <w:spacing w:after="0"/>
              <w:rPr>
                <w:sz w:val="20"/>
                <w:szCs w:val="20"/>
                <w:color w:val="auto"/>
              </w:rPr>
            </w:pPr>
            <w:r>
              <w:rPr>
                <w:rFonts w:ascii="Arial" w:cs="Arial" w:eastAsia="Arial" w:hAnsi="Arial"/>
                <w:sz w:val="20"/>
                <w:szCs w:val="20"/>
                <w:color w:val="0000FF"/>
              </w:rPr>
              <w:t>Joint Lead Arrangers, Joint Book Runners, and Co-Syndication Agents</w:t>
            </w:r>
          </w:p>
        </w:tc>
        <w:tc>
          <w:tcPr>
            <w:tcW w:w="114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16.</w:t>
            </w:r>
          </w:p>
        </w:tc>
        <w:tc>
          <w:tcPr>
            <w:tcW w:w="9200" w:type="dxa"/>
            <w:vAlign w:val="bottom"/>
          </w:tcPr>
          <w:p>
            <w:pPr>
              <w:ind w:left="400"/>
              <w:spacing w:after="0"/>
              <w:rPr>
                <w:sz w:val="20"/>
                <w:szCs w:val="20"/>
                <w:color w:val="auto"/>
              </w:rPr>
            </w:pPr>
            <w:r>
              <w:rPr>
                <w:rFonts w:ascii="Arial" w:cs="Arial" w:eastAsia="Arial" w:hAnsi="Arial"/>
                <w:sz w:val="20"/>
                <w:szCs w:val="20"/>
                <w:color w:val="0000FF"/>
              </w:rPr>
              <w:t>WITHHOLDING TAXES.</w:t>
            </w:r>
          </w:p>
        </w:tc>
        <w:tc>
          <w:tcPr>
            <w:tcW w:w="114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16.1</w:t>
            </w:r>
          </w:p>
        </w:tc>
        <w:tc>
          <w:tcPr>
            <w:tcW w:w="9200" w:type="dxa"/>
            <w:vAlign w:val="bottom"/>
          </w:tcPr>
          <w:p>
            <w:pPr>
              <w:ind w:left="400"/>
              <w:spacing w:after="0"/>
              <w:rPr>
                <w:sz w:val="20"/>
                <w:szCs w:val="20"/>
                <w:color w:val="auto"/>
              </w:rPr>
            </w:pPr>
            <w:r>
              <w:rPr>
                <w:rFonts w:ascii="Arial" w:cs="Arial" w:eastAsia="Arial" w:hAnsi="Arial"/>
                <w:sz w:val="20"/>
                <w:szCs w:val="20"/>
                <w:color w:val="0000FF"/>
              </w:rPr>
              <w:t>Payments</w:t>
            </w:r>
          </w:p>
        </w:tc>
        <w:tc>
          <w:tcPr>
            <w:tcW w:w="114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16.2</w:t>
            </w:r>
          </w:p>
        </w:tc>
        <w:tc>
          <w:tcPr>
            <w:tcW w:w="9200" w:type="dxa"/>
            <w:vAlign w:val="bottom"/>
          </w:tcPr>
          <w:p>
            <w:pPr>
              <w:ind w:left="400"/>
              <w:spacing w:after="0"/>
              <w:rPr>
                <w:sz w:val="20"/>
                <w:szCs w:val="20"/>
                <w:color w:val="auto"/>
              </w:rPr>
            </w:pPr>
            <w:r>
              <w:rPr>
                <w:rFonts w:ascii="Arial" w:cs="Arial" w:eastAsia="Arial" w:hAnsi="Arial"/>
                <w:sz w:val="20"/>
                <w:szCs w:val="20"/>
                <w:color w:val="0000FF"/>
              </w:rPr>
              <w:t>Exemptions</w:t>
            </w:r>
          </w:p>
        </w:tc>
        <w:tc>
          <w:tcPr>
            <w:tcW w:w="114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16.3</w:t>
            </w:r>
          </w:p>
        </w:tc>
        <w:tc>
          <w:tcPr>
            <w:tcW w:w="9200" w:type="dxa"/>
            <w:vAlign w:val="bottom"/>
          </w:tcPr>
          <w:p>
            <w:pPr>
              <w:ind w:left="400"/>
              <w:spacing w:after="0"/>
              <w:rPr>
                <w:sz w:val="20"/>
                <w:szCs w:val="20"/>
                <w:color w:val="auto"/>
              </w:rPr>
            </w:pPr>
            <w:r>
              <w:rPr>
                <w:rFonts w:ascii="Arial" w:cs="Arial" w:eastAsia="Arial" w:hAnsi="Arial"/>
                <w:sz w:val="20"/>
                <w:szCs w:val="20"/>
                <w:color w:val="0000FF"/>
              </w:rPr>
              <w:t>Reductions</w:t>
            </w:r>
          </w:p>
        </w:tc>
        <w:tc>
          <w:tcPr>
            <w:tcW w:w="1140" w:type="dxa"/>
            <w:vAlign w:val="bottom"/>
          </w:tcPr>
          <w:p>
            <w:pPr>
              <w:jc w:val="right"/>
              <w:spacing w:after="0"/>
              <w:rPr>
                <w:sz w:val="20"/>
                <w:szCs w:val="20"/>
                <w:color w:val="auto"/>
              </w:rPr>
            </w:pPr>
            <w:r>
              <w:rPr>
                <w:rFonts w:ascii="Arial" w:cs="Arial" w:eastAsia="Arial" w:hAnsi="Arial"/>
                <w:sz w:val="20"/>
                <w:szCs w:val="20"/>
                <w:color w:val="auto"/>
              </w:rPr>
              <w:t>144</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16.4</w:t>
            </w:r>
          </w:p>
        </w:tc>
        <w:tc>
          <w:tcPr>
            <w:tcW w:w="9200" w:type="dxa"/>
            <w:vAlign w:val="bottom"/>
          </w:tcPr>
          <w:p>
            <w:pPr>
              <w:ind w:left="400"/>
              <w:spacing w:after="0"/>
              <w:rPr>
                <w:sz w:val="20"/>
                <w:szCs w:val="20"/>
                <w:color w:val="auto"/>
              </w:rPr>
            </w:pPr>
            <w:r>
              <w:rPr>
                <w:rFonts w:ascii="Arial" w:cs="Arial" w:eastAsia="Arial" w:hAnsi="Arial"/>
                <w:sz w:val="20"/>
                <w:szCs w:val="20"/>
                <w:color w:val="0000FF"/>
              </w:rPr>
              <w:t>Refunds</w:t>
            </w:r>
          </w:p>
        </w:tc>
        <w:tc>
          <w:tcPr>
            <w:tcW w:w="1140" w:type="dxa"/>
            <w:vAlign w:val="bottom"/>
          </w:tcPr>
          <w:p>
            <w:pPr>
              <w:jc w:val="right"/>
              <w:spacing w:after="0"/>
              <w:rPr>
                <w:sz w:val="20"/>
                <w:szCs w:val="20"/>
                <w:color w:val="auto"/>
              </w:rPr>
            </w:pPr>
            <w:r>
              <w:rPr>
                <w:rFonts w:ascii="Arial" w:cs="Arial" w:eastAsia="Arial" w:hAnsi="Arial"/>
                <w:sz w:val="20"/>
                <w:szCs w:val="20"/>
                <w:color w:val="auto"/>
              </w:rPr>
              <w:t>144</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16.5</w:t>
            </w:r>
          </w:p>
        </w:tc>
        <w:tc>
          <w:tcPr>
            <w:tcW w:w="9200" w:type="dxa"/>
            <w:vAlign w:val="bottom"/>
          </w:tcPr>
          <w:p>
            <w:pPr>
              <w:ind w:left="400"/>
              <w:spacing w:after="0"/>
              <w:rPr>
                <w:sz w:val="20"/>
                <w:szCs w:val="20"/>
                <w:color w:val="auto"/>
              </w:rPr>
            </w:pPr>
            <w:r>
              <w:rPr>
                <w:rFonts w:ascii="Arial" w:cs="Arial" w:eastAsia="Arial" w:hAnsi="Arial"/>
                <w:sz w:val="20"/>
                <w:szCs w:val="20"/>
                <w:color w:val="0000FF"/>
              </w:rPr>
              <w:t>Designation of a Different Lending Office</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w:t>
            </w:r>
          </w:p>
        </w:tc>
        <w:tc>
          <w:tcPr>
            <w:tcW w:w="9200" w:type="dxa"/>
            <w:vAlign w:val="bottom"/>
          </w:tcPr>
          <w:p>
            <w:pPr>
              <w:ind w:left="400"/>
              <w:spacing w:after="0"/>
              <w:rPr>
                <w:sz w:val="20"/>
                <w:szCs w:val="20"/>
                <w:color w:val="auto"/>
              </w:rPr>
            </w:pPr>
            <w:r>
              <w:rPr>
                <w:rFonts w:ascii="Arial" w:cs="Arial" w:eastAsia="Arial" w:hAnsi="Arial"/>
                <w:sz w:val="20"/>
                <w:szCs w:val="20"/>
                <w:color w:val="0000FF"/>
              </w:rPr>
              <w:t>GENERAL PROVISIONS.</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17.1</w:t>
            </w:r>
          </w:p>
        </w:tc>
        <w:tc>
          <w:tcPr>
            <w:tcW w:w="9200" w:type="dxa"/>
            <w:vAlign w:val="bottom"/>
          </w:tcPr>
          <w:p>
            <w:pPr>
              <w:ind w:left="400"/>
              <w:spacing w:after="0"/>
              <w:rPr>
                <w:sz w:val="20"/>
                <w:szCs w:val="20"/>
                <w:color w:val="auto"/>
              </w:rPr>
            </w:pPr>
            <w:r>
              <w:rPr>
                <w:rFonts w:ascii="Arial" w:cs="Arial" w:eastAsia="Arial" w:hAnsi="Arial"/>
                <w:sz w:val="20"/>
                <w:szCs w:val="20"/>
                <w:color w:val="0000FF"/>
              </w:rPr>
              <w:t>Effectiveness</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17.2</w:t>
            </w:r>
          </w:p>
        </w:tc>
        <w:tc>
          <w:tcPr>
            <w:tcW w:w="9200" w:type="dxa"/>
            <w:vAlign w:val="bottom"/>
          </w:tcPr>
          <w:p>
            <w:pPr>
              <w:ind w:left="400"/>
              <w:spacing w:after="0"/>
              <w:rPr>
                <w:sz w:val="20"/>
                <w:szCs w:val="20"/>
                <w:color w:val="auto"/>
              </w:rPr>
            </w:pPr>
            <w:r>
              <w:rPr>
                <w:rFonts w:ascii="Arial" w:cs="Arial" w:eastAsia="Arial" w:hAnsi="Arial"/>
                <w:sz w:val="20"/>
                <w:szCs w:val="20"/>
                <w:color w:val="0000FF"/>
              </w:rPr>
              <w:t>Section Headings</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17.3</w:t>
            </w:r>
          </w:p>
        </w:tc>
        <w:tc>
          <w:tcPr>
            <w:tcW w:w="9200" w:type="dxa"/>
            <w:vAlign w:val="bottom"/>
          </w:tcPr>
          <w:p>
            <w:pPr>
              <w:ind w:left="400"/>
              <w:spacing w:after="0"/>
              <w:rPr>
                <w:sz w:val="20"/>
                <w:szCs w:val="20"/>
                <w:color w:val="auto"/>
              </w:rPr>
            </w:pPr>
            <w:r>
              <w:rPr>
                <w:rFonts w:ascii="Arial" w:cs="Arial" w:eastAsia="Arial" w:hAnsi="Arial"/>
                <w:sz w:val="20"/>
                <w:szCs w:val="20"/>
                <w:color w:val="0000FF"/>
              </w:rPr>
              <w:t>Interpretation</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17.4</w:t>
            </w:r>
          </w:p>
        </w:tc>
        <w:tc>
          <w:tcPr>
            <w:tcW w:w="9200" w:type="dxa"/>
            <w:vAlign w:val="bottom"/>
          </w:tcPr>
          <w:p>
            <w:pPr>
              <w:ind w:left="400"/>
              <w:spacing w:after="0"/>
              <w:rPr>
                <w:sz w:val="20"/>
                <w:szCs w:val="20"/>
                <w:color w:val="auto"/>
              </w:rPr>
            </w:pPr>
            <w:r>
              <w:rPr>
                <w:rFonts w:ascii="Arial" w:cs="Arial" w:eastAsia="Arial" w:hAnsi="Arial"/>
                <w:sz w:val="20"/>
                <w:szCs w:val="20"/>
                <w:color w:val="0000FF"/>
              </w:rPr>
              <w:t>Severability of Provisions</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17.5</w:t>
            </w:r>
          </w:p>
        </w:tc>
        <w:tc>
          <w:tcPr>
            <w:tcW w:w="9200" w:type="dxa"/>
            <w:vAlign w:val="bottom"/>
          </w:tcPr>
          <w:p>
            <w:pPr>
              <w:ind w:left="400"/>
              <w:spacing w:after="0"/>
              <w:rPr>
                <w:sz w:val="20"/>
                <w:szCs w:val="20"/>
                <w:color w:val="auto"/>
              </w:rPr>
            </w:pPr>
            <w:r>
              <w:rPr>
                <w:rFonts w:ascii="Arial" w:cs="Arial" w:eastAsia="Arial" w:hAnsi="Arial"/>
                <w:sz w:val="20"/>
                <w:szCs w:val="20"/>
                <w:color w:val="0000FF"/>
              </w:rPr>
              <w:t>Bank Product Providers</w:t>
            </w:r>
          </w:p>
        </w:tc>
        <w:tc>
          <w:tcPr>
            <w:tcW w:w="11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17.6</w:t>
            </w:r>
          </w:p>
        </w:tc>
        <w:tc>
          <w:tcPr>
            <w:tcW w:w="9200" w:type="dxa"/>
            <w:vAlign w:val="bottom"/>
          </w:tcPr>
          <w:p>
            <w:pPr>
              <w:ind w:left="400"/>
              <w:spacing w:after="0"/>
              <w:rPr>
                <w:sz w:val="20"/>
                <w:szCs w:val="20"/>
                <w:color w:val="auto"/>
              </w:rPr>
            </w:pPr>
            <w:r>
              <w:rPr>
                <w:rFonts w:ascii="Arial" w:cs="Arial" w:eastAsia="Arial" w:hAnsi="Arial"/>
                <w:sz w:val="20"/>
                <w:szCs w:val="20"/>
                <w:color w:val="0000FF"/>
              </w:rPr>
              <w:t>Debtor-Creditor Relationship</w:t>
            </w:r>
          </w:p>
        </w:tc>
        <w:tc>
          <w:tcPr>
            <w:tcW w:w="114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17.7</w:t>
            </w:r>
          </w:p>
        </w:tc>
        <w:tc>
          <w:tcPr>
            <w:tcW w:w="9200" w:type="dxa"/>
            <w:vAlign w:val="bottom"/>
          </w:tcPr>
          <w:p>
            <w:pPr>
              <w:ind w:left="400"/>
              <w:spacing w:after="0"/>
              <w:rPr>
                <w:sz w:val="20"/>
                <w:szCs w:val="20"/>
                <w:color w:val="auto"/>
              </w:rPr>
            </w:pPr>
            <w:r>
              <w:rPr>
                <w:rFonts w:ascii="Arial" w:cs="Arial" w:eastAsia="Arial" w:hAnsi="Arial"/>
                <w:sz w:val="20"/>
                <w:szCs w:val="20"/>
                <w:color w:val="0000FF"/>
              </w:rPr>
              <w:t>Counterparts; Electronic Execution</w:t>
            </w:r>
          </w:p>
        </w:tc>
        <w:tc>
          <w:tcPr>
            <w:tcW w:w="114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17.8</w:t>
            </w:r>
          </w:p>
        </w:tc>
        <w:tc>
          <w:tcPr>
            <w:tcW w:w="9200" w:type="dxa"/>
            <w:vAlign w:val="bottom"/>
          </w:tcPr>
          <w:p>
            <w:pPr>
              <w:ind w:left="400"/>
              <w:spacing w:after="0"/>
              <w:rPr>
                <w:sz w:val="20"/>
                <w:szCs w:val="20"/>
                <w:color w:val="auto"/>
              </w:rPr>
            </w:pPr>
            <w:r>
              <w:rPr>
                <w:rFonts w:ascii="Arial" w:cs="Arial" w:eastAsia="Arial" w:hAnsi="Arial"/>
                <w:sz w:val="20"/>
                <w:szCs w:val="20"/>
                <w:color w:val="0000FF"/>
              </w:rPr>
              <w:t>Revival and Reinstatement of Obligations; Certain Waivers</w:t>
            </w:r>
          </w:p>
        </w:tc>
        <w:tc>
          <w:tcPr>
            <w:tcW w:w="114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17.9</w:t>
            </w:r>
          </w:p>
        </w:tc>
        <w:tc>
          <w:tcPr>
            <w:tcW w:w="9200" w:type="dxa"/>
            <w:vAlign w:val="bottom"/>
          </w:tcPr>
          <w:p>
            <w:pPr>
              <w:ind w:left="400"/>
              <w:spacing w:after="0"/>
              <w:rPr>
                <w:sz w:val="20"/>
                <w:szCs w:val="20"/>
                <w:color w:val="auto"/>
              </w:rPr>
            </w:pPr>
            <w:r>
              <w:rPr>
                <w:rFonts w:ascii="Arial" w:cs="Arial" w:eastAsia="Arial" w:hAnsi="Arial"/>
                <w:sz w:val="20"/>
                <w:szCs w:val="20"/>
                <w:color w:val="0000FF"/>
              </w:rPr>
              <w:t>Confidentiality</w:t>
            </w:r>
          </w:p>
        </w:tc>
        <w:tc>
          <w:tcPr>
            <w:tcW w:w="114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17.10</w:t>
            </w:r>
          </w:p>
        </w:tc>
        <w:tc>
          <w:tcPr>
            <w:tcW w:w="9200" w:type="dxa"/>
            <w:vAlign w:val="bottom"/>
          </w:tcPr>
          <w:p>
            <w:pPr>
              <w:ind w:left="400"/>
              <w:spacing w:after="0"/>
              <w:rPr>
                <w:sz w:val="20"/>
                <w:szCs w:val="20"/>
                <w:color w:val="auto"/>
              </w:rPr>
            </w:pPr>
            <w:r>
              <w:rPr>
                <w:rFonts w:ascii="Arial" w:cs="Arial" w:eastAsia="Arial" w:hAnsi="Arial"/>
                <w:sz w:val="20"/>
                <w:szCs w:val="20"/>
                <w:color w:val="0000FF"/>
              </w:rPr>
              <w:t>Survival</w:t>
            </w:r>
          </w:p>
        </w:tc>
        <w:tc>
          <w:tcPr>
            <w:tcW w:w="114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17.11</w:t>
            </w:r>
          </w:p>
        </w:tc>
        <w:tc>
          <w:tcPr>
            <w:tcW w:w="9200" w:type="dxa"/>
            <w:vAlign w:val="bottom"/>
          </w:tcPr>
          <w:p>
            <w:pPr>
              <w:ind w:left="400"/>
              <w:spacing w:after="0"/>
              <w:rPr>
                <w:sz w:val="20"/>
                <w:szCs w:val="20"/>
                <w:color w:val="auto"/>
              </w:rPr>
            </w:pPr>
            <w:r>
              <w:rPr>
                <w:rFonts w:ascii="Arial" w:cs="Arial" w:eastAsia="Arial" w:hAnsi="Arial"/>
                <w:sz w:val="20"/>
                <w:szCs w:val="20"/>
                <w:color w:val="0000FF"/>
              </w:rPr>
              <w:t>Patriot Act; Certain Additional Due Diligence</w:t>
            </w:r>
          </w:p>
        </w:tc>
        <w:tc>
          <w:tcPr>
            <w:tcW w:w="114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364"/>
        </w:trPr>
        <w:tc>
          <w:tcPr>
            <w:tcW w:w="860" w:type="dxa"/>
            <w:vAlign w:val="bottom"/>
          </w:tcPr>
          <w:p>
            <w:pPr>
              <w:spacing w:after="0"/>
              <w:rPr>
                <w:sz w:val="20"/>
                <w:szCs w:val="20"/>
                <w:color w:val="auto"/>
              </w:rPr>
            </w:pPr>
            <w:r>
              <w:rPr>
                <w:rFonts w:ascii="Arial" w:cs="Arial" w:eastAsia="Arial" w:hAnsi="Arial"/>
                <w:sz w:val="20"/>
                <w:szCs w:val="20"/>
                <w:color w:val="0000FF"/>
              </w:rPr>
              <w:t>17.12</w:t>
            </w:r>
          </w:p>
        </w:tc>
        <w:tc>
          <w:tcPr>
            <w:tcW w:w="9200" w:type="dxa"/>
            <w:vAlign w:val="bottom"/>
          </w:tcPr>
          <w:p>
            <w:pPr>
              <w:ind w:left="400"/>
              <w:spacing w:after="0"/>
              <w:rPr>
                <w:sz w:val="20"/>
                <w:szCs w:val="20"/>
                <w:color w:val="auto"/>
              </w:rPr>
            </w:pPr>
            <w:r>
              <w:rPr>
                <w:rFonts w:ascii="Arial" w:cs="Arial" w:eastAsia="Arial" w:hAnsi="Arial"/>
                <w:sz w:val="20"/>
                <w:szCs w:val="20"/>
                <w:color w:val="0000FF"/>
              </w:rPr>
              <w:t>Integration</w:t>
            </w:r>
          </w:p>
        </w:tc>
        <w:tc>
          <w:tcPr>
            <w:tcW w:w="1140" w:type="dxa"/>
            <w:vAlign w:val="bottom"/>
          </w:tcPr>
          <w:p>
            <w:pPr>
              <w:jc w:val="right"/>
              <w:spacing w:after="0"/>
              <w:rPr>
                <w:sz w:val="20"/>
                <w:szCs w:val="20"/>
                <w:color w:val="auto"/>
              </w:rPr>
            </w:pPr>
            <w:r>
              <w:rPr>
                <w:rFonts w:ascii="Arial" w:cs="Arial" w:eastAsia="Arial" w:hAnsi="Arial"/>
                <w:sz w:val="20"/>
                <w:szCs w:val="20"/>
                <w:color w:val="auto"/>
              </w:rPr>
              <w:t>149</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0"/>
        </w:trPr>
        <w:tc>
          <w:tcPr>
            <w:tcW w:w="860" w:type="dxa"/>
            <w:vAlign w:val="bottom"/>
          </w:tcPr>
          <w:p>
            <w:pPr>
              <w:jc w:val="right"/>
              <w:ind w:right="321"/>
              <w:spacing w:after="0"/>
              <w:rPr>
                <w:sz w:val="20"/>
                <w:szCs w:val="20"/>
                <w:color w:val="auto"/>
              </w:rPr>
            </w:pPr>
            <w:r>
              <w:rPr>
                <w:rFonts w:ascii="Arial" w:cs="Arial" w:eastAsia="Arial" w:hAnsi="Arial"/>
                <w:sz w:val="20"/>
                <w:szCs w:val="20"/>
                <w:color w:val="0000FF"/>
                <w:w w:val="83"/>
              </w:rPr>
              <w:t>17.13</w:t>
            </w:r>
          </w:p>
        </w:tc>
        <w:tc>
          <w:tcPr>
            <w:tcW w:w="8220" w:type="dxa"/>
            <w:vAlign w:val="bottom"/>
          </w:tcPr>
          <w:p>
            <w:pPr>
              <w:ind w:left="400"/>
              <w:spacing w:after="0"/>
              <w:rPr>
                <w:sz w:val="20"/>
                <w:szCs w:val="20"/>
                <w:color w:val="auto"/>
              </w:rPr>
            </w:pPr>
            <w:r>
              <w:rPr>
                <w:rFonts w:ascii="Arial" w:cs="Arial" w:eastAsia="Arial" w:hAnsi="Arial"/>
                <w:sz w:val="20"/>
                <w:szCs w:val="20"/>
                <w:color w:val="0000FF"/>
              </w:rPr>
              <w:t>Parent as Agent for Borrowers</w:t>
            </w:r>
          </w:p>
        </w:tc>
        <w:tc>
          <w:tcPr>
            <w:tcW w:w="212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364"/>
        </w:trPr>
        <w:tc>
          <w:tcPr>
            <w:tcW w:w="860" w:type="dxa"/>
            <w:vAlign w:val="bottom"/>
          </w:tcPr>
          <w:p>
            <w:pPr>
              <w:jc w:val="right"/>
              <w:ind w:right="321"/>
              <w:spacing w:after="0"/>
              <w:rPr>
                <w:sz w:val="20"/>
                <w:szCs w:val="20"/>
                <w:color w:val="auto"/>
              </w:rPr>
            </w:pPr>
            <w:r>
              <w:rPr>
                <w:rFonts w:ascii="Arial" w:cs="Arial" w:eastAsia="Arial" w:hAnsi="Arial"/>
                <w:sz w:val="20"/>
                <w:szCs w:val="20"/>
                <w:color w:val="0000FF"/>
                <w:w w:val="83"/>
              </w:rPr>
              <w:t>17.14</w:t>
            </w:r>
          </w:p>
        </w:tc>
        <w:tc>
          <w:tcPr>
            <w:tcW w:w="8220" w:type="dxa"/>
            <w:vAlign w:val="bottom"/>
          </w:tcPr>
          <w:p>
            <w:pPr>
              <w:ind w:left="400"/>
              <w:spacing w:after="0"/>
              <w:rPr>
                <w:sz w:val="20"/>
                <w:szCs w:val="20"/>
                <w:color w:val="auto"/>
              </w:rPr>
            </w:pPr>
            <w:r>
              <w:rPr>
                <w:rFonts w:ascii="Arial" w:cs="Arial" w:eastAsia="Arial" w:hAnsi="Arial"/>
                <w:sz w:val="20"/>
                <w:szCs w:val="20"/>
                <w:color w:val="0000FF"/>
              </w:rPr>
              <w:t>Acknowledgement and Consent to Bail-In of Affected Financial Institutions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364"/>
        </w:trPr>
        <w:tc>
          <w:tcPr>
            <w:tcW w:w="860" w:type="dxa"/>
            <w:vAlign w:val="bottom"/>
          </w:tcPr>
          <w:p>
            <w:pPr>
              <w:jc w:val="right"/>
              <w:ind w:right="321"/>
              <w:spacing w:after="0"/>
              <w:rPr>
                <w:sz w:val="20"/>
                <w:szCs w:val="20"/>
                <w:color w:val="auto"/>
              </w:rPr>
            </w:pPr>
            <w:r>
              <w:rPr>
                <w:rFonts w:ascii="Arial" w:cs="Arial" w:eastAsia="Arial" w:hAnsi="Arial"/>
                <w:sz w:val="20"/>
                <w:szCs w:val="20"/>
                <w:color w:val="0000FF"/>
                <w:w w:val="83"/>
              </w:rPr>
              <w:t>17.15</w:t>
            </w:r>
          </w:p>
        </w:tc>
        <w:tc>
          <w:tcPr>
            <w:tcW w:w="8220" w:type="dxa"/>
            <w:vAlign w:val="bottom"/>
          </w:tcPr>
          <w:p>
            <w:pPr>
              <w:ind w:left="400"/>
              <w:spacing w:after="0"/>
              <w:rPr>
                <w:sz w:val="20"/>
                <w:szCs w:val="20"/>
                <w:color w:val="auto"/>
              </w:rPr>
            </w:pPr>
            <w:r>
              <w:rPr>
                <w:rFonts w:ascii="Arial" w:cs="Arial" w:eastAsia="Arial" w:hAnsi="Arial"/>
                <w:sz w:val="20"/>
                <w:szCs w:val="20"/>
                <w:color w:val="0000FF"/>
              </w:rPr>
              <w:t>Amendment and Restatement; Matters Pertaining to Converting Borrowers</w:t>
            </w:r>
          </w:p>
        </w:tc>
        <w:tc>
          <w:tcPr>
            <w:tcW w:w="212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364"/>
        </w:trPr>
        <w:tc>
          <w:tcPr>
            <w:tcW w:w="860" w:type="dxa"/>
            <w:vAlign w:val="bottom"/>
          </w:tcPr>
          <w:p>
            <w:pPr>
              <w:jc w:val="right"/>
              <w:ind w:right="321"/>
              <w:spacing w:after="0"/>
              <w:rPr>
                <w:sz w:val="20"/>
                <w:szCs w:val="20"/>
                <w:color w:val="auto"/>
              </w:rPr>
            </w:pPr>
            <w:r>
              <w:rPr>
                <w:rFonts w:ascii="Arial" w:cs="Arial" w:eastAsia="Arial" w:hAnsi="Arial"/>
                <w:sz w:val="20"/>
                <w:szCs w:val="20"/>
                <w:color w:val="0000FF"/>
                <w:w w:val="83"/>
              </w:rPr>
              <w:t>17.16</w:t>
            </w:r>
          </w:p>
        </w:tc>
        <w:tc>
          <w:tcPr>
            <w:tcW w:w="8220" w:type="dxa"/>
            <w:vAlign w:val="bottom"/>
          </w:tcPr>
          <w:p>
            <w:pPr>
              <w:ind w:left="400"/>
              <w:spacing w:after="0"/>
              <w:rPr>
                <w:sz w:val="20"/>
                <w:szCs w:val="20"/>
                <w:color w:val="auto"/>
              </w:rPr>
            </w:pPr>
            <w:r>
              <w:rPr>
                <w:rFonts w:ascii="Arial" w:cs="Arial" w:eastAsia="Arial" w:hAnsi="Arial"/>
                <w:sz w:val="20"/>
                <w:szCs w:val="20"/>
                <w:color w:val="0000FF"/>
              </w:rPr>
              <w:t>Certain ERISA Matters</w:t>
            </w:r>
          </w:p>
        </w:tc>
        <w:tc>
          <w:tcPr>
            <w:tcW w:w="212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364"/>
        </w:trPr>
        <w:tc>
          <w:tcPr>
            <w:tcW w:w="860" w:type="dxa"/>
            <w:vAlign w:val="bottom"/>
          </w:tcPr>
          <w:p>
            <w:pPr>
              <w:jc w:val="right"/>
              <w:ind w:right="321"/>
              <w:spacing w:after="0"/>
              <w:rPr>
                <w:sz w:val="20"/>
                <w:szCs w:val="20"/>
                <w:color w:val="auto"/>
              </w:rPr>
            </w:pPr>
            <w:r>
              <w:rPr>
                <w:rFonts w:ascii="Arial" w:cs="Arial" w:eastAsia="Arial" w:hAnsi="Arial"/>
                <w:sz w:val="20"/>
                <w:szCs w:val="20"/>
                <w:color w:val="0000FF"/>
                <w:w w:val="83"/>
              </w:rPr>
              <w:t>17.17</w:t>
            </w:r>
          </w:p>
        </w:tc>
        <w:tc>
          <w:tcPr>
            <w:tcW w:w="8220" w:type="dxa"/>
            <w:vAlign w:val="bottom"/>
          </w:tcPr>
          <w:p>
            <w:pPr>
              <w:ind w:left="400"/>
              <w:spacing w:after="0"/>
              <w:rPr>
                <w:sz w:val="20"/>
                <w:szCs w:val="20"/>
                <w:color w:val="auto"/>
              </w:rPr>
            </w:pPr>
            <w:r>
              <w:rPr>
                <w:rFonts w:ascii="Arial" w:cs="Arial" w:eastAsia="Arial" w:hAnsi="Arial"/>
                <w:sz w:val="20"/>
                <w:szCs w:val="20"/>
                <w:color w:val="0000FF"/>
              </w:rPr>
              <w:t>Acknowledgment Regarding Any Supported QFCs</w:t>
            </w:r>
          </w:p>
        </w:tc>
        <w:tc>
          <w:tcPr>
            <w:tcW w:w="2120" w:type="dxa"/>
            <w:vAlign w:val="bottom"/>
          </w:tcPr>
          <w:p>
            <w:pPr>
              <w:jc w:val="right"/>
              <w:spacing w:after="0"/>
              <w:rPr>
                <w:sz w:val="20"/>
                <w:szCs w:val="20"/>
                <w:color w:val="auto"/>
              </w:rPr>
            </w:pPr>
            <w:r>
              <w:rPr>
                <w:rFonts w:ascii="Arial" w:cs="Arial" w:eastAsia="Arial" w:hAnsi="Arial"/>
                <w:sz w:val="20"/>
                <w:szCs w:val="20"/>
                <w:color w:val="auto"/>
              </w:rPr>
              <w:t>152</w:t>
            </w:r>
          </w:p>
        </w:tc>
      </w:tr>
      <w:tr>
        <w:trPr>
          <w:trHeight w:val="364"/>
        </w:trPr>
        <w:tc>
          <w:tcPr>
            <w:tcW w:w="860" w:type="dxa"/>
            <w:vAlign w:val="bottom"/>
          </w:tcPr>
          <w:p>
            <w:pPr>
              <w:jc w:val="right"/>
              <w:ind w:right="321"/>
              <w:spacing w:after="0"/>
              <w:rPr>
                <w:sz w:val="20"/>
                <w:szCs w:val="20"/>
                <w:color w:val="auto"/>
              </w:rPr>
            </w:pPr>
            <w:r>
              <w:rPr>
                <w:rFonts w:ascii="Arial" w:cs="Arial" w:eastAsia="Arial" w:hAnsi="Arial"/>
                <w:sz w:val="20"/>
                <w:szCs w:val="20"/>
                <w:color w:val="0000FF"/>
                <w:w w:val="83"/>
              </w:rPr>
              <w:t>17.18</w:t>
            </w:r>
          </w:p>
        </w:tc>
        <w:tc>
          <w:tcPr>
            <w:tcW w:w="8220" w:type="dxa"/>
            <w:vAlign w:val="bottom"/>
          </w:tcPr>
          <w:p>
            <w:pPr>
              <w:ind w:left="400"/>
              <w:spacing w:after="0"/>
              <w:rPr>
                <w:sz w:val="20"/>
                <w:szCs w:val="20"/>
                <w:color w:val="auto"/>
              </w:rPr>
            </w:pPr>
            <w:r>
              <w:rPr>
                <w:rFonts w:ascii="Arial" w:cs="Arial" w:eastAsia="Arial" w:hAnsi="Arial"/>
                <w:sz w:val="20"/>
                <w:szCs w:val="20"/>
                <w:color w:val="0000FF"/>
              </w:rPr>
              <w:t>Erroneous Payments</w:t>
            </w:r>
          </w:p>
        </w:tc>
        <w:tc>
          <w:tcPr>
            <w:tcW w:w="2120" w:type="dxa"/>
            <w:vAlign w:val="bottom"/>
          </w:tcPr>
          <w:p>
            <w:pPr>
              <w:jc w:val="right"/>
              <w:spacing w:after="0"/>
              <w:rPr>
                <w:sz w:val="20"/>
                <w:szCs w:val="20"/>
                <w:color w:val="auto"/>
              </w:rPr>
            </w:pPr>
            <w:r>
              <w:rPr>
                <w:rFonts w:ascii="Arial" w:cs="Arial" w:eastAsia="Arial" w:hAnsi="Arial"/>
                <w:sz w:val="20"/>
                <w:szCs w:val="20"/>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6"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6"/>
        </w:trPr>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540" w:type="dxa"/>
            <w:vAlign w:val="bottom"/>
          </w:tcPr>
          <w:p>
            <w:pPr>
              <w:ind w:left="2860"/>
              <w:spacing w:after="0"/>
              <w:rPr>
                <w:sz w:val="20"/>
                <w:szCs w:val="20"/>
                <w:color w:val="auto"/>
              </w:rPr>
            </w:pPr>
            <w:r>
              <w:rPr>
                <w:rFonts w:ascii="Arial" w:cs="Arial" w:eastAsia="Arial" w:hAnsi="Arial"/>
                <w:sz w:val="20"/>
                <w:szCs w:val="20"/>
                <w:b w:val="1"/>
                <w:bCs w:val="1"/>
                <w:color w:val="auto"/>
                <w:w w:val="98"/>
              </w:rPr>
              <w:t>EXHIBITS AND SCHEDULES</w:t>
            </w:r>
          </w:p>
        </w:tc>
      </w:tr>
      <w:tr>
        <w:trPr>
          <w:trHeight w:val="424"/>
        </w:trPr>
        <w:tc>
          <w:tcPr>
            <w:tcW w:w="1160" w:type="dxa"/>
            <w:vAlign w:val="bottom"/>
          </w:tcPr>
          <w:p>
            <w:pPr>
              <w:spacing w:after="0"/>
              <w:rPr>
                <w:sz w:val="20"/>
                <w:szCs w:val="20"/>
                <w:color w:val="auto"/>
              </w:rPr>
            </w:pPr>
            <w:r>
              <w:rPr>
                <w:rFonts w:ascii="Arial" w:cs="Arial" w:eastAsia="Arial" w:hAnsi="Arial"/>
                <w:sz w:val="20"/>
                <w:szCs w:val="20"/>
                <w:color w:val="auto"/>
              </w:rPr>
              <w:t>Exhibit A-1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Assignment and Acceptance</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B-1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Borrowing Base Certificate</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B-2</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Bank Product Provider Agreement</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C-1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Compliance Certificate</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J-1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Joinder</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L-1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SOFR Notice</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P-1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Perfection Certificate</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P-2</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Vendor Intercreditor Agreement (Floor Plan Financing)</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Exhibit P-3</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w w:val="91"/>
              </w:rPr>
              <w:t>Form of Vendor Intercreditor Agreement (Off Balance Sheet Financing)</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Exhibit S-1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Form of Solvency Certificate</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w w:val="94"/>
              </w:rPr>
              <w:t>Schedule A-1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Agent’s Account</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4"/>
              </w:rPr>
              <w:t>Schedule A-2</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Authorized Persons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4"/>
              </w:rPr>
              <w:t>Schedule C-1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Commitments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4"/>
              </w:rPr>
              <w:t>Schedule D-1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Designated Account</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4"/>
              </w:rPr>
              <w:t>Schedule P-1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Permitted Investments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4"/>
              </w:rPr>
              <w:t>Schedule P-2</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Permitted Liens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7"/>
              </w:rPr>
              <w:t>Schedule 3.1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Conditions Precedent</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7"/>
              </w:rPr>
              <w:t>Schedule 3.6</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Post-Closing Covenants</w:t>
            </w:r>
          </w:p>
        </w:tc>
      </w:tr>
      <w:tr>
        <w:trPr>
          <w:trHeight w:val="229"/>
        </w:trPr>
        <w:tc>
          <w:tcPr>
            <w:tcW w:w="1420" w:type="dxa"/>
            <w:vAlign w:val="bottom"/>
            <w:gridSpan w:val="2"/>
          </w:tcPr>
          <w:p>
            <w:pPr>
              <w:spacing w:after="0"/>
              <w:rPr>
                <w:sz w:val="20"/>
                <w:szCs w:val="20"/>
                <w:color w:val="auto"/>
              </w:rPr>
            </w:pPr>
            <w:r>
              <w:rPr>
                <w:rFonts w:ascii="Arial" w:cs="Arial" w:eastAsia="Arial" w:hAnsi="Arial"/>
                <w:sz w:val="20"/>
                <w:szCs w:val="20"/>
                <w:color w:val="auto"/>
                <w:w w:val="99"/>
              </w:rPr>
              <w:t>Schedule 4.1(b)</w:t>
            </w:r>
          </w:p>
        </w:tc>
        <w:tc>
          <w:tcPr>
            <w:tcW w:w="5540" w:type="dxa"/>
            <w:vAlign w:val="bottom"/>
          </w:tcPr>
          <w:p>
            <w:pPr>
              <w:ind w:left="160"/>
              <w:spacing w:after="0"/>
              <w:rPr>
                <w:sz w:val="20"/>
                <w:szCs w:val="20"/>
                <w:color w:val="auto"/>
              </w:rPr>
            </w:pPr>
            <w:r>
              <w:rPr>
                <w:rFonts w:ascii="Arial" w:cs="Arial" w:eastAsia="Arial" w:hAnsi="Arial"/>
                <w:sz w:val="20"/>
                <w:szCs w:val="20"/>
                <w:color w:val="auto"/>
              </w:rPr>
              <w:t>Capitalization of Parent’s Subsidiaries</w:t>
            </w:r>
          </w:p>
        </w:tc>
      </w:tr>
      <w:tr>
        <w:trPr>
          <w:trHeight w:val="229"/>
        </w:trPr>
        <w:tc>
          <w:tcPr>
            <w:tcW w:w="1420" w:type="dxa"/>
            <w:vAlign w:val="bottom"/>
            <w:gridSpan w:val="2"/>
          </w:tcPr>
          <w:p>
            <w:pPr>
              <w:spacing w:after="0"/>
              <w:rPr>
                <w:sz w:val="20"/>
                <w:szCs w:val="20"/>
                <w:color w:val="auto"/>
              </w:rPr>
            </w:pPr>
            <w:r>
              <w:rPr>
                <w:rFonts w:ascii="Arial" w:cs="Arial" w:eastAsia="Arial" w:hAnsi="Arial"/>
                <w:sz w:val="20"/>
                <w:szCs w:val="20"/>
                <w:color w:val="auto"/>
                <w:w w:val="99"/>
              </w:rPr>
              <w:t>Schedule 4.1(d)</w:t>
            </w:r>
          </w:p>
        </w:tc>
        <w:tc>
          <w:tcPr>
            <w:tcW w:w="5540" w:type="dxa"/>
            <w:vAlign w:val="bottom"/>
          </w:tcPr>
          <w:p>
            <w:pPr>
              <w:ind w:left="160"/>
              <w:spacing w:after="0"/>
              <w:rPr>
                <w:sz w:val="20"/>
                <w:szCs w:val="20"/>
                <w:color w:val="auto"/>
              </w:rPr>
            </w:pPr>
            <w:r>
              <w:rPr>
                <w:rFonts w:ascii="Arial" w:cs="Arial" w:eastAsia="Arial" w:hAnsi="Arial"/>
                <w:sz w:val="20"/>
                <w:szCs w:val="20"/>
                <w:color w:val="auto"/>
              </w:rPr>
              <w:t>Subscriptions, Options, Warrants, Calls</w:t>
            </w:r>
          </w:p>
        </w:tc>
      </w:tr>
      <w:tr>
        <w:trPr>
          <w:trHeight w:val="229"/>
        </w:trPr>
        <w:tc>
          <w:tcPr>
            <w:tcW w:w="1420" w:type="dxa"/>
            <w:vAlign w:val="bottom"/>
            <w:gridSpan w:val="2"/>
          </w:tcPr>
          <w:p>
            <w:pPr>
              <w:spacing w:after="0"/>
              <w:rPr>
                <w:sz w:val="20"/>
                <w:szCs w:val="20"/>
                <w:color w:val="auto"/>
              </w:rPr>
            </w:pPr>
            <w:r>
              <w:rPr>
                <w:rFonts w:ascii="Arial" w:cs="Arial" w:eastAsia="Arial" w:hAnsi="Arial"/>
                <w:sz w:val="20"/>
                <w:szCs w:val="20"/>
                <w:color w:val="auto"/>
                <w:w w:val="99"/>
              </w:rPr>
              <w:t>Schedule 4.6(b)</w:t>
            </w:r>
          </w:p>
        </w:tc>
        <w:tc>
          <w:tcPr>
            <w:tcW w:w="5540" w:type="dxa"/>
            <w:vAlign w:val="bottom"/>
          </w:tcPr>
          <w:p>
            <w:pPr>
              <w:ind w:left="160"/>
              <w:spacing w:after="0"/>
              <w:rPr>
                <w:sz w:val="20"/>
                <w:szCs w:val="20"/>
                <w:color w:val="auto"/>
              </w:rPr>
            </w:pPr>
            <w:r>
              <w:rPr>
                <w:rFonts w:ascii="Arial" w:cs="Arial" w:eastAsia="Arial" w:hAnsi="Arial"/>
                <w:sz w:val="20"/>
                <w:szCs w:val="20"/>
                <w:color w:val="auto"/>
              </w:rPr>
              <w:t>Litigation</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89"/>
              </w:rPr>
              <w:t>Schedule 4.10</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Employee Benefits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89"/>
              </w:rPr>
              <w:t>Schedule 4.11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Environmental Matters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89"/>
              </w:rPr>
              <w:t>Schedule 4.14</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Permitted Indebtedness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89"/>
              </w:rPr>
              <w:t>Schedule 4.23</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Titled Vehicles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89"/>
              </w:rPr>
              <w:t>Schedule 4.31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Insurance Policies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7"/>
              </w:rPr>
              <w:t>Schedule 5.1</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Financial Statements, Reports, Certificates</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97"/>
              </w:rPr>
              <w:t>Schedule 5.2</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Collateral Reporting</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w w:val="89"/>
              </w:rPr>
              <w:t>Schedule 5.15</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Location of Inventory and Rolling Stock</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w w:val="89"/>
              </w:rPr>
              <w:t>Schedule 6.10</w:t>
            </w:r>
          </w:p>
        </w:tc>
        <w:tc>
          <w:tcPr>
            <w:tcW w:w="5800" w:type="dxa"/>
            <w:vAlign w:val="bottom"/>
            <w:gridSpan w:val="2"/>
          </w:tcPr>
          <w:p>
            <w:pPr>
              <w:ind w:left="40"/>
              <w:spacing w:after="0"/>
              <w:rPr>
                <w:sz w:val="20"/>
                <w:szCs w:val="20"/>
                <w:color w:val="auto"/>
              </w:rPr>
            </w:pPr>
            <w:r>
              <w:rPr>
                <w:rFonts w:ascii="Arial" w:cs="Arial" w:eastAsia="Arial" w:hAnsi="Arial"/>
                <w:sz w:val="20"/>
                <w:szCs w:val="20"/>
                <w:color w:val="auto"/>
              </w:rPr>
              <w:t>Transactions with Affiliates</w:t>
            </w:r>
          </w:p>
        </w:tc>
      </w:tr>
    </w:tbl>
    <w:p>
      <w:pPr>
        <w:spacing w:after="0" w:line="37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SIXTH AMENDED AND RESTATED CREDIT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THIS SIXTH AMENDED AND RESTATED CREDIT AGREEMENT</w:t>
      </w:r>
      <w:r>
        <w:rPr>
          <w:rFonts w:ascii="Arial" w:cs="Arial" w:eastAsia="Arial" w:hAnsi="Arial"/>
          <w:sz w:val="19"/>
          <w:szCs w:val="19"/>
          <w:color w:val="auto"/>
        </w:rPr>
        <w:t>, is entered into as of February 2, 2023, by and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among:</w:t>
      </w:r>
    </w:p>
    <w:p>
      <w:pPr>
        <w:spacing w:after="0" w:line="199" w:lineRule="exact"/>
        <w:rPr>
          <w:sz w:val="20"/>
          <w:szCs w:val="20"/>
          <w:color w:val="auto"/>
        </w:rPr>
      </w:pPr>
    </w:p>
    <w:p>
      <w:pPr>
        <w:ind w:firstLine="757"/>
        <w:spacing w:after="0" w:line="260" w:lineRule="auto"/>
        <w:tabs>
          <w:tab w:leader="none" w:pos="1144"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lenders identified on the signature pages hereof (each of such lenders, together with its successors and permitted assigns, is referred to hereinafter as a “</w:t>
      </w:r>
      <w:r>
        <w:rPr>
          <w:rFonts w:ascii="Arial" w:cs="Arial" w:eastAsia="Arial" w:hAnsi="Arial"/>
          <w:sz w:val="20"/>
          <w:szCs w:val="20"/>
          <w:u w:val="single" w:color="auto"/>
          <w:color w:val="auto"/>
        </w:rPr>
        <w:t>Lender</w:t>
      </w:r>
      <w:r>
        <w:rPr>
          <w:rFonts w:ascii="Arial" w:cs="Arial" w:eastAsia="Arial" w:hAnsi="Arial"/>
          <w:sz w:val="20"/>
          <w:szCs w:val="20"/>
          <w:color w:val="auto"/>
        </w:rPr>
        <w:t>,” as that term is hereinafter further defined);</w:t>
      </w:r>
    </w:p>
    <w:p>
      <w:pPr>
        <w:spacing w:after="0" w:line="169" w:lineRule="exact"/>
        <w:rPr>
          <w:rFonts w:ascii="Arial" w:cs="Arial" w:eastAsia="Arial" w:hAnsi="Arial"/>
          <w:sz w:val="20"/>
          <w:szCs w:val="20"/>
          <w:color w:val="auto"/>
        </w:rPr>
      </w:pPr>
    </w:p>
    <w:p>
      <w:pPr>
        <w:ind w:firstLine="757"/>
        <w:spacing w:after="0" w:line="266" w:lineRule="auto"/>
        <w:tabs>
          <w:tab w:leader="none" w:pos="1144"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 xml:space="preserve">WELLS FARGO BANK, NATIONAL ASSOCIATION, </w:t>
      </w:r>
      <w:r>
        <w:rPr>
          <w:rFonts w:ascii="Arial" w:cs="Arial" w:eastAsia="Arial" w:hAnsi="Arial"/>
          <w:sz w:val="20"/>
          <w:szCs w:val="20"/>
          <w:color w:val="auto"/>
        </w:rPr>
        <w:t>as administrative agent for each member of the Lender Group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Bank Product Providers (in such capacity, together with its successors and assigns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64" w:lineRule="exact"/>
        <w:rPr>
          <w:rFonts w:ascii="Arial" w:cs="Arial" w:eastAsia="Arial" w:hAnsi="Arial"/>
          <w:sz w:val="20"/>
          <w:szCs w:val="20"/>
          <w:color w:val="auto"/>
        </w:rPr>
      </w:pPr>
    </w:p>
    <w:p>
      <w:pPr>
        <w:jc w:val="both"/>
        <w:ind w:firstLine="757"/>
        <w:spacing w:after="0" w:line="252" w:lineRule="auto"/>
        <w:tabs>
          <w:tab w:leader="none" w:pos="1198"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WELLS FARGO BANK, NATIONAL ASSOCIATION, BANK OF AMERICA, N.A.</w:t>
      </w:r>
      <w:r>
        <w:rPr>
          <w:rFonts w:ascii="Arial" w:cs="Arial" w:eastAsia="Arial" w:hAnsi="Arial"/>
          <w:sz w:val="20"/>
          <w:szCs w:val="20"/>
          <w:color w:val="auto"/>
        </w:rPr>
        <w:t>, and</w:t>
      </w:r>
      <w:r>
        <w:rPr>
          <w:rFonts w:ascii="Arial" w:cs="Arial" w:eastAsia="Arial" w:hAnsi="Arial"/>
          <w:sz w:val="20"/>
          <w:szCs w:val="20"/>
          <w:b w:val="1"/>
          <w:bCs w:val="1"/>
          <w:color w:val="auto"/>
        </w:rPr>
        <w:t xml:space="preserve"> JPMORGAN CHASE BANK, N.A.</w:t>
      </w:r>
      <w:r>
        <w:rPr>
          <w:rFonts w:ascii="Arial" w:cs="Arial" w:eastAsia="Arial" w:hAnsi="Arial"/>
          <w:sz w:val="20"/>
          <w:szCs w:val="20"/>
          <w:color w:val="auto"/>
        </w:rPr>
        <w:t>, as joint lead arrangers (in such capacities, together with their respective successors and assigns in such capacities, the “</w:t>
      </w:r>
      <w:r>
        <w:rPr>
          <w:rFonts w:ascii="Arial" w:cs="Arial" w:eastAsia="Arial" w:hAnsi="Arial"/>
          <w:sz w:val="20"/>
          <w:szCs w:val="20"/>
          <w:u w:val="single" w:color="auto"/>
          <w:color w:val="auto"/>
        </w:rPr>
        <w:t>Joint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Lead Arrangers</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jc w:val="both"/>
        <w:ind w:firstLine="757"/>
        <w:spacing w:after="0" w:line="252" w:lineRule="auto"/>
        <w:tabs>
          <w:tab w:leader="none" w:pos="1198"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w:t>
      </w:r>
      <w:r>
        <w:rPr>
          <w:rFonts w:ascii="Arial" w:cs="Arial" w:eastAsia="Arial" w:hAnsi="Arial"/>
          <w:sz w:val="20"/>
          <w:szCs w:val="20"/>
          <w:b w:val="1"/>
          <w:bCs w:val="1"/>
          <w:color w:val="auto"/>
        </w:rPr>
        <w:t xml:space="preserve"> BANK OF AMERICA, N.A.</w:t>
      </w:r>
      <w:r>
        <w:rPr>
          <w:rFonts w:ascii="Arial" w:cs="Arial" w:eastAsia="Arial" w:hAnsi="Arial"/>
          <w:sz w:val="20"/>
          <w:szCs w:val="20"/>
          <w:color w:val="auto"/>
        </w:rPr>
        <w:t>, and</w:t>
      </w:r>
      <w:r>
        <w:rPr>
          <w:rFonts w:ascii="Arial" w:cs="Arial" w:eastAsia="Arial" w:hAnsi="Arial"/>
          <w:sz w:val="20"/>
          <w:szCs w:val="20"/>
          <w:b w:val="1"/>
          <w:bCs w:val="1"/>
          <w:color w:val="auto"/>
        </w:rPr>
        <w:t xml:space="preserve"> JPMORGAN CHASE BANK, N.A.</w:t>
      </w:r>
      <w:r>
        <w:rPr>
          <w:rFonts w:ascii="Arial" w:cs="Arial" w:eastAsia="Arial" w:hAnsi="Arial"/>
          <w:sz w:val="20"/>
          <w:szCs w:val="20"/>
          <w:color w:val="auto"/>
        </w:rPr>
        <w:t>, as joint book runners (in such capacities, together with their respective successors and assigns in such capacity, the “</w:t>
      </w:r>
      <w:r>
        <w:rPr>
          <w:rFonts w:ascii="Arial" w:cs="Arial" w:eastAsia="Arial" w:hAnsi="Arial"/>
          <w:sz w:val="20"/>
          <w:szCs w:val="20"/>
          <w:u w:val="single" w:color="auto"/>
          <w:color w:val="auto"/>
        </w:rPr>
        <w:t>Joint Book</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Runners</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firstLine="757"/>
        <w:spacing w:after="0" w:line="266" w:lineRule="auto"/>
        <w:tabs>
          <w:tab w:leader="none" w:pos="1144"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and</w:t>
      </w:r>
      <w:r>
        <w:rPr>
          <w:rFonts w:ascii="Arial" w:cs="Arial" w:eastAsia="Arial" w:hAnsi="Arial"/>
          <w:sz w:val="20"/>
          <w:szCs w:val="20"/>
          <w:b w:val="1"/>
          <w:bCs w:val="1"/>
          <w:color w:val="auto"/>
        </w:rPr>
        <w:t xml:space="preserve"> JPMORGAN CHASE BANK, N.A.</w:t>
      </w:r>
      <w:r>
        <w:rPr>
          <w:rFonts w:ascii="Arial" w:cs="Arial" w:eastAsia="Arial" w:hAnsi="Arial"/>
          <w:sz w:val="20"/>
          <w:szCs w:val="20"/>
          <w:color w:val="auto"/>
        </w:rPr>
        <w:t>, as co-syndication agents (in such capacities,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their respective successors and assigns in such capacities, the “</w:t>
      </w:r>
      <w:r>
        <w:rPr>
          <w:rFonts w:ascii="Arial" w:cs="Arial" w:eastAsia="Arial" w:hAnsi="Arial"/>
          <w:sz w:val="20"/>
          <w:szCs w:val="20"/>
          <w:u w:val="single" w:color="auto"/>
          <w:color w:val="auto"/>
        </w:rPr>
        <w:t>Co-Syndication Agents</w:t>
      </w:r>
      <w:r>
        <w:rPr>
          <w:rFonts w:ascii="Arial" w:cs="Arial" w:eastAsia="Arial" w:hAnsi="Arial"/>
          <w:sz w:val="20"/>
          <w:szCs w:val="20"/>
          <w:color w:val="auto"/>
        </w:rPr>
        <w:t>”);</w:t>
      </w:r>
    </w:p>
    <w:p>
      <w:pPr>
        <w:spacing w:after="0" w:line="164" w:lineRule="exact"/>
        <w:rPr>
          <w:rFonts w:ascii="Arial" w:cs="Arial" w:eastAsia="Arial" w:hAnsi="Arial"/>
          <w:sz w:val="20"/>
          <w:szCs w:val="20"/>
          <w:color w:val="auto"/>
        </w:rPr>
      </w:pPr>
    </w:p>
    <w:p>
      <w:pPr>
        <w:ind w:left="1160" w:hanging="403"/>
        <w:spacing w:after="0"/>
        <w:tabs>
          <w:tab w:leader="none" w:pos="116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H&amp;E EQUIPMENT SERVICES, INC.</w:t>
      </w:r>
      <w:r>
        <w:rPr>
          <w:rFonts w:ascii="Arial" w:cs="Arial" w:eastAsia="Arial" w:hAnsi="Arial"/>
          <w:sz w:val="20"/>
          <w:szCs w:val="20"/>
          <w:color w:val="auto"/>
        </w:rPr>
        <w:t>,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and</w:t>
      </w:r>
    </w:p>
    <w:p>
      <w:pPr>
        <w:spacing w:after="0" w:line="220" w:lineRule="exact"/>
        <w:rPr>
          <w:rFonts w:ascii="Arial" w:cs="Arial" w:eastAsia="Arial" w:hAnsi="Arial"/>
          <w:sz w:val="20"/>
          <w:szCs w:val="20"/>
          <w:color w:val="auto"/>
        </w:rPr>
      </w:pPr>
    </w:p>
    <w:p>
      <w:pPr>
        <w:jc w:val="both"/>
        <w:ind w:right="20" w:firstLine="757"/>
        <w:spacing w:after="0" w:line="249" w:lineRule="auto"/>
        <w:tabs>
          <w:tab w:leader="none" w:pos="1144"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Subsidiaries of Parent which hereafter become parties hereto as “Borrowers” in accordance with the terms hereof by executing the form of Joinder attached hereto as </w:t>
      </w:r>
      <w:r>
        <w:rPr>
          <w:rFonts w:ascii="Arial" w:cs="Arial" w:eastAsia="Arial" w:hAnsi="Arial"/>
          <w:sz w:val="20"/>
          <w:szCs w:val="20"/>
          <w:u w:val="single" w:color="auto"/>
          <w:color w:val="auto"/>
        </w:rPr>
        <w:t>Exhibit J-1</w:t>
      </w:r>
      <w:r>
        <w:rPr>
          <w:rFonts w:ascii="Arial" w:cs="Arial" w:eastAsia="Arial" w:hAnsi="Arial"/>
          <w:sz w:val="20"/>
          <w:szCs w:val="20"/>
          <w:color w:val="auto"/>
        </w:rPr>
        <w:t xml:space="preserve"> (Parent, together with each such Subsidiary of Parent,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and jointly and severally, the “</w:t>
      </w: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The parties agree as follows:</w:t>
      </w:r>
    </w:p>
    <w:p>
      <w:pPr>
        <w:spacing w:after="0" w:line="209" w:lineRule="exact"/>
        <w:rPr>
          <w:sz w:val="20"/>
          <w:szCs w:val="20"/>
          <w:color w:val="auto"/>
        </w:rPr>
      </w:pPr>
    </w:p>
    <w:p>
      <w:pPr>
        <w:ind w:left="400" w:hanging="392"/>
        <w:spacing w:after="0"/>
        <w:tabs>
          <w:tab w:leader="none" w:pos="40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DEFINITIONS AND CONSTRUCTION.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As used in this Agreement, the following terms shall have the following definitions:</w:t>
      </w:r>
    </w:p>
    <w:p>
      <w:pPr>
        <w:spacing w:after="0" w:line="221"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2028 Senior Notes Indenture</w:t>
      </w:r>
      <w:r>
        <w:rPr>
          <w:rFonts w:ascii="Arial" w:cs="Arial" w:eastAsia="Arial" w:hAnsi="Arial"/>
          <w:sz w:val="20"/>
          <w:szCs w:val="20"/>
          <w:color w:val="auto"/>
        </w:rPr>
        <w:t>” means that certain Indenture dated as of December 14, 2020, by and among Parent, the guarantors from time to time party thereto and the 2028 Senior Notes Trustee, as trustee, which relates to the 2028 Senior Notes, as the same may be amended, restated, supplemented, or otherwise modified from time to time.</w:t>
      </w:r>
    </w:p>
    <w:p>
      <w:pPr>
        <w:spacing w:after="0" w:line="18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2028 Senior Notes Trustee</w:t>
      </w:r>
      <w:r>
        <w:rPr>
          <w:rFonts w:ascii="Arial" w:cs="Arial" w:eastAsia="Arial" w:hAnsi="Arial"/>
          <w:sz w:val="20"/>
          <w:szCs w:val="20"/>
          <w:color w:val="auto"/>
        </w:rPr>
        <w:t>” means The Bank of New York Mellon Trust Company, N.A., a national banking association, together with its successors and assigns.</w:t>
      </w:r>
    </w:p>
    <w:p>
      <w:pPr>
        <w:spacing w:after="0" w:line="17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2028 Senior Notes</w:t>
      </w:r>
      <w:r>
        <w:rPr>
          <w:rFonts w:ascii="Arial" w:cs="Arial" w:eastAsia="Arial" w:hAnsi="Arial"/>
          <w:sz w:val="20"/>
          <w:szCs w:val="20"/>
          <w:color w:val="auto"/>
        </w:rPr>
        <w:t>” means Parent’s (a) $1,250,000,000 aggregate principal amount of 3-7/8% senior unsecured notes due 2028 issued pursuant to the 2028 Senior Notes Indenture and (b) all other senior unsecured notes issued pursuant to the 2028 Senior Notes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7" w:name="page118"/>
    <w:bookmarkEnd w:id="117"/>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Appraisal</w:t>
      </w:r>
      <w:r>
        <w:rPr>
          <w:rFonts w:ascii="Arial" w:cs="Arial" w:eastAsia="Arial" w:hAnsi="Arial"/>
          <w:sz w:val="20"/>
          <w:szCs w:val="20"/>
          <w:color w:val="auto"/>
        </w:rPr>
        <w:t>” means, with respect to an appraisal of Inventory or Rolling Stock the most recent appraisal of such property received by Agent (a) from an appraisal company satisfactory to Agent, (b) the scope and methodology (including, to the extent relevant, any sampling procedure employed by such appraisal company) of which are satisfactory to Agent, and (c) the results of which are satisfactory to Agent, in each case, in Agent’s Permitted Discretion.</w:t>
      </w:r>
    </w:p>
    <w:p>
      <w:pPr>
        <w:spacing w:after="0" w:line="19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means an account (as that term is defined in the Code). Account also means any right to receive payment arising from the lease or rental of Inventory.</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means any Person who is obligated on an Account, chattel paper, or a general intangible.</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Party</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2.11(h)</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Change</w:t>
      </w:r>
      <w:r>
        <w:rPr>
          <w:rFonts w:ascii="Arial" w:cs="Arial" w:eastAsia="Arial" w:hAnsi="Arial"/>
          <w:sz w:val="20"/>
          <w:szCs w:val="20"/>
          <w:color w:val="auto"/>
        </w:rPr>
        <w:t>” means any change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8"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Indebtedness</w:t>
      </w:r>
      <w:r>
        <w:rPr>
          <w:rFonts w:ascii="Arial" w:cs="Arial" w:eastAsia="Arial" w:hAnsi="Arial"/>
          <w:sz w:val="20"/>
          <w:szCs w:val="20"/>
          <w:color w:val="auto"/>
        </w:rPr>
        <w:t xml:space="preserve">” means Indebtedness of a Person whose assets or Equity Interests are acquired by a Loan Party or any of its Restricted Subsidiaries in a Permitted Acquisition or Permitted Investment; </w:t>
      </w:r>
      <w:r>
        <w:rPr>
          <w:rFonts w:ascii="Arial" w:cs="Arial" w:eastAsia="Arial" w:hAnsi="Arial"/>
          <w:sz w:val="20"/>
          <w:szCs w:val="20"/>
          <w:u w:val="single" w:color="auto"/>
          <w:color w:val="auto"/>
        </w:rPr>
        <w:t>provided</w:t>
      </w:r>
      <w:r>
        <w:rPr>
          <w:rFonts w:ascii="Arial" w:cs="Arial" w:eastAsia="Arial" w:hAnsi="Arial"/>
          <w:sz w:val="20"/>
          <w:szCs w:val="20"/>
          <w:color w:val="auto"/>
        </w:rPr>
        <w:t>, that (a) such Indebtedness is either purchase money Indebtedness or a Capital Lease or mortgage financing with respect to Real Property, (b) such Indebtedness was in existence before the date of such Permitted Acquisition or Permitted Investment, (c) such Indebtedness was not incurred in connection with, or in contemplation of, such Permitted Acquisition or Permitted Investment, and (d) no Person is obligated with respect to such Indebtedness other than those Persons who were obligors with respect to such Indebtedness immediately before the consummation of such Permitted Acquisition or Permitted Investment.</w:t>
      </w:r>
    </w:p>
    <w:p>
      <w:pPr>
        <w:spacing w:after="0" w:line="197" w:lineRule="exact"/>
        <w:rPr>
          <w:sz w:val="20"/>
          <w:szCs w:val="20"/>
          <w:color w:val="auto"/>
        </w:rPr>
      </w:pPr>
    </w:p>
    <w:p>
      <w:pPr>
        <w:jc w:val="both"/>
        <w:ind w:firstLine="149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the purchase or other acquisition by a Person or its Restricted Subsidiaries of all or substantially all of the assets of (or any division or business line of) any other Person, or (b) the purchase or other acquisition (whether by means of a merger, consolidation, or otherwise) by a Person or its Subsidiaries of all of the Equity Interests of any other Person.</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Documents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Term SOFR</w:t>
      </w:r>
      <w:r>
        <w:rPr>
          <w:rFonts w:ascii="Arial" w:cs="Arial" w:eastAsia="Arial" w:hAnsi="Arial"/>
          <w:sz w:val="20"/>
          <w:szCs w:val="20"/>
          <w:color w:val="auto"/>
        </w:rPr>
        <w:t xml:space="preserve">” means, for purposes of any calculation, the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equal to (a) Term SOFR for such calculation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Term SOFR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Adjusted Term SOFR as so determined shall ever be less than the Floor, then Adjusted Term SOFR shall be deemed to be the Floor.</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Borrower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17.13</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13.1(a)</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8" w:name="page119"/>
    <w:bookmarkEnd w:id="118"/>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definition of Eligible Accounts and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this Agreement: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an Affiliate of such Person, (b) each director (or comparable manager) of a Person shall be deemed to be an Affiliate of such Person, and (c) each partnership in which a Person is a general partner shall be deemed an Affiliate of such Person.</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has the meaning specified therefor in the preamble to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Assignee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17.18</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Agent, together with its Affiliates, officers, directors, employees, attorneys, and agents.</w:t>
      </w:r>
    </w:p>
    <w:p>
      <w:pPr>
        <w:spacing w:after="0" w:line="23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Account</w:t>
      </w:r>
      <w:r>
        <w:rPr>
          <w:rFonts w:ascii="Arial" w:cs="Arial" w:eastAsia="Arial" w:hAnsi="Arial"/>
          <w:sz w:val="20"/>
          <w:szCs w:val="20"/>
          <w:color w:val="auto"/>
        </w:rPr>
        <w:t xml:space="preserve">” means the Deposit Account of Agent identified on </w:t>
      </w:r>
      <w:r>
        <w:rPr>
          <w:rFonts w:ascii="Arial" w:cs="Arial" w:eastAsia="Arial" w:hAnsi="Arial"/>
          <w:sz w:val="20"/>
          <w:szCs w:val="20"/>
          <w:u w:val="single" w:color="auto"/>
          <w:color w:val="auto"/>
        </w:rPr>
        <w:t>Schedule A-1</w:t>
      </w:r>
      <w:r>
        <w:rPr>
          <w:rFonts w:ascii="Arial" w:cs="Arial" w:eastAsia="Arial" w:hAnsi="Arial"/>
          <w:sz w:val="20"/>
          <w:szCs w:val="20"/>
          <w:color w:val="auto"/>
        </w:rPr>
        <w:t xml:space="preserve"> to this Agreement (or such other Deposit Account of Agent that has been designated as such, in writing, by Agent to Borrowers and the Lenders).</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Agent’s Liens</w:t>
      </w:r>
      <w:r>
        <w:rPr>
          <w:rFonts w:ascii="Arial" w:cs="Arial" w:eastAsia="Arial" w:hAnsi="Arial"/>
          <w:sz w:val="19"/>
          <w:szCs w:val="19"/>
          <w:color w:val="auto"/>
        </w:rPr>
        <w:t>” means the Liens granted by each Loan Party to Agent under the Loan Documents and securing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19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Sixth Amended and Restated Credit Agreement, as amended, restated, amended and restated, supplemented or otherwise modified from time to time.</w:t>
      </w:r>
    </w:p>
    <w:p>
      <w:pPr>
        <w:spacing w:after="0" w:line="176" w:lineRule="exact"/>
        <w:rPr>
          <w:sz w:val="20"/>
          <w:szCs w:val="20"/>
          <w:color w:val="auto"/>
        </w:rPr>
      </w:pPr>
    </w:p>
    <w:p>
      <w:pPr>
        <w:jc w:val="both"/>
        <w:ind w:firstLine="1547"/>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the FCPA, the U.K. Bribery Act of 2010, as amended, and all other applicable laws and regulations or ordinances concerning or relating to bribery or corruption in any jurisdiction in which any Loan Party or any of its Subsidiaries or Affiliates is located or is doing business.</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Anti-Money Laundering Laws</w:t>
      </w:r>
      <w:r>
        <w:rPr>
          <w:rFonts w:ascii="Arial" w:cs="Arial" w:eastAsia="Arial" w:hAnsi="Arial"/>
          <w:sz w:val="20"/>
          <w:szCs w:val="20"/>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88"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means, as of any date of determination and with respect to Base Rate Loans or SOFR Loans, as applicable, the applicable margin set forth in the following table that corresponds to the Average Availability of Borrowers for the most recently completed calendar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period from (and including) the Sixth Restatement Effective Date through and including the last day of the first full calendar quarter following the calendar quarter in which the Sixth Restatement Effective Date occurs, the Applicable Margin shall be set at the margin in the row styled “Level I”;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time an Event of Default has occurred and is continuing, the Applicable Margin shall be set at the margin in the row styled “Level III”: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9" w:name="page120"/>
    <w:bookmarkEnd w:id="119"/>
    <w:tbl>
      <w:tblPr>
        <w:tblLayout w:type="fixed"/>
        <w:tblInd w:w="1770" w:type="dxa"/>
        <w:tblCellMar>
          <w:top w:w="0" w:type="dxa"/>
          <w:left w:w="0" w:type="dxa"/>
          <w:bottom w:w="0" w:type="dxa"/>
          <w:right w:w="0" w:type="dxa"/>
        </w:tblCellMar>
      </w:tblPr>
      <w:tr>
        <w:trPr>
          <w:trHeight w:val="313"/>
        </w:trPr>
        <w:tc>
          <w:tcPr>
            <w:tcW w:w="260" w:type="dxa"/>
            <w:vAlign w:val="bottom"/>
            <w:tcBorders>
              <w:top w:val="single" w:sz="8" w:color="auto"/>
              <w:left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00" w:type="dxa"/>
            <w:vAlign w:val="bottom"/>
            <w:tcBorders>
              <w:top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gridSpan w:val="7"/>
          </w:tcPr>
          <w:p>
            <w:pPr>
              <w:jc w:val="center"/>
              <w:ind w:right="60"/>
              <w:spacing w:after="0"/>
              <w:rPr>
                <w:sz w:val="20"/>
                <w:szCs w:val="20"/>
                <w:color w:val="auto"/>
              </w:rPr>
            </w:pPr>
            <w:r>
              <w:rPr>
                <w:rFonts w:ascii="Arial" w:cs="Arial" w:eastAsia="Arial" w:hAnsi="Arial"/>
                <w:sz w:val="18"/>
                <w:szCs w:val="18"/>
                <w:color w:val="auto"/>
                <w:w w:val="95"/>
              </w:rPr>
              <w:t>Applicable Margin for</w:t>
            </w:r>
          </w:p>
        </w:tc>
        <w:tc>
          <w:tcPr>
            <w:tcW w:w="1980" w:type="dxa"/>
            <w:vAlign w:val="bottom"/>
            <w:tcBorders>
              <w:top w:val="single" w:sz="8" w:color="auto"/>
              <w:right w:val="single" w:sz="8" w:color="auto"/>
            </w:tcBorders>
            <w:gridSpan w:val="7"/>
          </w:tcPr>
          <w:p>
            <w:pPr>
              <w:jc w:val="center"/>
              <w:ind w:right="80"/>
              <w:spacing w:after="0"/>
              <w:rPr>
                <w:sz w:val="20"/>
                <w:szCs w:val="20"/>
                <w:color w:val="auto"/>
              </w:rPr>
            </w:pPr>
            <w:r>
              <w:rPr>
                <w:rFonts w:ascii="Arial" w:cs="Arial" w:eastAsia="Arial" w:hAnsi="Arial"/>
                <w:sz w:val="18"/>
                <w:szCs w:val="18"/>
                <w:color w:val="auto"/>
                <w:w w:val="95"/>
              </w:rPr>
              <w:t>Applicable Margin for</w:t>
            </w:r>
          </w:p>
        </w:tc>
      </w:tr>
      <w:tr>
        <w:trPr>
          <w:trHeight w:val="196"/>
        </w:trPr>
        <w:tc>
          <w:tcPr>
            <w:tcW w:w="26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4"/>
          </w:tcPr>
          <w:p>
            <w:pPr>
              <w:jc w:val="center"/>
              <w:ind w:right="80"/>
              <w:spacing w:after="0" w:line="195" w:lineRule="exact"/>
              <w:rPr>
                <w:sz w:val="20"/>
                <w:szCs w:val="20"/>
                <w:color w:val="auto"/>
              </w:rPr>
            </w:pPr>
            <w:r>
              <w:rPr>
                <w:rFonts w:ascii="Arial" w:cs="Arial" w:eastAsia="Arial" w:hAnsi="Arial"/>
                <w:sz w:val="18"/>
                <w:szCs w:val="18"/>
                <w:color w:val="auto"/>
                <w:w w:val="88"/>
              </w:rPr>
              <w:t>Base Rate Loans (the</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top w:val="single" w:sz="8" w:color="auto"/>
            </w:tcBorders>
            <w:gridSpan w:val="5"/>
          </w:tcPr>
          <w:p>
            <w:pPr>
              <w:jc w:val="center"/>
              <w:ind w:right="40"/>
              <w:spacing w:after="0" w:line="195" w:lineRule="exact"/>
              <w:rPr>
                <w:sz w:val="20"/>
                <w:szCs w:val="20"/>
                <w:color w:val="auto"/>
              </w:rPr>
            </w:pPr>
            <w:r>
              <w:rPr>
                <w:rFonts w:ascii="Arial" w:cs="Arial" w:eastAsia="Arial" w:hAnsi="Arial"/>
                <w:sz w:val="18"/>
                <w:szCs w:val="18"/>
                <w:color w:val="auto"/>
                <w:w w:val="89"/>
              </w:rPr>
              <w:t>SOFR Loans (the</w:t>
            </w:r>
          </w:p>
        </w:tc>
        <w:tc>
          <w:tcPr>
            <w:tcW w:w="180" w:type="dxa"/>
            <w:vAlign w:val="bottom"/>
            <w:tcBorders>
              <w:right w:val="single" w:sz="8" w:color="auto"/>
            </w:tcBorders>
          </w:tcPr>
          <w:p>
            <w:pPr>
              <w:spacing w:after="0"/>
              <w:rPr>
                <w:sz w:val="17"/>
                <w:szCs w:val="17"/>
                <w:color w:val="auto"/>
              </w:rPr>
            </w:pPr>
          </w:p>
        </w:tc>
      </w:tr>
      <w:tr>
        <w:trPr>
          <w:trHeight w:val="20"/>
        </w:trPr>
        <w:tc>
          <w:tcPr>
            <w:tcW w:w="260" w:type="dxa"/>
            <w:vAlign w:val="bottom"/>
            <w:tcBorders>
              <w:left w:val="single" w:sz="8" w:color="auto"/>
            </w:tcBorders>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2640" w:type="dxa"/>
            <w:vAlign w:val="bottom"/>
            <w:tcBorders>
              <w:right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96"/>
        </w:trPr>
        <w:tc>
          <w:tcPr>
            <w:tcW w:w="260" w:type="dxa"/>
            <w:vAlign w:val="bottom"/>
            <w:tcBorders>
              <w:left w:val="single" w:sz="8" w:color="auto"/>
            </w:tcBorders>
          </w:tcPr>
          <w:p>
            <w:pPr>
              <w:spacing w:after="0"/>
              <w:rPr>
                <w:sz w:val="17"/>
                <w:szCs w:val="17"/>
                <w:color w:val="auto"/>
              </w:rPr>
            </w:pPr>
          </w:p>
        </w:tc>
        <w:tc>
          <w:tcPr>
            <w:tcW w:w="700" w:type="dxa"/>
            <w:vAlign w:val="bottom"/>
            <w:tcBorders>
              <w:right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7"/>
              </w:rPr>
              <w:t>Level</w:t>
            </w:r>
          </w:p>
        </w:tc>
        <w:tc>
          <w:tcPr>
            <w:tcW w:w="264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94"/>
              </w:rPr>
              <w:t>Average Availability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Borders>
              <w:right w:val="single" w:sz="8" w:color="auto"/>
            </w:tcBorders>
            <w:gridSpan w:val="5"/>
          </w:tcPr>
          <w:p>
            <w:pPr>
              <w:jc w:val="center"/>
              <w:ind w:right="320"/>
              <w:spacing w:after="0" w:line="195" w:lineRule="exact"/>
              <w:rPr>
                <w:sz w:val="20"/>
                <w:szCs w:val="20"/>
                <w:color w:val="auto"/>
              </w:rPr>
            </w:pPr>
            <w:r>
              <w:rPr>
                <w:rFonts w:ascii="Arial" w:cs="Arial" w:eastAsia="Arial" w:hAnsi="Arial"/>
                <w:sz w:val="18"/>
                <w:szCs w:val="18"/>
                <w:color w:val="auto"/>
                <w:w w:val="93"/>
              </w:rPr>
              <w:t>“Base Rate Margin”)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right w:val="single" w:sz="8" w:color="auto"/>
            </w:tcBorders>
            <w:gridSpan w:val="5"/>
          </w:tcPr>
          <w:p>
            <w:pPr>
              <w:jc w:val="center"/>
              <w:ind w:right="340"/>
              <w:spacing w:after="0" w:line="195" w:lineRule="exact"/>
              <w:rPr>
                <w:sz w:val="20"/>
                <w:szCs w:val="20"/>
                <w:color w:val="auto"/>
              </w:rPr>
            </w:pPr>
            <w:r>
              <w:rPr>
                <w:rFonts w:ascii="Arial" w:cs="Arial" w:eastAsia="Arial" w:hAnsi="Arial"/>
                <w:sz w:val="18"/>
                <w:szCs w:val="18"/>
                <w:color w:val="auto"/>
                <w:w w:val="96"/>
              </w:rPr>
              <w:t>“SOFR Margin”)</w:t>
            </w:r>
          </w:p>
        </w:tc>
      </w:tr>
      <w:tr>
        <w:trPr>
          <w:trHeight w:val="139"/>
        </w:trPr>
        <w:tc>
          <w:tcPr>
            <w:tcW w:w="260" w:type="dxa"/>
            <w:vAlign w:val="bottom"/>
            <w:tcBorders>
              <w:left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r>
      <w:tr>
        <w:trPr>
          <w:trHeight w:val="320"/>
        </w:trPr>
        <w:tc>
          <w:tcPr>
            <w:tcW w:w="2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I</w:t>
            </w:r>
          </w:p>
        </w:tc>
        <w:tc>
          <w:tcPr>
            <w:tcW w:w="264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Greater than 66 -2/3% of the</w:t>
            </w:r>
          </w:p>
        </w:tc>
        <w:tc>
          <w:tcPr>
            <w:tcW w:w="1480" w:type="dxa"/>
            <w:vAlign w:val="bottom"/>
            <w:gridSpan w:val="4"/>
          </w:tcPr>
          <w:p>
            <w:pPr>
              <w:jc w:val="center"/>
              <w:ind w:left="570"/>
              <w:spacing w:after="0"/>
              <w:rPr>
                <w:sz w:val="20"/>
                <w:szCs w:val="20"/>
                <w:color w:val="auto"/>
              </w:rPr>
            </w:pPr>
            <w:r>
              <w:rPr>
                <w:rFonts w:ascii="Arial" w:cs="Arial" w:eastAsia="Arial" w:hAnsi="Arial"/>
                <w:sz w:val="18"/>
                <w:szCs w:val="18"/>
                <w:color w:val="auto"/>
                <w:w w:val="90"/>
              </w:rPr>
              <w:t>0.25%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60" w:type="dxa"/>
            <w:vAlign w:val="bottom"/>
            <w:gridSpan w:val="4"/>
          </w:tcPr>
          <w:p>
            <w:pPr>
              <w:jc w:val="center"/>
              <w:ind w:left="590"/>
              <w:spacing w:after="0"/>
              <w:rPr>
                <w:sz w:val="20"/>
                <w:szCs w:val="20"/>
                <w:color w:val="auto"/>
              </w:rPr>
            </w:pPr>
            <w:r>
              <w:rPr>
                <w:rFonts w:ascii="Arial" w:cs="Arial" w:eastAsia="Arial" w:hAnsi="Arial"/>
                <w:sz w:val="18"/>
                <w:szCs w:val="18"/>
                <w:color w:val="auto"/>
                <w:w w:val="90"/>
              </w:rPr>
              <w:t>1.25%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Maximum Revolver Amount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121"/>
        </w:trPr>
        <w:tc>
          <w:tcPr>
            <w:tcW w:w="260" w:type="dxa"/>
            <w:vAlign w:val="bottom"/>
            <w:tcBorders>
              <w:left w:val="single" w:sz="8" w:color="auto"/>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r>
      <w:tr>
        <w:trPr>
          <w:trHeight w:val="316"/>
        </w:trPr>
        <w:tc>
          <w:tcPr>
            <w:tcW w:w="2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rPr>
              <w:t>II</w:t>
            </w:r>
          </w:p>
        </w:tc>
        <w:tc>
          <w:tcPr>
            <w:tcW w:w="26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9"/>
              </w:rPr>
              <w:t>Less than or equal to 66 - 2/3%</w:t>
            </w:r>
          </w:p>
        </w:tc>
        <w:tc>
          <w:tcPr>
            <w:tcW w:w="1480" w:type="dxa"/>
            <w:vAlign w:val="bottom"/>
            <w:gridSpan w:val="4"/>
          </w:tcPr>
          <w:p>
            <w:pPr>
              <w:jc w:val="center"/>
              <w:ind w:left="570"/>
              <w:spacing w:after="0"/>
              <w:rPr>
                <w:sz w:val="20"/>
                <w:szCs w:val="20"/>
                <w:color w:val="auto"/>
              </w:rPr>
            </w:pPr>
            <w:r>
              <w:rPr>
                <w:rFonts w:ascii="Arial" w:cs="Arial" w:eastAsia="Arial" w:hAnsi="Arial"/>
                <w:sz w:val="18"/>
                <w:szCs w:val="18"/>
                <w:color w:val="auto"/>
                <w:w w:val="90"/>
              </w:rPr>
              <w:t>0.50%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60" w:type="dxa"/>
            <w:vAlign w:val="bottom"/>
            <w:gridSpan w:val="4"/>
          </w:tcPr>
          <w:p>
            <w:pPr>
              <w:jc w:val="center"/>
              <w:ind w:left="590"/>
              <w:spacing w:after="0"/>
              <w:rPr>
                <w:sz w:val="20"/>
                <w:szCs w:val="20"/>
                <w:color w:val="auto"/>
              </w:rPr>
            </w:pPr>
            <w:r>
              <w:rPr>
                <w:rFonts w:ascii="Arial" w:cs="Arial" w:eastAsia="Arial" w:hAnsi="Arial"/>
                <w:sz w:val="18"/>
                <w:szCs w:val="18"/>
                <w:color w:val="auto"/>
                <w:w w:val="90"/>
              </w:rPr>
              <w:t>1.50%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4"/>
              </w:rPr>
              <w:t>of the Maximum Revolver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0"/>
              </w:rPr>
              <w:t>Amount and greater than 33 -</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3"/>
              </w:rPr>
              <w:t>1/3% of the Maximum Revolver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121"/>
        </w:trPr>
        <w:tc>
          <w:tcPr>
            <w:tcW w:w="260" w:type="dxa"/>
            <w:vAlign w:val="bottom"/>
            <w:tcBorders>
              <w:left w:val="single" w:sz="8" w:color="auto"/>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r>
      <w:tr>
        <w:trPr>
          <w:trHeight w:val="316"/>
        </w:trPr>
        <w:tc>
          <w:tcPr>
            <w:tcW w:w="26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III</w:t>
            </w:r>
          </w:p>
        </w:tc>
        <w:tc>
          <w:tcPr>
            <w:tcW w:w="26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9"/>
              </w:rPr>
              <w:t>Less than or equal to 33 - 1/3%</w:t>
            </w:r>
          </w:p>
        </w:tc>
        <w:tc>
          <w:tcPr>
            <w:tcW w:w="1480" w:type="dxa"/>
            <w:vAlign w:val="bottom"/>
            <w:gridSpan w:val="4"/>
          </w:tcPr>
          <w:p>
            <w:pPr>
              <w:jc w:val="center"/>
              <w:ind w:left="570"/>
              <w:spacing w:after="0"/>
              <w:rPr>
                <w:sz w:val="20"/>
                <w:szCs w:val="20"/>
                <w:color w:val="auto"/>
              </w:rPr>
            </w:pPr>
            <w:r>
              <w:rPr>
                <w:rFonts w:ascii="Arial" w:cs="Arial" w:eastAsia="Arial" w:hAnsi="Arial"/>
                <w:sz w:val="18"/>
                <w:szCs w:val="18"/>
                <w:color w:val="auto"/>
                <w:w w:val="90"/>
              </w:rPr>
              <w:t>0.75%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60" w:type="dxa"/>
            <w:vAlign w:val="bottom"/>
            <w:gridSpan w:val="4"/>
          </w:tcPr>
          <w:p>
            <w:pPr>
              <w:jc w:val="center"/>
              <w:ind w:left="590"/>
              <w:spacing w:after="0"/>
              <w:rPr>
                <w:sz w:val="20"/>
                <w:szCs w:val="20"/>
                <w:color w:val="auto"/>
              </w:rPr>
            </w:pPr>
            <w:r>
              <w:rPr>
                <w:rFonts w:ascii="Arial" w:cs="Arial" w:eastAsia="Arial" w:hAnsi="Arial"/>
                <w:sz w:val="18"/>
                <w:szCs w:val="18"/>
                <w:color w:val="auto"/>
                <w:w w:val="90"/>
              </w:rPr>
              <w:t>1.75%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4"/>
              </w:rPr>
              <w:t>of the Maximum Revolver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121"/>
        </w:trPr>
        <w:tc>
          <w:tcPr>
            <w:tcW w:w="260" w:type="dxa"/>
            <w:vAlign w:val="bottom"/>
            <w:tcBorders>
              <w:left w:val="single" w:sz="8" w:color="auto"/>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r>
    </w:tbl>
    <w:p>
      <w:pPr>
        <w:spacing w:after="0" w:line="21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The Applicable Margin shall be re-determined as of the first day of each calendar quarter.</w:t>
      </w:r>
    </w:p>
    <w:p>
      <w:pPr>
        <w:spacing w:after="0" w:line="215"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Unused Line Fee Percentage</w:t>
      </w:r>
      <w:r>
        <w:rPr>
          <w:rFonts w:ascii="Arial" w:cs="Arial" w:eastAsia="Arial" w:hAnsi="Arial"/>
          <w:sz w:val="18"/>
          <w:szCs w:val="18"/>
          <w:color w:val="auto"/>
        </w:rPr>
        <w:t xml:space="preserve">” means, as of any date of determination, the applicable percentage set forth in the following table that corresponds to the Average Revolver Usage of Borrowers for the most recently completed calendar quarter as determined by Agent in its Permitted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period from the Sixth Restatement Effective Date through and including the last day of the first full calendar quarter following the calendar quarter in which the Sixth Restatement Effective Date occurs, the Applicable Unused Line Fee Percentage shall be set at the rate in the row styled “Level II”;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time an Event of Default has occurred and is continuing, the Applicable Unused Line Fee Percentage shall be set at the margin in the row styled “Level II”:</w:t>
      </w:r>
    </w:p>
    <w:p>
      <w:pPr>
        <w:spacing w:after="0" w:line="162" w:lineRule="exact"/>
        <w:rPr>
          <w:sz w:val="20"/>
          <w:szCs w:val="20"/>
          <w:color w:val="auto"/>
        </w:rPr>
      </w:pPr>
    </w:p>
    <w:tbl>
      <w:tblPr>
        <w:tblLayout w:type="fixed"/>
        <w:tblInd w:w="2190" w:type="dxa"/>
        <w:tblCellMar>
          <w:top w:w="0" w:type="dxa"/>
          <w:left w:w="0" w:type="dxa"/>
          <w:bottom w:w="0" w:type="dxa"/>
          <w:right w:w="0" w:type="dxa"/>
        </w:tblCellMar>
      </w:tblPr>
      <w:tr>
        <w:trPr>
          <w:trHeight w:val="327"/>
        </w:trPr>
        <w:tc>
          <w:tcPr>
            <w:tcW w:w="100" w:type="dxa"/>
            <w:vAlign w:val="bottom"/>
            <w:tcBorders>
              <w:top w:val="single" w:sz="8" w:color="auto"/>
              <w:left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91"/>
              </w:rPr>
              <w:t>Level</w:t>
            </w:r>
          </w:p>
        </w:tc>
        <w:tc>
          <w:tcPr>
            <w:tcW w:w="116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8"/>
              </w:rPr>
              <w:t>Average Revolver Usage</w:t>
            </w:r>
          </w:p>
        </w:tc>
        <w:tc>
          <w:tcPr>
            <w:tcW w:w="158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0"/>
                <w:szCs w:val="20"/>
                <w:color w:val="auto"/>
                <w:w w:val="91"/>
              </w:rPr>
              <w:t>Applicable Unused Line Fee</w:t>
            </w:r>
          </w:p>
        </w:tc>
        <w:tc>
          <w:tcPr>
            <w:tcW w:w="280" w:type="dxa"/>
            <w:vAlign w:val="bottom"/>
            <w:tcBorders>
              <w:top w:val="single" w:sz="8" w:color="auto"/>
              <w:right w:val="single" w:sz="8" w:color="auto"/>
            </w:tcBorders>
          </w:tcPr>
          <w:p>
            <w:pPr>
              <w:spacing w:after="0"/>
              <w:rPr>
                <w:sz w:val="24"/>
                <w:szCs w:val="24"/>
                <w:color w:val="auto"/>
              </w:rPr>
            </w:pPr>
          </w:p>
        </w:tc>
      </w:tr>
      <w:tr>
        <w:trPr>
          <w:trHeight w:val="209"/>
        </w:trPr>
        <w:tc>
          <w:tcPr>
            <w:tcW w:w="1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color w:val="auto"/>
              </w:rPr>
              <w:t>Percentage</w:t>
            </w:r>
          </w:p>
        </w:tc>
      </w:tr>
      <w:tr>
        <w:trPr>
          <w:trHeight w:val="139"/>
        </w:trPr>
        <w:tc>
          <w:tcPr>
            <w:tcW w:w="100" w:type="dxa"/>
            <w:vAlign w:val="bottom"/>
            <w:tcBorders>
              <w:left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r>
      <w:tr>
        <w:trPr>
          <w:trHeight w:val="330"/>
        </w:trPr>
        <w:tc>
          <w:tcPr>
            <w:tcW w:w="17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I</w:t>
            </w:r>
          </w:p>
        </w:tc>
        <w:tc>
          <w:tcPr>
            <w:tcW w:w="100" w:type="dxa"/>
            <w:vAlign w:val="bottom"/>
          </w:tcPr>
          <w:p>
            <w:pPr>
              <w:spacing w:after="0"/>
              <w:rPr>
                <w:sz w:val="24"/>
                <w:szCs w:val="24"/>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Greater than 50% of the Maximum</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0.25%</w:t>
            </w:r>
          </w:p>
        </w:tc>
        <w:tc>
          <w:tcPr>
            <w:tcW w:w="14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250"/>
        </w:trPr>
        <w:tc>
          <w:tcPr>
            <w:tcW w:w="100" w:type="dxa"/>
            <w:vAlign w:val="bottom"/>
            <w:tcBorders>
              <w:lef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Revolver Amount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r>
      <w:tr>
        <w:trPr>
          <w:trHeight w:val="117"/>
        </w:trPr>
        <w:tc>
          <w:tcPr>
            <w:tcW w:w="100" w:type="dxa"/>
            <w:vAlign w:val="bottom"/>
            <w:tcBorders>
              <w:left w:val="single" w:sz="8" w:color="auto"/>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r>
      <w:tr>
        <w:trPr>
          <w:trHeight w:val="327"/>
        </w:trPr>
        <w:tc>
          <w:tcPr>
            <w:tcW w:w="17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II</w:t>
            </w:r>
          </w:p>
        </w:tc>
        <w:tc>
          <w:tcPr>
            <w:tcW w:w="100" w:type="dxa"/>
            <w:vAlign w:val="bottom"/>
          </w:tcPr>
          <w:p>
            <w:pPr>
              <w:spacing w:after="0"/>
              <w:rPr>
                <w:sz w:val="24"/>
                <w:szCs w:val="24"/>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2"/>
              </w:rPr>
              <w:t>Less than or equal to 50% of the Maximum</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0.375%</w:t>
            </w:r>
          </w:p>
        </w:tc>
        <w:tc>
          <w:tcPr>
            <w:tcW w:w="14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250"/>
        </w:trPr>
        <w:tc>
          <w:tcPr>
            <w:tcW w:w="100" w:type="dxa"/>
            <w:vAlign w:val="bottom"/>
            <w:tcBorders>
              <w:lef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5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Revolver Amount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r>
      <w:tr>
        <w:trPr>
          <w:trHeight w:val="117"/>
        </w:trPr>
        <w:tc>
          <w:tcPr>
            <w:tcW w:w="100" w:type="dxa"/>
            <w:vAlign w:val="bottom"/>
            <w:tcBorders>
              <w:left w:val="single" w:sz="8" w:color="auto"/>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r>
    </w:tbl>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Applicable Unused Line Fee Percentage shall be re-determined on the first date of each calendar quarter by Agent.</w:t>
      </w:r>
    </w:p>
    <w:p>
      <w:pPr>
        <w:spacing w:after="0" w:line="238"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Application Event</w:t>
      </w:r>
      <w:r>
        <w:rPr>
          <w:rFonts w:ascii="Arial" w:cs="Arial" w:eastAsia="Arial" w:hAnsi="Arial"/>
          <w:sz w:val="20"/>
          <w:szCs w:val="20"/>
          <w:color w:val="auto"/>
        </w:rPr>
        <w:t xml:space="preserve">” means the occurrence of (a) a failure by Borrowers to repay all of the Obligations in full on the Maturity Date (other than any contingent indemnity or expense reimbursement obligations for which no claim has been made), or (b) an Event of Default and the election by Agent or the Required Lenders to require that payments and proceeds of Collateral be applied pursuant to </w:t>
      </w:r>
      <w:r>
        <w:rPr>
          <w:rFonts w:ascii="Arial" w:cs="Arial" w:eastAsia="Arial" w:hAnsi="Arial"/>
          <w:sz w:val="20"/>
          <w:szCs w:val="20"/>
          <w:u w:val="single" w:color="auto"/>
          <w:color w:val="auto"/>
        </w:rPr>
        <w:t>Section 2.4(b)(iii)</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20" w:name="page121"/>
    <w:bookmarkEnd w:id="120"/>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13.1(a)</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Agreement substantially in the form of </w:t>
      </w:r>
      <w:r>
        <w:rPr>
          <w:rFonts w:ascii="Arial" w:cs="Arial" w:eastAsia="Arial" w:hAnsi="Arial"/>
          <w:sz w:val="18"/>
          <w:szCs w:val="18"/>
          <w:u w:val="single" w:color="auto"/>
          <w:color w:val="auto"/>
        </w:rPr>
        <w:t>Exhibit A-1</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to this Agreement.</w:t>
      </w:r>
    </w:p>
    <w:p>
      <w:pPr>
        <w:spacing w:after="0" w:line="199"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Officer</w:t>
      </w:r>
      <w:r>
        <w:rPr>
          <w:rFonts w:ascii="Arial" w:cs="Arial" w:eastAsia="Arial" w:hAnsi="Arial"/>
          <w:sz w:val="20"/>
          <w:szCs w:val="20"/>
          <w:color w:val="auto"/>
        </w:rPr>
        <w:t>” means, as to any Person, the chief executive officer, chief financial officer, chief operating officer, president, executive vice president, vice president, secretary, treasurer, controller or assistant controller or any member, manager, or partner of such Person.</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Person</w:t>
      </w:r>
      <w:r>
        <w:rPr>
          <w:rFonts w:ascii="Arial" w:cs="Arial" w:eastAsia="Arial" w:hAnsi="Arial"/>
          <w:sz w:val="20"/>
          <w:szCs w:val="20"/>
          <w:color w:val="auto"/>
        </w:rPr>
        <w:t xml:space="preserve">” means any one of the individuals identified as an officer of a Borrower on </w:t>
      </w:r>
      <w:r>
        <w:rPr>
          <w:rFonts w:ascii="Arial" w:cs="Arial" w:eastAsia="Arial" w:hAnsi="Arial"/>
          <w:sz w:val="20"/>
          <w:szCs w:val="20"/>
          <w:u w:val="single" w:color="auto"/>
          <w:color w:val="auto"/>
        </w:rPr>
        <w:t>Schedule A-2</w:t>
      </w:r>
      <w:r>
        <w:rPr>
          <w:rFonts w:ascii="Arial" w:cs="Arial" w:eastAsia="Arial" w:hAnsi="Arial"/>
          <w:sz w:val="20"/>
          <w:szCs w:val="20"/>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means, as of any date of determination and with respect to the then-current Benchmark, as applicable, (a</w:t>
      </w:r>
    </w:p>
    <w:p>
      <w:pPr>
        <w:spacing w:after="0" w:line="15" w:lineRule="exact"/>
        <w:rPr>
          <w:sz w:val="20"/>
          <w:szCs w:val="20"/>
          <w:color w:val="auto"/>
        </w:rPr>
      </w:pPr>
    </w:p>
    <w:p>
      <w:pPr>
        <w:jc w:val="both"/>
        <w:ind w:firstLine="8"/>
        <w:spacing w:after="0" w:line="273" w:lineRule="auto"/>
        <w:tabs>
          <w:tab w:leader="none" w:pos="1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18"/>
          <w:szCs w:val="18"/>
          <w:u w:val="single" w:color="auto"/>
          <w:color w:val="auto"/>
        </w:rPr>
        <w:t>Section 2.12(d)(iii)(D)</w:t>
      </w:r>
      <w:r>
        <w:rPr>
          <w:rFonts w:ascii="Arial" w:cs="Arial" w:eastAsia="Arial" w:hAnsi="Arial"/>
          <w:sz w:val="18"/>
          <w:szCs w:val="18"/>
          <w:color w:val="auto"/>
        </w:rPr>
        <w:t>.</w:t>
      </w:r>
    </w:p>
    <w:p>
      <w:pPr>
        <w:spacing w:after="0" w:line="169"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means, as of any date of determination, the amount that Borrowers are entitled to borrow as Revolving Loans under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this Agreement (after giving effect to the then outstanding Revolver Usage).</w:t>
      </w:r>
    </w:p>
    <w:p>
      <w:pPr>
        <w:spacing w:after="0" w:line="17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Increase Amount</w:t>
      </w:r>
      <w:r>
        <w:rPr>
          <w:rFonts w:ascii="Arial" w:cs="Arial" w:eastAsia="Arial" w:hAnsi="Arial"/>
          <w:sz w:val="20"/>
          <w:szCs w:val="20"/>
          <w:color w:val="auto"/>
        </w:rPr>
        <w:t xml:space="preserve">” means, as of any date of determination, an amount equal to the result of (a) $250,000,000,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aggregate principal amount of Increases to the Revolver Commitments previously made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this Agreement.</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Average Availability</w:t>
      </w:r>
      <w:r>
        <w:rPr>
          <w:rFonts w:ascii="Arial" w:cs="Arial" w:eastAsia="Arial" w:hAnsi="Arial"/>
          <w:sz w:val="20"/>
          <w:szCs w:val="20"/>
          <w:color w:val="auto"/>
        </w:rPr>
        <w:t>” means, with respect to any period, the quotient of (a) the sum of the aggregate amount of Availability for each day in such period (as calculated by Agent as of the end of each respective day) divided by (b) the number of days in such period.</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Average Revolver Usage</w:t>
      </w:r>
      <w:r>
        <w:rPr>
          <w:rFonts w:ascii="Arial" w:cs="Arial" w:eastAsia="Arial" w:hAnsi="Arial"/>
          <w:sz w:val="20"/>
          <w:szCs w:val="20"/>
          <w:color w:val="auto"/>
        </w:rPr>
        <w:t xml:space="preserve">” means, with respect to any period, the quotient of (a) the sum of the aggregate amount of Revolver Usage for each day in such period (calculated as of the end of each respective day)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(b) the number of days in such period.</w:t>
      </w:r>
    </w:p>
    <w:p>
      <w:pPr>
        <w:spacing w:after="0" w:line="18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6"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1" w:name="page122"/>
    <w:bookmarkEnd w:id="121"/>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w:t>
      </w:r>
      <w:r>
        <w:rPr>
          <w:rFonts w:ascii="Arial" w:cs="Arial" w:eastAsia="Arial" w:hAnsi="Arial"/>
          <w:sz w:val="20"/>
          <w:szCs w:val="20"/>
          <w:color w:val="auto"/>
        </w:rPr>
        <w:t>” means any one or more of the following financial products or accommodations extended to any Loan Party or any of its Restricted Subsidiaries by a Bank Product Provider: (a) credit cards (including commercial cards (including so-called “purchase cards,” “procurement cards” or “p-cards”)); (b) payment card processing services; (c) debit cards; (d) stored value cards; (e) Cash Management Services; and (f) transactions under Hedge Agreements.</w:t>
      </w:r>
    </w:p>
    <w:p>
      <w:pPr>
        <w:spacing w:after="0" w:line="19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Agreements</w:t>
      </w:r>
      <w:r>
        <w:rPr>
          <w:rFonts w:ascii="Arial" w:cs="Arial" w:eastAsia="Arial" w:hAnsi="Arial"/>
          <w:sz w:val="20"/>
          <w:szCs w:val="20"/>
          <w:color w:val="auto"/>
        </w:rPr>
        <w:t>” means those agreements entered into from time to time by any Loan Party or any of its Restricted Subsidiaries with a Bank Product Provider in connection with the obtaining of any of the Bank Products.</w:t>
      </w:r>
    </w:p>
    <w:p>
      <w:pPr>
        <w:spacing w:after="0" w:line="176"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Collateralization</w:t>
      </w:r>
      <w:r>
        <w:rPr>
          <w:rFonts w:ascii="Arial" w:cs="Arial" w:eastAsia="Arial" w:hAnsi="Arial"/>
          <w:sz w:val="20"/>
          <w:szCs w:val="20"/>
          <w:color w:val="auto"/>
        </w:rPr>
        <w:t>” means providing cash collateral (pursuant to documentation reasonably satisfactory to Agent) to be held by Agent for the benefit of the Bank Product Providers (other than the Hedge Providers) in an amount determined by Agent in its Permitted Discretion as sufficient to satisfy the reasonably estimated credit exposure, operational risk or processing risk with respect to the then existing Bank Product Obligations (other than Hedge Obligations).</w:t>
      </w:r>
    </w:p>
    <w:p>
      <w:pPr>
        <w:spacing w:after="0" w:line="190"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Obligations</w:t>
      </w:r>
      <w:r>
        <w:rPr>
          <w:rFonts w:ascii="Arial" w:cs="Arial" w:eastAsia="Arial" w:hAnsi="Arial"/>
          <w:sz w:val="20"/>
          <w:szCs w:val="20"/>
          <w:color w:val="auto"/>
        </w:rPr>
        <w:t>” means (a) all obligations, liabilities, reimbursement obligations, fees, or expenses owing by each Loan Party and its Restricted Subsidiaries to any Bank Product Provider 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Restricted Subsidiaries.</w:t>
      </w:r>
    </w:p>
    <w:p>
      <w:pPr>
        <w:spacing w:after="0" w:line="197" w:lineRule="exact"/>
        <w:rPr>
          <w:sz w:val="20"/>
          <w:szCs w:val="20"/>
          <w:color w:val="auto"/>
        </w:rPr>
      </w:pPr>
    </w:p>
    <w:p>
      <w:pPr>
        <w:jc w:val="both"/>
        <w:ind w:firstLine="15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Provider</w:t>
      </w:r>
      <w:r>
        <w:rPr>
          <w:rFonts w:ascii="Arial" w:cs="Arial" w:eastAsia="Arial" w:hAnsi="Arial"/>
          <w:sz w:val="18"/>
          <w:szCs w:val="18"/>
          <w:color w:val="auto"/>
        </w:rPr>
        <w:t xml:space="preserve">” means any Lender or any of its Affiliates, including each of the foregoing in its capacity, if applicable, as a Hedge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Person (other than Wells Fargo or its Affiliates) shall constitute a Bank Product Provider with respect to a Bank Product unless and until Agent receives a Bank Product Provider Agreement from such Person (a) on or prior to the Sixth Restatement Effective Date (or such later date as Agent shall agree to in writing in its sole discretion) with respect to Bank Products provided on or prior to the Sixth Restatement Effective Date, or (b) on or prior to the date that is ten days after the provision of such Bank Product to a Loan Party or its Restricted Subsidiaries (or such later date as Agent shall agree to in writing in its sole discretion) with respect to Bank Products provided after the Sixth Restatement Effective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at any time, a Lender ceases to be a Lender under this Agreement (prior to the payment in full of the Obligations), then, from and after the date on which it so ceases to be a Lender thereunder,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71"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 Agreement</w:t>
      </w:r>
      <w:r>
        <w:rPr>
          <w:rFonts w:ascii="Arial" w:cs="Arial" w:eastAsia="Arial" w:hAnsi="Arial"/>
          <w:sz w:val="20"/>
          <w:szCs w:val="20"/>
          <w:color w:val="auto"/>
        </w:rPr>
        <w:t xml:space="preserve">” means an agreement in substantially the form attached hereto as </w:t>
      </w:r>
      <w:r>
        <w:rPr>
          <w:rFonts w:ascii="Arial" w:cs="Arial" w:eastAsia="Arial" w:hAnsi="Arial"/>
          <w:sz w:val="20"/>
          <w:szCs w:val="20"/>
          <w:u w:val="single" w:color="auto"/>
          <w:color w:val="auto"/>
        </w:rPr>
        <w:t>Exhibit B-2</w:t>
      </w:r>
      <w:r>
        <w:rPr>
          <w:rFonts w:ascii="Arial" w:cs="Arial" w:eastAsia="Arial" w:hAnsi="Arial"/>
          <w:sz w:val="20"/>
          <w:szCs w:val="20"/>
          <w:color w:val="auto"/>
        </w:rPr>
        <w:t xml:space="preserve"> to this Agreement, or otherwise in form and substance satisfactory to Agent, duly executed by the applicable Bank Product Provider, the applicable Loan Parties, and Agent.</w:t>
      </w:r>
    </w:p>
    <w:p>
      <w:pPr>
        <w:spacing w:after="0" w:line="188" w:lineRule="exact"/>
        <w:rPr>
          <w:sz w:val="20"/>
          <w:szCs w:val="20"/>
          <w:color w:val="auto"/>
        </w:rPr>
      </w:pPr>
    </w:p>
    <w:p>
      <w:pPr>
        <w:jc w:val="both"/>
        <w:ind w:right="20" w:firstLine="149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Reserves</w:t>
      </w:r>
      <w:r>
        <w:rPr>
          <w:rFonts w:ascii="Arial" w:cs="Arial" w:eastAsia="Arial" w:hAnsi="Arial"/>
          <w:sz w:val="18"/>
          <w:szCs w:val="18"/>
          <w:color w:val="auto"/>
        </w:rPr>
        <w:t>” means, as of any date of determination, those reserves that Agent in its Permitted Discretion deems necessary or appropriate to establish (based upon the Bank Product Providers’ determination of the liabilities and obligations of each Loan Party and its Restricted Subsidiaries in respect of Bank Product Obligations) in respect of Bank Products then provided or outstanding.</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as in effect from time to time.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2" w:name="page123"/>
    <w:bookmarkEnd w:id="122"/>
    <w:p>
      <w:pPr>
        <w:jc w:val="both"/>
        <w:ind w:firstLine="149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for any day, the greatest of (a) the Floor, (b) the Federal Funds Rate in effect on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½%, (c) Term SOFR for a one month tenor in effect on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 provided that this clause (c) shall not be applicable during any period in which Term SOFR is unavailable or unascertainable, and (d) the rate of interest announced, from time to time, within Wells Fargo at its principal office in San Francisco as its “prime rate” in effect on such day,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each portion of the Revolving Loans that bears interest at a rate determined by reference to the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Base Rate.</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Margin</w:t>
      </w:r>
      <w:r>
        <w:rPr>
          <w:rFonts w:ascii="Arial" w:cs="Arial" w:eastAsia="Arial" w:hAnsi="Arial"/>
          <w:sz w:val="20"/>
          <w:szCs w:val="20"/>
          <w:color w:val="auto"/>
        </w:rPr>
        <w:t>” has the meaning set forth in the definition of Applicable Margin.</w:t>
      </w:r>
    </w:p>
    <w:p>
      <w:pPr>
        <w:spacing w:after="0" w:line="215" w:lineRule="exact"/>
        <w:rPr>
          <w:sz w:val="20"/>
          <w:szCs w:val="20"/>
          <w:color w:val="auto"/>
        </w:rPr>
      </w:pPr>
    </w:p>
    <w:p>
      <w:pPr>
        <w:jc w:val="both"/>
        <w:ind w:firstLine="14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the Term SOFR Reference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16"/>
          <w:szCs w:val="16"/>
          <w:u w:val="single" w:color="auto"/>
          <w:color w:val="auto"/>
        </w:rPr>
        <w:t>Section 2.12(d)(iii)(A)</w:t>
      </w:r>
      <w:r>
        <w:rPr>
          <w:rFonts w:ascii="Arial" w:cs="Arial" w:eastAsia="Arial" w:hAnsi="Arial"/>
          <w:sz w:val="16"/>
          <w:szCs w:val="16"/>
          <w:color w:val="auto"/>
        </w:rPr>
        <w:t>.</w:t>
      </w:r>
    </w:p>
    <w:p>
      <w:pPr>
        <w:spacing w:after="0" w:line="117"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w:t>
      </w:r>
      <w:r>
        <w:rPr>
          <w:rFonts w:ascii="Arial" w:cs="Arial" w:eastAsia="Arial" w:hAnsi="Arial"/>
          <w:sz w:val="19"/>
          <w:szCs w:val="19"/>
          <w:color w:val="010101"/>
        </w:rPr>
        <w:t>with respect to any Benchmark Transition Event,</w:t>
      </w:r>
      <w:r>
        <w:rPr>
          <w:rFonts w:ascii="Arial" w:cs="Arial" w:eastAsia="Arial" w:hAnsi="Arial"/>
          <w:sz w:val="19"/>
          <w:szCs w:val="19"/>
          <w:color w:val="auto"/>
        </w:rPr>
        <w:t xml:space="preserve"> the sum of: (a) the alternate benchmark rate that has been selected by Agent and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83"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199" w:lineRule="exact"/>
        <w:rPr>
          <w:sz w:val="20"/>
          <w:szCs w:val="20"/>
          <w:color w:val="auto"/>
        </w:rPr>
      </w:pPr>
    </w:p>
    <w:p>
      <w:pPr>
        <w:jc w:val="both"/>
        <w:ind w:firstLine="1505"/>
        <w:spacing w:after="0" w:line="246" w:lineRule="auto"/>
        <w:tabs>
          <w:tab w:leader="none" w:pos="1893"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3" w:name="page124"/>
    <w:bookmarkEnd w:id="123"/>
    <w:p>
      <w:pPr>
        <w:jc w:val="both"/>
        <w:ind w:firstLine="1505"/>
        <w:spacing w:after="0" w:line="260" w:lineRule="auto"/>
        <w:tabs>
          <w:tab w:leader="none" w:pos="1893"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the then-current Benchmark:</w:t>
      </w:r>
    </w:p>
    <w:p>
      <w:pPr>
        <w:spacing w:after="0" w:line="176" w:lineRule="exact"/>
        <w:rPr>
          <w:sz w:val="20"/>
          <w:szCs w:val="20"/>
          <w:color w:val="auto"/>
        </w:rPr>
      </w:pPr>
    </w:p>
    <w:p>
      <w:pPr>
        <w:jc w:val="both"/>
        <w:ind w:firstLine="1505"/>
        <w:spacing w:after="0" w:line="244" w:lineRule="auto"/>
        <w:tabs>
          <w:tab w:leader="none" w:pos="1893"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2" w:lineRule="exact"/>
        <w:rPr>
          <w:rFonts w:ascii="Arial" w:cs="Arial" w:eastAsia="Arial" w:hAnsi="Arial"/>
          <w:sz w:val="20"/>
          <w:szCs w:val="20"/>
          <w:color w:val="auto"/>
        </w:rPr>
      </w:pPr>
    </w:p>
    <w:p>
      <w:pPr>
        <w:jc w:val="both"/>
        <w:ind w:firstLine="1505"/>
        <w:spacing w:after="0" w:line="256" w:lineRule="auto"/>
        <w:tabs>
          <w:tab w:leader="none" w:pos="189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85" w:lineRule="exact"/>
        <w:rPr>
          <w:rFonts w:ascii="Arial" w:cs="Arial" w:eastAsia="Arial" w:hAnsi="Arial"/>
          <w:sz w:val="19"/>
          <w:szCs w:val="19"/>
          <w:color w:val="auto"/>
        </w:rPr>
      </w:pPr>
    </w:p>
    <w:p>
      <w:pPr>
        <w:jc w:val="both"/>
        <w:ind w:firstLine="1505"/>
        <w:spacing w:after="0" w:line="249" w:lineRule="auto"/>
        <w:tabs>
          <w:tab w:leader="none" w:pos="1893" w:val="left"/>
        </w:tabs>
        <w:numPr>
          <w:ilvl w:val="0"/>
          <w:numId w:val="89"/>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Start Date</w:t>
      </w:r>
      <w:r>
        <w:rPr>
          <w:rFonts w:ascii="Arial" w:cs="Arial" w:eastAsia="Arial" w:hAnsi="Arial"/>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4" w:name="page125"/>
    <w:bookmarkEnd w:id="124"/>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and (b) ending at the time that a Benchmark Replacement has replaced the then-current Benchmark for all purposes hereunder and under any Loan Document in accordance with </w:t>
      </w:r>
      <w:r>
        <w:rPr>
          <w:rFonts w:ascii="Arial" w:cs="Arial" w:eastAsia="Arial" w:hAnsi="Arial"/>
          <w:sz w:val="18"/>
          <w:szCs w:val="18"/>
          <w:u w:val="single" w:color="auto"/>
          <w:color w:val="auto"/>
        </w:rPr>
        <w:t>Section 2.12(d)(iii)</w:t>
      </w:r>
      <w:r>
        <w:rPr>
          <w:rFonts w:ascii="Arial" w:cs="Arial" w:eastAsia="Arial" w:hAnsi="Arial"/>
          <w:sz w:val="18"/>
          <w:szCs w:val="18"/>
          <w:color w:val="auto"/>
        </w:rPr>
        <w:t>.</w:t>
      </w:r>
    </w:p>
    <w:p>
      <w:pPr>
        <w:spacing w:after="0" w:line="16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means an “affiliate” (as such term is defined under, and interpreted in accordance with, 12 U.S.C.</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Person.</w:t>
      </w:r>
    </w:p>
    <w:p>
      <w:pPr>
        <w:spacing w:after="0" w:line="199"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as to any Person, the board of directors (or comparable managers) of such Person, or (other than for purposes of the definition of “Change of Control”) any committee thereof duly authorized to act on behalf of the board of directors (or comparable managers).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Governors</w:t>
      </w:r>
      <w:r>
        <w:rPr>
          <w:rFonts w:ascii="Arial" w:cs="Arial" w:eastAsia="Arial" w:hAnsi="Arial"/>
          <w:sz w:val="19"/>
          <w:szCs w:val="19"/>
          <w:color w:val="auto"/>
        </w:rPr>
        <w:t>” means the Board of Governors of the Federal Reserve System of the United States (or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successor).</w:t>
      </w:r>
    </w:p>
    <w:p>
      <w:pPr>
        <w:spacing w:after="0" w:line="199"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and “</w:t>
      </w:r>
      <w:r>
        <w:rPr>
          <w:rFonts w:ascii="Arial" w:cs="Arial" w:eastAsia="Arial" w:hAnsi="Arial"/>
          <w:sz w:val="19"/>
          <w:szCs w:val="19"/>
          <w:u w:val="single" w:color="auto"/>
          <w:color w:val="auto"/>
        </w:rPr>
        <w:t>Borrowers</w:t>
      </w:r>
      <w:r>
        <w:rPr>
          <w:rFonts w:ascii="Arial" w:cs="Arial" w:eastAsia="Arial" w:hAnsi="Arial"/>
          <w:sz w:val="19"/>
          <w:szCs w:val="19"/>
          <w:color w:val="auto"/>
        </w:rPr>
        <w:t>” have the respective meanings specified therefor in the preamble to this Agreement.</w:t>
      </w:r>
    </w:p>
    <w:p>
      <w:pPr>
        <w:spacing w:after="0" w:line="22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borrowing consisting of Revolving Loans made on the same day by the Lenders (or Agent on behalf thereof), or by Swing Lender in the case of a Swing Loan, or by Agent in the case of an Extraordinary Advance.</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w:t>
      </w:r>
      <w:r>
        <w:rPr>
          <w:rFonts w:ascii="Arial" w:cs="Arial" w:eastAsia="Arial" w:hAnsi="Arial"/>
          <w:sz w:val="20"/>
          <w:szCs w:val="20"/>
          <w:color w:val="auto"/>
        </w:rPr>
        <w:t>” means, as of any date of determination, the result of:</w:t>
      </w:r>
    </w:p>
    <w:p>
      <w:pPr>
        <w:spacing w:after="0" w:line="215" w:lineRule="exact"/>
        <w:rPr>
          <w:sz w:val="20"/>
          <w:szCs w:val="20"/>
          <w:color w:val="auto"/>
        </w:rPr>
      </w:pPr>
    </w:p>
    <w:p>
      <w:pPr>
        <w:ind w:left="1900" w:hanging="395"/>
        <w:spacing w:after="0"/>
        <w:tabs>
          <w:tab w:leader="none" w:pos="1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85% of the amount of Loan Parties’ Eligible Accounts, </w:t>
      </w:r>
      <w:r>
        <w:rPr>
          <w:rFonts w:ascii="Arial" w:cs="Arial" w:eastAsia="Arial" w:hAnsi="Arial"/>
          <w:sz w:val="20"/>
          <w:szCs w:val="20"/>
          <w:u w:val="single" w:color="auto"/>
          <w:color w:val="auto"/>
        </w:rPr>
        <w:t>plus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100% of the Net Book Value of Loan Parties’ new Eligible Equipment Inventory held for sale, </w:t>
      </w:r>
      <w:r>
        <w:rPr>
          <w:rFonts w:ascii="Arial" w:cs="Arial" w:eastAsia="Arial" w:hAnsi="Arial"/>
          <w:sz w:val="20"/>
          <w:szCs w:val="20"/>
          <w:u w:val="single" w:color="auto"/>
          <w:color w:val="auto"/>
        </w:rPr>
        <w:t>plus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50% of the Net Book Value of Loan Parties’ used Eligible Equipment Inventory held for sale, </w:t>
      </w:r>
      <w:r>
        <w:rPr>
          <w:rFonts w:ascii="Arial" w:cs="Arial" w:eastAsia="Arial" w:hAnsi="Arial"/>
          <w:sz w:val="20"/>
          <w:szCs w:val="20"/>
          <w:u w:val="single" w:color="auto"/>
          <w:color w:val="auto"/>
        </w:rPr>
        <w:t>plus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50% of the Net Book Value of Loan Parties’ Eligible Parts and Tools Inventory, </w:t>
      </w:r>
      <w:r>
        <w:rPr>
          <w:rFonts w:ascii="Arial" w:cs="Arial" w:eastAsia="Arial" w:hAnsi="Arial"/>
          <w:sz w:val="20"/>
          <w:szCs w:val="20"/>
          <w:u w:val="single" w:color="auto"/>
          <w:color w:val="auto"/>
        </w:rPr>
        <w:t>plus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50% of the Net Book Value of Loan Parties’ Eligible Rolling Stock, </w:t>
      </w:r>
      <w:r>
        <w:rPr>
          <w:rFonts w:ascii="Arial" w:cs="Arial" w:eastAsia="Arial" w:hAnsi="Arial"/>
          <w:sz w:val="20"/>
          <w:szCs w:val="20"/>
          <w:u w:val="single" w:color="auto"/>
          <w:color w:val="auto"/>
        </w:rPr>
        <w:t>plus</w:t>
      </w:r>
    </w:p>
    <w:p>
      <w:pPr>
        <w:spacing w:after="0" w:line="214"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lesser of (i) 100% of Loan Parties’ Net Book Value of Eligible Equipment Inventory held for lease to third parties or being leased to third parties and (ii) 85% of the NOLV of Loan Parties’ Eligible Equipment Inventory held for lease to third parties or being leased to third parties, </w:t>
      </w:r>
      <w:r>
        <w:rPr>
          <w:rFonts w:ascii="Arial" w:cs="Arial" w:eastAsia="Arial" w:hAnsi="Arial"/>
          <w:sz w:val="20"/>
          <w:szCs w:val="20"/>
          <w:u w:val="single" w:color="auto"/>
          <w:color w:val="auto"/>
        </w:rPr>
        <w:t>less</w:t>
      </w:r>
    </w:p>
    <w:p>
      <w:pPr>
        <w:spacing w:after="0" w:line="187"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aggregate amount of Reserves, if any, established against the Borrowing Base by Agent from time to time under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5" w:name="page126"/>
    <w:bookmarkEnd w:id="125"/>
    <w:p>
      <w:pPr>
        <w:jc w:val="both"/>
        <w:ind w:firstLine="154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 Assets</w:t>
      </w:r>
      <w:r>
        <w:rPr>
          <w:rFonts w:ascii="Arial" w:cs="Arial" w:eastAsia="Arial" w:hAnsi="Arial"/>
          <w:sz w:val="19"/>
          <w:szCs w:val="19"/>
          <w:color w:val="auto"/>
        </w:rPr>
        <w:t>” means Accounts, Equipment Inventory, Parts and Tools Inventory, and Rolling Stock, together with any other types of assets or properties that are from time to time included in the calculation of the Borrowing Base.</w:t>
      </w:r>
    </w:p>
    <w:p>
      <w:pPr>
        <w:spacing w:after="0" w:line="153"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Certificate</w:t>
      </w:r>
      <w:r>
        <w:rPr>
          <w:rFonts w:ascii="Arial" w:cs="Arial" w:eastAsia="Arial" w:hAnsi="Arial"/>
          <w:sz w:val="20"/>
          <w:szCs w:val="20"/>
          <w:color w:val="auto"/>
        </w:rPr>
        <w:t xml:space="preserve">” means a certificate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to this Agreement (or such other form which is acceptable to Agent in its Permitted Discretion).</w:t>
      </w:r>
    </w:p>
    <w:p>
      <w:pPr>
        <w:spacing w:after="0" w:line="17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the Federal Reserve Bank of New</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York is closed.</w:t>
      </w:r>
    </w:p>
    <w:p>
      <w:pPr>
        <w:spacing w:after="0" w:line="199"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 respect to any Person for any period, the amount of all expenditures by such Person and its Restricted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(b) expenditures made during such period to consummate one or more Permitted Acquisitions, and (c) expenditures during such period that, pursuant to a written agreement, are reimbursed by a third Person (excluding any Loan Party or any of its Affiliates).</w:t>
      </w:r>
    </w:p>
    <w:p>
      <w:pPr>
        <w:spacing w:after="0" w:line="183"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 lease that is required to be classified and accounted for as a capital lease or a finance lease in accordance with GAAP.</w:t>
      </w:r>
    </w:p>
    <w:p>
      <w:pPr>
        <w:spacing w:after="0" w:line="176"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 Obligation</w:t>
      </w:r>
      <w:r>
        <w:rPr>
          <w:rFonts w:ascii="Arial" w:cs="Arial" w:eastAsia="Arial" w:hAnsi="Arial"/>
          <w:sz w:val="20"/>
          <w:szCs w:val="20"/>
          <w:color w:val="auto"/>
        </w:rPr>
        <w:t>” means that portion of the obligations under a Capital Lease that is required to be classified and accounted for as capital leases or finance leases in accordance with GAAP.</w:t>
      </w:r>
    </w:p>
    <w:p>
      <w:pPr>
        <w:spacing w:after="0" w:line="17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Dominion Event</w:t>
      </w:r>
      <w:r>
        <w:rPr>
          <w:rFonts w:ascii="Arial" w:cs="Arial" w:eastAsia="Arial" w:hAnsi="Arial"/>
          <w:sz w:val="20"/>
          <w:szCs w:val="20"/>
          <w:color w:val="auto"/>
        </w:rPr>
        <w:t>” means the occurrence of (a) any Specified Event of Default or (b) Excess Availability being less than 15% of the Maximum Revolver Amount.</w:t>
      </w:r>
    </w:p>
    <w:p>
      <w:pPr>
        <w:spacing w:after="0" w:line="17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Dominion Period</w:t>
      </w:r>
      <w:r>
        <w:rPr>
          <w:rFonts w:ascii="Arial" w:cs="Arial" w:eastAsia="Arial" w:hAnsi="Arial"/>
          <w:sz w:val="20"/>
          <w:szCs w:val="20"/>
          <w:color w:val="auto"/>
        </w:rPr>
        <w:t>” means each period (a) commencing with the occurrence of a Cash Dominion Event and (b) ending on the first date thereafter on which (i) no Specified Event of Default exists and (ii) Excess Availability has been greater than 15% of the Maximum Revolver Amount for 60 consecutive days.</w:t>
      </w:r>
    </w:p>
    <w:p>
      <w:pPr>
        <w:spacing w:after="0" w:line="188" w:lineRule="exact"/>
        <w:rPr>
          <w:sz w:val="20"/>
          <w:szCs w:val="20"/>
          <w:color w:val="auto"/>
        </w:rPr>
      </w:pPr>
    </w:p>
    <w:p>
      <w:pPr>
        <w:jc w:val="both"/>
        <w:ind w:firstLine="149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Arial" w:cs="Arial" w:eastAsia="Arial" w:hAnsi="Arial"/>
          <w:sz w:val="19"/>
          <w:szCs w:val="19"/>
          <w:u w:val="single" w:color="auto"/>
          <w:color w:val="auto"/>
        </w:rPr>
        <w:t>S&amp;P</w:t>
      </w:r>
      <w:r>
        <w:rPr>
          <w:rFonts w:ascii="Arial" w:cs="Arial" w:eastAsia="Arial" w:hAnsi="Arial"/>
          <w:sz w:val="19"/>
          <w:szCs w:val="19"/>
          <w:color w:val="auto"/>
        </w:rPr>
        <w:t>”) or Moody’s Investors Service, Inc. (“</w:t>
      </w:r>
      <w:r>
        <w:rPr>
          <w:rFonts w:ascii="Arial" w:cs="Arial" w:eastAsia="Arial" w:hAnsi="Arial"/>
          <w:sz w:val="19"/>
          <w:szCs w:val="19"/>
          <w:u w:val="single" w:color="auto"/>
          <w:color w:val="auto"/>
        </w:rPr>
        <w:t>Moody’s</w:t>
      </w:r>
      <w:r>
        <w:rPr>
          <w:rFonts w:ascii="Arial" w:cs="Arial" w:eastAsia="Arial" w:hAnsi="Arial"/>
          <w:sz w:val="19"/>
          <w:szCs w:val="19"/>
          <w:color w:val="auto"/>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6" w:name="page127"/>
    <w:bookmarkEnd w:id="126"/>
    <w:p>
      <w:pPr>
        <w:jc w:val="both"/>
        <w:spacing w:after="0" w:line="260" w:lineRule="auto"/>
        <w:rPr>
          <w:sz w:val="20"/>
          <w:szCs w:val="20"/>
          <w:color w:val="auto"/>
        </w:rPr>
      </w:pPr>
      <w:r>
        <w:rPr>
          <w:rFonts w:ascii="Arial" w:cs="Arial" w:eastAsia="Arial" w:hAnsi="Arial"/>
          <w:sz w:val="19"/>
          <w:szCs w:val="19"/>
          <w:color w:val="auto"/>
        </w:rPr>
        <w:t>satisfying the requirements of clause (d) of this definition or of any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78"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customary cash management arrangements.</w:t>
      </w:r>
    </w:p>
    <w:p>
      <w:pPr>
        <w:spacing w:after="0" w:line="17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(as that term is defined in the IRC) in which any Loan Party is a “United States shareholder” within the meaning of Section 951(b) of the IRC.</w:t>
      </w:r>
    </w:p>
    <w:p>
      <w:pPr>
        <w:spacing w:after="0" w:line="176" w:lineRule="exact"/>
        <w:rPr>
          <w:sz w:val="20"/>
          <w:szCs w:val="20"/>
          <w:color w:val="auto"/>
        </w:rPr>
      </w:pPr>
    </w:p>
    <w:p>
      <w:pPr>
        <w:jc w:val="both"/>
        <w:ind w:firstLine="154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Sixth Restatement Effective Date of: (a) the adoption or effectiveness of any law, rule, regulation, judicial ruling, judgment or treaty, (b) any change in any law, rule, regulation, judicial ruling, judgment or treaty or in the administration, interpretation, implementation or application thereof by any Governmental Authority, (c) any new, or adjustment to, requirements prescribed by the Board of Governors for “Eurocurrency Liabilities” (as defined in Regulation D of the Board of Governors), requirements imposed by the Federal Deposit Insurance Corporation, or similar requirements imposed by any domestic or foreign governmental authority or resulting from compliance by Agent or any Lender with any request or directive (whether or not having the force of law) from any central bank or other Governmental Authority and related in any manner to SOFR, the Term SOFR Reference Rate, Adjusted Term SOFR or Term SOFR, or (d) the making or issuance by any Governmental Authority of any request, rule, guideline or directive, whether or not having the force of law;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that:</w:t>
      </w:r>
    </w:p>
    <w:p>
      <w:pPr>
        <w:spacing w:after="0" w:line="215" w:lineRule="exact"/>
        <w:rPr>
          <w:sz w:val="20"/>
          <w:szCs w:val="20"/>
          <w:color w:val="auto"/>
        </w:rPr>
      </w:pPr>
    </w:p>
    <w:p>
      <w:pPr>
        <w:jc w:val="both"/>
        <w:ind w:firstLine="1505"/>
        <w:spacing w:after="0" w:line="263" w:lineRule="auto"/>
        <w:tabs>
          <w:tab w:leader="none" w:pos="1893"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Person or two or more Persons acting in concert (other than Permitted Holders or any Related Party of any Permitted Holder), shall have acquired beneficial ownership, directly or indirectly, of Equity Interests of Parent (or other securities convertible into such Equity Interests) representing more than 50% of the combined voting power of all Equity Interests of Parent entitled (without regard to the occurrence of any contingency) to vote for the election of members of the Board of Directors of Parent,</w:t>
      </w:r>
    </w:p>
    <w:p>
      <w:pPr>
        <w:spacing w:after="0" w:line="174" w:lineRule="exact"/>
        <w:rPr>
          <w:rFonts w:ascii="Arial" w:cs="Arial" w:eastAsia="Arial" w:hAnsi="Arial"/>
          <w:sz w:val="19"/>
          <w:szCs w:val="19"/>
          <w:color w:val="auto"/>
        </w:rPr>
      </w:pPr>
    </w:p>
    <w:p>
      <w:pPr>
        <w:ind w:left="1900" w:hanging="395"/>
        <w:spacing w:after="0"/>
        <w:tabs>
          <w:tab w:leader="none" w:pos="19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Parent fails to own and control, directly or indirectly, 100% of the Equity Interests of each other Loan Party, or</w:t>
      </w:r>
    </w:p>
    <w:p>
      <w:pPr>
        <w:spacing w:after="0" w:line="226" w:lineRule="exact"/>
        <w:rPr>
          <w:rFonts w:ascii="Arial" w:cs="Arial" w:eastAsia="Arial" w:hAnsi="Arial"/>
          <w:sz w:val="19"/>
          <w:szCs w:val="19"/>
          <w:color w:val="auto"/>
        </w:rPr>
      </w:pPr>
    </w:p>
    <w:p>
      <w:pPr>
        <w:ind w:right="60" w:firstLine="1505"/>
        <w:spacing w:after="0" w:line="260" w:lineRule="auto"/>
        <w:tabs>
          <w:tab w:leader="none" w:pos="189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occurrence of any “Change of Control” as defined in the 2028 Senior Notes Indenture, or in any other Indebtedness of any of Parent or any Restricted Subsidiary having an outstanding principal balance in excess of $50,000,000.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7" w:name="page128"/>
    <w:bookmarkEnd w:id="127"/>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Co-Syndication Agents</w:t>
      </w:r>
      <w:r>
        <w:rPr>
          <w:rFonts w:ascii="Arial" w:cs="Arial" w:eastAsia="Arial" w:hAnsi="Arial"/>
          <w:sz w:val="20"/>
          <w:szCs w:val="20"/>
          <w:color w:val="auto"/>
        </w:rPr>
        <w:t>” has the meaning set forth in the preamble to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New York Uniform Commercial Code, as in effect from time to time.</w:t>
      </w:r>
    </w:p>
    <w:p>
      <w:pPr>
        <w:spacing w:after="0" w:line="215" w:lineRule="exact"/>
        <w:rPr>
          <w:sz w:val="20"/>
          <w:szCs w:val="20"/>
          <w:color w:val="auto"/>
        </w:rPr>
      </w:pPr>
    </w:p>
    <w:p>
      <w:pPr>
        <w:jc w:val="both"/>
        <w:ind w:firstLine="149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assets and interests in assets and proceeds thereof now owned or hereafter acquired by any Loan Party in or upon which a Lien is granted by such Person in favor of Agent or the Lenders under any of the Loan Documents.</w:t>
      </w:r>
    </w:p>
    <w:p>
      <w:pPr>
        <w:spacing w:after="0" w:line="153"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Access Agreement</w:t>
      </w:r>
      <w:r>
        <w:rPr>
          <w:rFonts w:ascii="Arial" w:cs="Arial" w:eastAsia="Arial" w:hAnsi="Arial"/>
          <w:sz w:val="19"/>
          <w:szCs w:val="19"/>
          <w:color w:val="auto"/>
        </w:rPr>
        <w:t>” means a landlord waiver, bailee letter, or acknowledgement agreement of any lessor, warehouseman, processor, consignee, or other Person in possession of, having a Lien upon, or having rights or interests in any Loan Party’s books and records, Equipment, or Inventory, in each case, in form and substance reasonably satisfactory to Agent.</w:t>
      </w:r>
    </w:p>
    <w:p>
      <w:pPr>
        <w:spacing w:after="0" w:line="169"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Arial" w:cs="Arial" w:eastAsia="Arial" w:hAnsi="Arial"/>
          <w:sz w:val="20"/>
          <w:szCs w:val="20"/>
          <w:u w:val="single" w:color="auto"/>
          <w:color w:val="auto"/>
        </w:rPr>
        <w:t>Schedule C-1</w:t>
      </w:r>
      <w:r>
        <w:rPr>
          <w:rFonts w:ascii="Arial" w:cs="Arial" w:eastAsia="Arial" w:hAnsi="Arial"/>
          <w:sz w:val="20"/>
          <w:szCs w:val="20"/>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of this Agreement.</w:t>
      </w:r>
    </w:p>
    <w:p>
      <w:pPr>
        <w:spacing w:after="0" w:line="193"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to this Agreement delivered by the chief financial officer or treasurer of Parent to Agent.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17.9(a)</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Changes</w:t>
      </w:r>
      <w:r>
        <w:rPr>
          <w:rFonts w:ascii="Arial" w:cs="Arial" w:eastAsia="Arial" w:hAnsi="Arial"/>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9"/>
          <w:szCs w:val="19"/>
          <w:u w:val="single" w:color="auto"/>
          <w:color w:val="auto"/>
        </w:rPr>
        <w:t>Section 2.12(b)(ii)</w:t>
      </w:r>
      <w:r>
        <w:rPr>
          <w:rFonts w:ascii="Arial" w:cs="Arial" w:eastAsia="Arial" w:hAnsi="Arial"/>
          <w:sz w:val="19"/>
          <w:szCs w:val="19"/>
          <w:color w:val="auto"/>
        </w:rPr>
        <w:t xml:space="preserve">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spacing w:after="0" w:line="197"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6"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Debt</w:t>
      </w:r>
      <w:r>
        <w:rPr>
          <w:rFonts w:ascii="Arial" w:cs="Arial" w:eastAsia="Arial" w:hAnsi="Arial"/>
          <w:sz w:val="20"/>
          <w:szCs w:val="20"/>
          <w:color w:val="auto"/>
        </w:rPr>
        <w:t>” means, with respect to any Person as of any date of determination and determined on a consolidated basis in accordance with GAAP for such Person and its Restricted Subsidiaries, the sum, without duplication, of (a) the aggregate outstanding principal amount of all Indebtedness for borrowed money, (b) the outstanding principal amount of all obligations evidenced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8" w:name="page129"/>
    <w:bookmarkEnd w:id="128"/>
    <w:p>
      <w:pPr>
        <w:jc w:val="both"/>
        <w:ind w:right="20"/>
        <w:spacing w:after="0" w:line="275" w:lineRule="auto"/>
        <w:rPr>
          <w:sz w:val="20"/>
          <w:szCs w:val="20"/>
          <w:color w:val="auto"/>
        </w:rPr>
      </w:pPr>
      <w:r>
        <w:rPr>
          <w:rFonts w:ascii="Arial" w:cs="Arial" w:eastAsia="Arial" w:hAnsi="Arial"/>
          <w:sz w:val="18"/>
          <w:szCs w:val="18"/>
          <w:color w:val="auto"/>
        </w:rPr>
        <w:t>bonds, debentures, notes or other similar funded debt instruments, (c) the outstanding principal amount of unreimbursed obligations in respect of Letters of Credit (but excluding any undrawn amounts), (d) the outstanding principal component of Capitalized Lease Obligations,</w:t>
      </w:r>
    </w:p>
    <w:p>
      <w:pPr>
        <w:jc w:val="both"/>
        <w:ind w:firstLine="8"/>
        <w:spacing w:after="0" w:line="271" w:lineRule="auto"/>
        <w:tabs>
          <w:tab w:leader="none" w:pos="2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non-contingent obligations to pay the deferred purchase price of assets (including purchases on Open Account, to the extent provided in the definition thereof) payment for which is deferred 12 months or more (but excluding (i) obligations to trade creditors incurred in the ordinary course of business that are unsecured and not overdue by more than 12 months unless being contested in good faith and (ii) royalty payments payable in the ordinary course of business in respect of non-exclusive licenses) and any Earn-Outs when such obligation becomes fixed in an amount or is required under GAAP to appear in the liabilities section of their balance sheet (in the amount that is so fixed or appearing on such balance sheet from time to time, as the case may be), and (f) guarantee obligations with respect to outstanding Indebtedness of the types specified in clauses (a) through (e) above of Persons other than Parent or any of its Restricted Subsidiaries.</w:t>
      </w:r>
    </w:p>
    <w:p>
      <w:pPr>
        <w:spacing w:after="0" w:line="16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means an account control agreement, in form and substance reasonably satisfactory to Agent, executed and delivered by a Loan Party, Agent, and the applicable securities intermediary (with respect to a Securities Account) or bank (with respect to a Deposit Account).</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Investment Affiliate</w:t>
      </w:r>
      <w:r>
        <w:rPr>
          <w:rFonts w:ascii="Arial" w:cs="Arial" w:eastAsia="Arial" w:hAnsi="Arial"/>
          <w:sz w:val="20"/>
          <w:szCs w:val="20"/>
          <w:color w:val="auto"/>
        </w:rPr>
        <w:t>” means, as to any Person, any other Person which (a) directly or indirectly is controlled by such Person and (b) is organized by such Person primarily for the purpose of making equity or debt investments in one or more companies (but is not a portfolio company).</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Converting Borrowers</w:t>
      </w:r>
      <w:r>
        <w:rPr>
          <w:rFonts w:ascii="Arial" w:cs="Arial" w:eastAsia="Arial" w:hAnsi="Arial"/>
          <w:sz w:val="20"/>
          <w:szCs w:val="20"/>
          <w:color w:val="auto"/>
        </w:rPr>
        <w:t>” means each of Greater Northern Equipment, Inc., a Montana corporation, H&amp;E Equipment Services (California), LLC, a Delaware limited liability company, and H&amp;E Equipment Services (Mid-Atlantic), Inc., a Virginia corporation, each in its capacity as a “Borrower” under and as defined in the Existing Credit 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Security Agreement</w:t>
      </w:r>
      <w:r>
        <w:rPr>
          <w:rFonts w:ascii="Arial" w:cs="Arial" w:eastAsia="Arial" w:hAnsi="Arial"/>
          <w:sz w:val="20"/>
          <w:szCs w:val="20"/>
          <w:color w:val="auto"/>
        </w:rPr>
        <w:t>” has the meaning specified therefor in the Guaranty and Security Agreement.</w:t>
      </w:r>
    </w:p>
    <w:p>
      <w:pPr>
        <w:spacing w:after="0" w:line="215"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Covenant Testing Period</w:t>
      </w:r>
      <w:r>
        <w:rPr>
          <w:rFonts w:ascii="Arial" w:cs="Arial" w:eastAsia="Arial" w:hAnsi="Arial"/>
          <w:sz w:val="19"/>
          <w:szCs w:val="19"/>
          <w:color w:val="auto"/>
        </w:rPr>
        <w:t xml:space="preserve">” means a period (a) commencing on the last day of the fiscal month of Parent most recently ended before a Covenant Trigger Event for which Parent is required to deliver to Agent monthly, quarterly or annual financial statements pursuant to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to this Agreement and (b) continuing through and including the first day after such Covenant Trigger Event that Excess Availability has equaled or exceeded 10% of the Maximum Revolver Amount for 60 consecutive days.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Trigger Event</w:t>
      </w:r>
      <w:r>
        <w:rPr>
          <w:rFonts w:ascii="Arial" w:cs="Arial" w:eastAsia="Arial" w:hAnsi="Arial"/>
          <w:sz w:val="18"/>
          <w:szCs w:val="18"/>
          <w:color w:val="auto"/>
        </w:rPr>
        <w:t>” means if at any time Excess Availability is less than 10% of the Maximum Revolver Amount.</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5" w:lineRule="exact"/>
        <w:rPr>
          <w:sz w:val="20"/>
          <w:szCs w:val="20"/>
          <w:color w:val="auto"/>
        </w:rPr>
      </w:pPr>
    </w:p>
    <w:p>
      <w:pPr>
        <w:ind w:left="1900" w:hanging="395"/>
        <w:spacing w:after="0"/>
        <w:tabs>
          <w:tab w:leader="none" w:pos="19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17.17</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9" w:name="page130"/>
    <w:bookmarkEnd w:id="129"/>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 event, condition, or default that, with the giving of notice, the passage of time, or both, would be an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Event of Default.</w:t>
      </w:r>
    </w:p>
    <w:p>
      <w:pPr>
        <w:spacing w:after="0" w:line="19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6"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or Event of Default, shall be specifically identified in such writing) has not been satisfied, or</w:t>
      </w:r>
    </w:p>
    <w:p>
      <w:pPr>
        <w:spacing w:after="0" w:line="1" w:lineRule="exact"/>
        <w:rPr>
          <w:sz w:val="20"/>
          <w:szCs w:val="20"/>
          <w:color w:val="auto"/>
        </w:rPr>
      </w:pPr>
    </w:p>
    <w:p>
      <w:pPr>
        <w:jc w:val="both"/>
        <w:ind w:firstLine="8"/>
        <w:spacing w:after="0" w:line="265" w:lineRule="auto"/>
        <w:tabs>
          <w:tab w:leader="none" w:pos="309"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 to Agent, any Issuing Bank, or any other Lender any other amount required to be paid by it hereunder (including in respect of its participation in Letters of Credit) within two Business Days of the date when due, (b) has notified any Borrower, Agent or any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Lender shall cease to be a Defaulting Lender pursuant to this clause</w:t>
      </w:r>
    </w:p>
    <w:p>
      <w:pPr>
        <w:spacing w:after="0" w:line="5" w:lineRule="exact"/>
        <w:rPr>
          <w:rFonts w:ascii="Arial" w:cs="Arial" w:eastAsia="Arial" w:hAnsi="Arial"/>
          <w:sz w:val="18"/>
          <w:szCs w:val="18"/>
          <w:color w:val="auto"/>
        </w:rPr>
      </w:pPr>
    </w:p>
    <w:p>
      <w:pPr>
        <w:jc w:val="both"/>
        <w:ind w:firstLine="8"/>
        <w:spacing w:after="0" w:line="253" w:lineRule="auto"/>
        <w:tabs>
          <w:tab w:leader="none" w:pos="277"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upon receipt of such written confirmation by Agent and Administrative Borrower), or (d) has, or has a direct or indirect parent company that has, (i) become the subject of any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upon delivery of written notice of such determination to Administrative Borrower, each Issuing Bank, and each Lender.</w:t>
      </w:r>
    </w:p>
    <w:p>
      <w:pPr>
        <w:spacing w:after="0" w:line="187"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 Rate</w:t>
      </w:r>
      <w:r>
        <w:rPr>
          <w:rFonts w:ascii="Arial" w:cs="Arial" w:eastAsia="Arial" w:hAnsi="Arial"/>
          <w:sz w:val="20"/>
          <w:szCs w:val="20"/>
          <w:color w:val="auto"/>
        </w:rPr>
        <w:t>” means (a) for the first three days from and after the date the relevant payment is due, the Base Rate and (b) thereafter, the interest rate then applicable to Revolving Loans that are Base Rate Loans (inclusive of the Base Rate Margin applicable thereto).</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means any deposit account (as that term is defined in the Code).</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Account</w:t>
      </w:r>
      <w:r>
        <w:rPr>
          <w:rFonts w:ascii="Arial" w:cs="Arial" w:eastAsia="Arial" w:hAnsi="Arial"/>
          <w:sz w:val="20"/>
          <w:szCs w:val="20"/>
          <w:color w:val="auto"/>
        </w:rPr>
        <w:t xml:space="preserve">” means the Deposit Account of Administrative Borrower identified on </w:t>
      </w:r>
      <w:r>
        <w:rPr>
          <w:rFonts w:ascii="Arial" w:cs="Arial" w:eastAsia="Arial" w:hAnsi="Arial"/>
          <w:sz w:val="20"/>
          <w:szCs w:val="20"/>
          <w:u w:val="single" w:color="auto"/>
          <w:color w:val="auto"/>
        </w:rPr>
        <w:t>Schedule D-1</w:t>
      </w:r>
      <w:r>
        <w:rPr>
          <w:rFonts w:ascii="Arial" w:cs="Arial" w:eastAsia="Arial" w:hAnsi="Arial"/>
          <w:sz w:val="20"/>
          <w:szCs w:val="20"/>
          <w:color w:val="auto"/>
        </w:rPr>
        <w:t xml:space="preserve"> to this Agreement (or such other Deposit Account of Administrative Borrower located at Designated Account Bank that has been designated as such, in writing, by Borrowers to Agent).</w:t>
      </w:r>
    </w:p>
    <w:p>
      <w:pPr>
        <w:spacing w:after="0" w:line="188"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Account Bank</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Schedule D-1</w:t>
      </w:r>
      <w:r>
        <w:rPr>
          <w:rFonts w:ascii="Arial" w:cs="Arial" w:eastAsia="Arial" w:hAnsi="Arial"/>
          <w:sz w:val="20"/>
          <w:szCs w:val="20"/>
          <w:color w:val="auto"/>
        </w:rPr>
        <w:t xml:space="preserve"> to this Agreement (or such other bank that is located within the United States that has been designated as such, in writing, by Borrowers to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0" w:name="page131"/>
    <w:bookmarkEnd w:id="130"/>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Dilution</w:t>
      </w:r>
      <w:r>
        <w:rPr>
          <w:rFonts w:ascii="Arial" w:cs="Arial" w:eastAsia="Arial" w:hAnsi="Arial"/>
          <w:sz w:val="20"/>
          <w:szCs w:val="20"/>
          <w:color w:val="auto"/>
        </w:rPr>
        <w:t>” means, as of any date of determination, a percentage, based upon the experience of the immediately prior 12 months, that is the result of dividing the Dollar amount of (a) bad debt write-downs, discounts, advertising allowances, credits, or other dilutive items with respect to Borrowers’ Accounts during such period, by (b) Borrowers’ billings with respect to Accounts during such period.</w:t>
      </w:r>
    </w:p>
    <w:p>
      <w:pPr>
        <w:spacing w:after="0" w:line="19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Dilution Reserve</w:t>
      </w:r>
      <w:r>
        <w:rPr>
          <w:rFonts w:ascii="Arial" w:cs="Arial" w:eastAsia="Arial" w:hAnsi="Arial"/>
          <w:sz w:val="20"/>
          <w:szCs w:val="20"/>
          <w:color w:val="auto"/>
        </w:rPr>
        <w:t>” means, as of any date of determination, an amount sufficient to reduce the advance rate against Eligible Accounts by the extent to which Dilution is in excess of 5%.</w:t>
      </w:r>
    </w:p>
    <w:p>
      <w:pPr>
        <w:spacing w:after="0" w:line="176"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means any Equity Interests that, by their terms (or by the terms of any security or other Equity Interests into which they are convertible or for which they are exchangeable),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91 days after the Maturity Date.</w:t>
      </w:r>
    </w:p>
    <w:p>
      <w:pPr>
        <w:spacing w:after="0" w:line="181"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xml:space="preserve">” means, on any date, (a) those Persons who are direct competitors of the Borrowers identified from time to time in writing by Administrative Borrower to Agent and the Lenders (including by posting such notice on the Platform) not less than three Business Days before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“Disqualified Institutions” shall exclude any Person that Administrative Borrower has designated as no longer being a “Disqualified Institution” by written notice delivered to Agent from time to time;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connection with any assignment or participation, the Assignee or Participant with respect to such proposed assignment or participation that is an investment bank, a commercial bank, a finance company, a fund, or other Person which merely has an economic interest in any such direct competitor, and is not itself such a direct competitor of Parent or any of its Restricted Subsidiaries, shall not be deemed to be a Disqualified Institution for the purposes of this definition, and (b) Affiliates of any such persons referred above that are either (i) identified from time to time in writing by Administrative Borrower to Agent and the Lenders (including by posting such notice on the Platform) or (ii) clearly identifiable as an Affiliate of such persons on the basis of such Affiliate’s name (other than, in the case of this clause (ii), Affiliates that are bona fide debt funds); </w:t>
      </w:r>
      <w:r>
        <w:rPr>
          <w:rFonts w:ascii="Arial" w:cs="Arial" w:eastAsia="Arial" w:hAnsi="Arial"/>
          <w:sz w:val="18"/>
          <w:szCs w:val="18"/>
          <w:u w:val="single" w:color="auto"/>
          <w:color w:val="auto"/>
        </w:rPr>
        <w:t>provided</w:t>
      </w:r>
      <w:r>
        <w:rPr>
          <w:rFonts w:ascii="Arial" w:cs="Arial" w:eastAsia="Arial" w:hAnsi="Arial"/>
          <w:sz w:val="18"/>
          <w:szCs w:val="18"/>
          <w:color w:val="auto"/>
        </w:rPr>
        <w:t>, that (x) no designation of any Person as a Disqualified Institution shall retroactively disqualify any assignments or participations made to, or information provided to, such Person before it was designated as a Disqualified Institution, and such Person shall not be deemed to be a Disqualified Institution in respect of any assignments or participations made to such Person prior to the date of such designation and (y) no Person may be designated as a Disqualified Institution during the existence of any Event of Default.</w:t>
      </w:r>
    </w:p>
    <w:p>
      <w:pPr>
        <w:spacing w:after="0" w:line="177"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Disregarded Domestic Person</w:t>
      </w:r>
      <w:r>
        <w:rPr>
          <w:rFonts w:ascii="Arial" w:cs="Arial" w:eastAsia="Arial" w:hAnsi="Arial"/>
          <w:sz w:val="20"/>
          <w:szCs w:val="20"/>
          <w:color w:val="auto"/>
        </w:rPr>
        <w:t>” means any direct or indirect Domestic Subsidiary that is treated as a disregarded entity for U.S. federal income tax purposes, if it holds no material assets other than the equity of one or more direct or indirect Foreign Subsidiaries that are CFCs or other Disregarded Domestic Persons.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United States dollars.</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of any Loan Party that is not a Foreign Subsidiary.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1" w:name="page132"/>
    <w:bookmarkEnd w:id="131"/>
    <w:p>
      <w:pPr>
        <w:jc w:val="both"/>
        <w:ind w:right="20" w:firstLine="149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Document</w:t>
      </w:r>
      <w:r>
        <w:rPr>
          <w:rFonts w:ascii="Arial" w:cs="Arial" w:eastAsia="Arial" w:hAnsi="Arial"/>
          <w:sz w:val="18"/>
          <w:szCs w:val="18"/>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31"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Earn-Outs</w:t>
      </w:r>
      <w:r>
        <w:rPr>
          <w:rFonts w:ascii="Arial" w:cs="Arial" w:eastAsia="Arial" w:hAnsi="Arial"/>
          <w:sz w:val="20"/>
          <w:szCs w:val="20"/>
          <w:color w:val="auto"/>
        </w:rPr>
        <w:t xml:space="preserve"> ” means unsecured liabilities of a Loan Party or Restricted Subsidiary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9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means, with respect to any Person and its Restricted Subsidiaries on a consolidated basis for any fiscal period, without duplication, an amount equal to:</w:t>
      </w:r>
    </w:p>
    <w:p>
      <w:pPr>
        <w:spacing w:after="0" w:line="176" w:lineRule="exact"/>
        <w:rPr>
          <w:sz w:val="20"/>
          <w:szCs w:val="20"/>
          <w:color w:val="auto"/>
        </w:rPr>
      </w:pPr>
    </w:p>
    <w:p>
      <w:pPr>
        <w:ind w:left="1880" w:hanging="375"/>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consolidated net income for such period determined in accordance with GAAP; minus</w:t>
      </w:r>
    </w:p>
    <w:p>
      <w:pPr>
        <w:spacing w:after="0" w:line="214" w:lineRule="exact"/>
        <w:rPr>
          <w:rFonts w:ascii="Arial" w:cs="Arial" w:eastAsia="Arial" w:hAnsi="Arial"/>
          <w:sz w:val="20"/>
          <w:szCs w:val="20"/>
          <w:color w:val="auto"/>
        </w:rPr>
      </w:pPr>
    </w:p>
    <w:p>
      <w:pPr>
        <w:ind w:left="1880" w:hanging="375"/>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sum of:</w:t>
      </w:r>
    </w:p>
    <w:p>
      <w:pPr>
        <w:spacing w:after="0" w:line="214" w:lineRule="exact"/>
        <w:rPr>
          <w:rFonts w:ascii="Arial" w:cs="Arial" w:eastAsia="Arial" w:hAnsi="Arial"/>
          <w:sz w:val="20"/>
          <w:szCs w:val="20"/>
          <w:color w:val="auto"/>
        </w:rPr>
      </w:pPr>
    </w:p>
    <w:p>
      <w:pPr>
        <w:ind w:left="2440" w:hanging="560"/>
        <w:spacing w:after="0"/>
        <w:tabs>
          <w:tab w:leader="none" w:pos="24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benefit for income taxes;</w:t>
      </w:r>
    </w:p>
    <w:p>
      <w:pPr>
        <w:spacing w:after="0" w:line="214" w:lineRule="exact"/>
        <w:rPr>
          <w:rFonts w:ascii="Arial" w:cs="Arial" w:eastAsia="Arial" w:hAnsi="Arial"/>
          <w:sz w:val="20"/>
          <w:szCs w:val="20"/>
          <w:color w:val="auto"/>
        </w:rPr>
      </w:pPr>
    </w:p>
    <w:p>
      <w:pPr>
        <w:ind w:left="2440" w:hanging="560"/>
        <w:spacing w:after="0"/>
        <w:tabs>
          <w:tab w:leader="none" w:pos="24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interest income;</w:t>
      </w:r>
    </w:p>
    <w:p>
      <w:pPr>
        <w:spacing w:after="0" w:line="214" w:lineRule="exact"/>
        <w:rPr>
          <w:rFonts w:ascii="Arial" w:cs="Arial" w:eastAsia="Arial" w:hAnsi="Arial"/>
          <w:sz w:val="20"/>
          <w:szCs w:val="20"/>
          <w:color w:val="auto"/>
        </w:rPr>
      </w:pPr>
    </w:p>
    <w:p>
      <w:pPr>
        <w:ind w:left="2440" w:hanging="560"/>
        <w:spacing w:after="0"/>
        <w:tabs>
          <w:tab w:leader="none" w:pos="24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gain from extraordinary items for such period;</w:t>
      </w:r>
    </w:p>
    <w:p>
      <w:pPr>
        <w:spacing w:after="0" w:line="214" w:lineRule="exact"/>
        <w:rPr>
          <w:rFonts w:ascii="Arial" w:cs="Arial" w:eastAsia="Arial" w:hAnsi="Arial"/>
          <w:sz w:val="20"/>
          <w:szCs w:val="20"/>
          <w:color w:val="auto"/>
        </w:rPr>
      </w:pPr>
    </w:p>
    <w:p>
      <w:pPr>
        <w:ind w:right="20" w:firstLine="1880"/>
        <w:spacing w:after="0" w:line="249" w:lineRule="auto"/>
        <w:tabs>
          <w:tab w:leader="none" w:pos="2432"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amount of any non-controlling interest income consisting of losses attributed to non-controlling interests of third parties in any non-wholly owned Restricted Subsidiaries to the extent included in consolidated net income (or loss) and not received in cash by Parent or a wholly owned Restricted Subsidiary;</w:t>
      </w:r>
    </w:p>
    <w:p>
      <w:pPr>
        <w:spacing w:after="0" w:line="187" w:lineRule="exact"/>
        <w:rPr>
          <w:rFonts w:ascii="Arial" w:cs="Arial" w:eastAsia="Arial" w:hAnsi="Arial"/>
          <w:sz w:val="20"/>
          <w:szCs w:val="20"/>
          <w:color w:val="auto"/>
        </w:rPr>
      </w:pPr>
    </w:p>
    <w:p>
      <w:pPr>
        <w:ind w:right="120" w:firstLine="1880"/>
        <w:spacing w:after="0" w:line="249" w:lineRule="auto"/>
        <w:tabs>
          <w:tab w:leader="none" w:pos="2432"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other gains (excluding gains arising from the sale, exchange or other disposition of Equipment Inventory) that have been added in determining consolidated net income, in each case to the extent included in the calculation of consolidated net income for such period in accordance with GAAP, but without duplication; and</w:t>
      </w:r>
    </w:p>
    <w:p>
      <w:pPr>
        <w:spacing w:after="0" w:line="187" w:lineRule="exact"/>
        <w:rPr>
          <w:rFonts w:ascii="Arial" w:cs="Arial" w:eastAsia="Arial" w:hAnsi="Arial"/>
          <w:sz w:val="20"/>
          <w:szCs w:val="20"/>
          <w:color w:val="auto"/>
        </w:rPr>
      </w:pPr>
    </w:p>
    <w:p>
      <w:pPr>
        <w:ind w:left="2440" w:hanging="560"/>
        <w:spacing w:after="0"/>
        <w:tabs>
          <w:tab w:leader="none" w:pos="2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amount of all gains from discontinued operations (determined in accordance with GAAP) and divested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Investment; </w:t>
      </w:r>
      <w:r>
        <w:rPr>
          <w:rFonts w:ascii="Arial" w:cs="Arial" w:eastAsia="Arial" w:hAnsi="Arial"/>
          <w:sz w:val="20"/>
          <w:szCs w:val="20"/>
          <w:u w:val="single" w:color="auto"/>
          <w:color w:val="auto"/>
        </w:rPr>
        <w:t>plus</w:t>
      </w:r>
    </w:p>
    <w:p>
      <w:pPr>
        <w:spacing w:after="0" w:line="198" w:lineRule="exact"/>
        <w:rPr>
          <w:rFonts w:ascii="Arial" w:cs="Arial" w:eastAsia="Arial" w:hAnsi="Arial"/>
          <w:sz w:val="18"/>
          <w:szCs w:val="18"/>
          <w:color w:val="auto"/>
        </w:rPr>
      </w:pPr>
    </w:p>
    <w:p>
      <w:pPr>
        <w:ind w:left="1880" w:hanging="375"/>
        <w:spacing w:after="0"/>
        <w:tabs>
          <w:tab w:leader="none" w:pos="18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sum of:</w:t>
      </w:r>
    </w:p>
    <w:p>
      <w:pPr>
        <w:spacing w:after="0" w:line="214" w:lineRule="exact"/>
        <w:rPr>
          <w:rFonts w:ascii="Arial" w:cs="Arial" w:eastAsia="Arial" w:hAnsi="Arial"/>
          <w:sz w:val="20"/>
          <w:szCs w:val="20"/>
          <w:color w:val="auto"/>
        </w:rPr>
      </w:pPr>
    </w:p>
    <w:p>
      <w:pPr>
        <w:jc w:val="both"/>
        <w:ind w:firstLine="1901"/>
        <w:spacing w:after="0" w:line="249" w:lineRule="auto"/>
        <w:tabs>
          <w:tab w:leader="none" w:pos="2288" w:val="left"/>
        </w:tabs>
        <w:numPr>
          <w:ilvl w:val="2"/>
          <w:numId w:val="96"/>
        </w:numPr>
        <w:rPr>
          <w:rFonts w:ascii="Arial" w:cs="Arial" w:eastAsia="Arial" w:hAnsi="Arial"/>
          <w:sz w:val="20"/>
          <w:szCs w:val="20"/>
          <w:color w:val="auto"/>
        </w:rPr>
      </w:pPr>
      <w:r>
        <w:rPr>
          <w:rFonts w:ascii="Arial" w:cs="Arial" w:eastAsia="Arial" w:hAnsi="Arial"/>
          <w:sz w:val="20"/>
          <w:szCs w:val="20"/>
          <w:color w:val="auto"/>
        </w:rPr>
        <w:t>total consolidated tax expenses, including taxes based on income, profits or capital, and federal, state, local, value-added, land, border, sales, franchise and similar taxes and foreign withholding taxes, paid or accrued during such period, including penalties and interest related to such taxes or arising from any tax examinations;</w:t>
      </w:r>
    </w:p>
    <w:p>
      <w:pPr>
        <w:spacing w:after="0" w:line="187" w:lineRule="exact"/>
        <w:rPr>
          <w:rFonts w:ascii="Arial" w:cs="Arial" w:eastAsia="Arial" w:hAnsi="Arial"/>
          <w:sz w:val="20"/>
          <w:szCs w:val="20"/>
          <w:color w:val="auto"/>
        </w:rPr>
      </w:pPr>
    </w:p>
    <w:p>
      <w:pPr>
        <w:ind w:left="2300" w:hanging="399"/>
        <w:spacing w:after="0"/>
        <w:tabs>
          <w:tab w:leader="none" w:pos="2300" w:val="left"/>
        </w:tabs>
        <w:numPr>
          <w:ilvl w:val="2"/>
          <w:numId w:val="96"/>
        </w:numPr>
        <w:rPr>
          <w:rFonts w:ascii="Arial" w:cs="Arial" w:eastAsia="Arial" w:hAnsi="Arial"/>
          <w:sz w:val="20"/>
          <w:szCs w:val="20"/>
          <w:color w:val="auto"/>
        </w:rPr>
      </w:pPr>
      <w:r>
        <w:rPr>
          <w:rFonts w:ascii="Arial" w:cs="Arial" w:eastAsia="Arial" w:hAnsi="Arial"/>
          <w:sz w:val="20"/>
          <w:szCs w:val="20"/>
          <w:color w:val="auto"/>
        </w:rPr>
        <w:t>Interest Expense;</w:t>
      </w:r>
    </w:p>
    <w:p>
      <w:pPr>
        <w:spacing w:after="0" w:line="214" w:lineRule="exact"/>
        <w:rPr>
          <w:rFonts w:ascii="Arial" w:cs="Arial" w:eastAsia="Arial" w:hAnsi="Arial"/>
          <w:sz w:val="20"/>
          <w:szCs w:val="20"/>
          <w:color w:val="auto"/>
        </w:rPr>
      </w:pPr>
    </w:p>
    <w:p>
      <w:pPr>
        <w:ind w:left="2300" w:hanging="399"/>
        <w:spacing w:after="0"/>
        <w:tabs>
          <w:tab w:leader="none" w:pos="2300" w:val="left"/>
        </w:tabs>
        <w:numPr>
          <w:ilvl w:val="2"/>
          <w:numId w:val="96"/>
        </w:numPr>
        <w:rPr>
          <w:rFonts w:ascii="Arial" w:cs="Arial" w:eastAsia="Arial" w:hAnsi="Arial"/>
          <w:sz w:val="20"/>
          <w:szCs w:val="20"/>
          <w:color w:val="auto"/>
        </w:rPr>
      </w:pPr>
      <w:r>
        <w:rPr>
          <w:rFonts w:ascii="Arial" w:cs="Arial" w:eastAsia="Arial" w:hAnsi="Arial"/>
          <w:sz w:val="20"/>
          <w:szCs w:val="20"/>
          <w:color w:val="auto"/>
        </w:rPr>
        <w:t>loss from extraordinary items for such period;</w:t>
      </w:r>
    </w:p>
    <w:p>
      <w:pPr>
        <w:spacing w:after="0" w:line="214" w:lineRule="exact"/>
        <w:rPr>
          <w:rFonts w:ascii="Arial" w:cs="Arial" w:eastAsia="Arial" w:hAnsi="Arial"/>
          <w:sz w:val="20"/>
          <w:szCs w:val="20"/>
          <w:color w:val="auto"/>
        </w:rPr>
      </w:pPr>
    </w:p>
    <w:p>
      <w:pPr>
        <w:ind w:left="2300" w:hanging="399"/>
        <w:spacing w:after="0"/>
        <w:tabs>
          <w:tab w:leader="none" w:pos="2300" w:val="left"/>
        </w:tabs>
        <w:numPr>
          <w:ilvl w:val="2"/>
          <w:numId w:val="96"/>
        </w:numPr>
        <w:rPr>
          <w:rFonts w:ascii="Arial" w:cs="Arial" w:eastAsia="Arial" w:hAnsi="Arial"/>
          <w:sz w:val="20"/>
          <w:szCs w:val="20"/>
          <w:color w:val="auto"/>
        </w:rPr>
      </w:pPr>
      <w:r>
        <w:rPr>
          <w:rFonts w:ascii="Arial" w:cs="Arial" w:eastAsia="Arial" w:hAnsi="Arial"/>
          <w:sz w:val="20"/>
          <w:szCs w:val="20"/>
          <w:color w:val="auto"/>
        </w:rPr>
        <w:t>the amount of non-cash charges (including depreciation and amortization) for such period;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2" w:name="page133"/>
    <w:bookmarkEnd w:id="132"/>
    <w:p>
      <w:pPr>
        <w:ind w:firstLine="1901"/>
        <w:spacing w:after="0" w:line="244" w:lineRule="auto"/>
        <w:tabs>
          <w:tab w:leader="none" w:pos="2288" w:val="left"/>
        </w:tabs>
        <w:numPr>
          <w:ilvl w:val="2"/>
          <w:numId w:val="97"/>
        </w:numPr>
        <w:rPr>
          <w:rFonts w:ascii="Arial" w:cs="Arial" w:eastAsia="Arial" w:hAnsi="Arial"/>
          <w:sz w:val="20"/>
          <w:szCs w:val="20"/>
          <w:color w:val="auto"/>
        </w:rPr>
      </w:pPr>
      <w:r>
        <w:rPr>
          <w:rFonts w:ascii="Arial" w:cs="Arial" w:eastAsia="Arial" w:hAnsi="Arial"/>
          <w:sz w:val="20"/>
          <w:szCs w:val="20"/>
          <w:color w:val="auto"/>
        </w:rPr>
        <w:t xml:space="preserve">any fees, costs and expenses incurred during such period, or any amortization thereof for such period, in connection with any Permitted Acquisition, Permitted Investment, Permitted Disposition, the incurrence or repayment or refinancing of Permitted Indebtedness or issuance of Equity Interests not in the ordinary course of business of the Loan Parties, and any other transaction permitted hereunder (in each case, whether or not consummated);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amounts do not exceed $10,000,000 in the aggregate during any 12 fiscal month period;</w:t>
      </w:r>
    </w:p>
    <w:p>
      <w:pPr>
        <w:spacing w:after="0" w:line="192" w:lineRule="exact"/>
        <w:rPr>
          <w:rFonts w:ascii="Arial" w:cs="Arial" w:eastAsia="Arial" w:hAnsi="Arial"/>
          <w:sz w:val="20"/>
          <w:szCs w:val="20"/>
          <w:color w:val="auto"/>
        </w:rPr>
      </w:pPr>
    </w:p>
    <w:p>
      <w:pPr>
        <w:jc w:val="both"/>
        <w:ind w:firstLine="1901"/>
        <w:spacing w:after="0" w:line="244" w:lineRule="auto"/>
        <w:tabs>
          <w:tab w:leader="none" w:pos="2288" w:val="left"/>
        </w:tabs>
        <w:numPr>
          <w:ilvl w:val="2"/>
          <w:numId w:val="97"/>
        </w:numPr>
        <w:rPr>
          <w:rFonts w:ascii="Arial" w:cs="Arial" w:eastAsia="Arial" w:hAnsi="Arial"/>
          <w:sz w:val="20"/>
          <w:szCs w:val="20"/>
          <w:color w:val="auto"/>
        </w:rPr>
      </w:pPr>
      <w:r>
        <w:rPr>
          <w:rFonts w:ascii="Arial" w:cs="Arial" w:eastAsia="Arial" w:hAnsi="Arial"/>
          <w:sz w:val="20"/>
          <w:szCs w:val="20"/>
          <w:color w:val="auto"/>
        </w:rPr>
        <w:t>any fees, costs, charges or expenses (A) related to or arising in connection with the consummation of the transactions contemplated hereby, or (B) under or in connection with the Loan Documents or the 2028 Senior Notes (including the offering, issuance, repayment, and redemption thereof and the payment of any premium in connection therewith and any waiver, amendment, supplementation, or other modification (or proposed waiver, amendment, supplementation or other modification) thereto)) (or any amortization of such fees, costs, or expenses during such period);</w:t>
      </w:r>
    </w:p>
    <w:p>
      <w:pPr>
        <w:spacing w:after="0" w:line="192" w:lineRule="exact"/>
        <w:rPr>
          <w:rFonts w:ascii="Arial" w:cs="Arial" w:eastAsia="Arial" w:hAnsi="Arial"/>
          <w:sz w:val="20"/>
          <w:szCs w:val="20"/>
          <w:color w:val="auto"/>
        </w:rPr>
      </w:pPr>
    </w:p>
    <w:p>
      <w:pPr>
        <w:jc w:val="both"/>
        <w:ind w:firstLine="1901"/>
        <w:spacing w:after="0" w:line="290" w:lineRule="auto"/>
        <w:tabs>
          <w:tab w:leader="none" w:pos="2288"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losses, charges or expenses, provided that the aggregate amount of all such items, together with any add-backs described in clauses (viii) and (xi) below, shall not exceed 20% of EBITDA (calculated prior to giving effect to the add-backs under this clause (vii) or clauses (viii) and (xi) below) for any 12 fiscal month period;</w:t>
      </w:r>
    </w:p>
    <w:p>
      <w:pPr>
        <w:spacing w:after="0" w:line="153" w:lineRule="exact"/>
        <w:rPr>
          <w:rFonts w:ascii="Arial" w:cs="Arial" w:eastAsia="Arial" w:hAnsi="Arial"/>
          <w:sz w:val="18"/>
          <w:szCs w:val="18"/>
          <w:color w:val="auto"/>
        </w:rPr>
      </w:pPr>
    </w:p>
    <w:p>
      <w:pPr>
        <w:jc w:val="both"/>
        <w:ind w:firstLine="1901"/>
        <w:spacing w:after="0" w:line="268" w:lineRule="auto"/>
        <w:tabs>
          <w:tab w:leader="none" w:pos="2683" w:val="left"/>
        </w:tabs>
        <w:numPr>
          <w:ilvl w:val="2"/>
          <w:numId w:val="97"/>
        </w:numPr>
        <w:rPr>
          <w:rFonts w:ascii="Arial" w:cs="Arial" w:eastAsia="Arial" w:hAnsi="Arial"/>
          <w:sz w:val="18"/>
          <w:szCs w:val="18"/>
          <w:color w:val="auto"/>
        </w:rPr>
      </w:pPr>
      <w:r>
        <w:rPr>
          <w:rFonts w:ascii="Arial" w:cs="Arial" w:eastAsia="Arial" w:hAnsi="Arial"/>
          <w:sz w:val="18"/>
          <w:szCs w:val="18"/>
          <w:color w:val="auto"/>
        </w:rPr>
        <w:t>good faith pro forma adjustments arising out of cost savings initiatives or synergies attributable to the combination of operations resulting from any Permitted Acquisition, Permitted Disposition, and/or the implementation of any restructuring or operational improvement initiative or the designation of any Unrestricted Subsidiary as a Restricted Subsidiary with the operations of Parent and its Restricted Subsidiaries, in each case being given pro forma effect that (i) have been realized or (ii) will be taken, are committed to be taken or expected to be taken and are supportable and quantifiable (as determined by the chief financial officer or similar officer of Parent) and expected to be realized within the 12 fiscal months immediately following the date of such Permitted Acquisition, Permitted Disposition, initiative, or redesignation, provided that the aggregate amount of all such items, together with any add-backs described in clause (vii) above and clause (xi) below, shall not exceed 20% of EBITDA (calculated prior to giving effect to the add-backs under this clause (viii) or clause</w:t>
      </w:r>
    </w:p>
    <w:p>
      <w:pPr>
        <w:ind w:left="400" w:hanging="392"/>
        <w:spacing w:after="0"/>
        <w:tabs>
          <w:tab w:leader="none" w:pos="4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above or clause (xi) below) for any twelve month fiscal period;</w:t>
      </w:r>
    </w:p>
    <w:p>
      <w:pPr>
        <w:spacing w:after="0" w:line="198" w:lineRule="exact"/>
        <w:rPr>
          <w:rFonts w:ascii="Arial" w:cs="Arial" w:eastAsia="Arial" w:hAnsi="Arial"/>
          <w:sz w:val="20"/>
          <w:szCs w:val="20"/>
          <w:color w:val="auto"/>
        </w:rPr>
      </w:pPr>
    </w:p>
    <w:p>
      <w:pPr>
        <w:jc w:val="both"/>
        <w:ind w:firstLine="1901"/>
        <w:spacing w:after="0" w:line="249" w:lineRule="auto"/>
        <w:tabs>
          <w:tab w:leader="none" w:pos="2288" w:val="left"/>
        </w:tabs>
        <w:numPr>
          <w:ilvl w:val="2"/>
          <w:numId w:val="98"/>
        </w:numPr>
        <w:rPr>
          <w:rFonts w:ascii="Arial" w:cs="Arial" w:eastAsia="Arial" w:hAnsi="Arial"/>
          <w:sz w:val="20"/>
          <w:szCs w:val="20"/>
          <w:color w:val="auto"/>
        </w:rPr>
      </w:pPr>
      <w:r>
        <w:rPr>
          <w:rFonts w:ascii="Arial" w:cs="Arial" w:eastAsia="Arial" w:hAnsi="Arial"/>
          <w:sz w:val="20"/>
          <w:szCs w:val="20"/>
          <w:color w:val="auto"/>
        </w:rPr>
        <w:t>the amount of any deduction to consolidated net income as the result of any grant to any members of the management of such Person of any Equity Interests, in each case, to the extent included in the calculation of consolidated net income for such period in accordance with GAAP, but without duplication;</w:t>
      </w:r>
    </w:p>
    <w:p>
      <w:pPr>
        <w:spacing w:after="0" w:line="187" w:lineRule="exact"/>
        <w:rPr>
          <w:rFonts w:ascii="Arial" w:cs="Arial" w:eastAsia="Arial" w:hAnsi="Arial"/>
          <w:sz w:val="20"/>
          <w:szCs w:val="20"/>
          <w:color w:val="auto"/>
        </w:rPr>
      </w:pPr>
    </w:p>
    <w:p>
      <w:pPr>
        <w:ind w:left="2640" w:hanging="386"/>
        <w:spacing w:after="0"/>
        <w:tabs>
          <w:tab w:leader="none" w:pos="2640" w:val="left"/>
        </w:tabs>
        <w:numPr>
          <w:ilvl w:val="3"/>
          <w:numId w:val="9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jc w:val="both"/>
        <w:ind w:left="760" w:firstLine="1494"/>
        <w:spacing w:after="0" w:line="303" w:lineRule="auto"/>
        <w:tabs>
          <w:tab w:leader="none" w:pos="2653" w:val="left"/>
        </w:tabs>
        <w:numPr>
          <w:ilvl w:val="3"/>
          <w:numId w:val="98"/>
        </w:numPr>
        <w:rPr>
          <w:rFonts w:ascii="Arial" w:cs="Arial" w:eastAsia="Arial" w:hAnsi="Arial"/>
          <w:sz w:val="16"/>
          <w:szCs w:val="16"/>
          <w:color w:val="auto"/>
        </w:rPr>
      </w:pPr>
      <w:r>
        <w:rPr>
          <w:rFonts w:ascii="Arial" w:cs="Arial" w:eastAsia="Arial" w:hAnsi="Arial"/>
          <w:sz w:val="16"/>
          <w:szCs w:val="16"/>
          <w:color w:val="auto"/>
        </w:rPr>
        <w:t>the amount of any restructuring charges, integration charges and business optimization expenses, recruiting fees and other one-time expenses and systems and infrastructure costs, stay bonuses, severance, relocation and retention bonuses and any other cash expenses associated with restructuring or closing facilities or operations (including transaction expenses incurred in connection with the foregoing); provided that the aggregate amount of all such items, together with any add-backs described in clauses (vii) and (viii) above, shall not exceed 20% of EBITDA (calculated prior to giving effect to the add-backs under this clause</w:t>
      </w:r>
    </w:p>
    <w:p>
      <w:pPr>
        <w:ind w:left="1100" w:hanging="343"/>
        <w:spacing w:after="0"/>
        <w:tabs>
          <w:tab w:leader="none" w:pos="1100" w:val="left"/>
        </w:tabs>
        <w:numPr>
          <w:ilvl w:val="1"/>
          <w:numId w:val="98"/>
        </w:numPr>
        <w:rPr>
          <w:rFonts w:ascii="Arial" w:cs="Arial" w:eastAsia="Arial" w:hAnsi="Arial"/>
          <w:sz w:val="20"/>
          <w:szCs w:val="20"/>
          <w:color w:val="auto"/>
        </w:rPr>
      </w:pPr>
      <w:r>
        <w:rPr>
          <w:rFonts w:ascii="Arial" w:cs="Arial" w:eastAsia="Arial" w:hAnsi="Arial"/>
          <w:sz w:val="20"/>
          <w:szCs w:val="20"/>
          <w:color w:val="auto"/>
        </w:rPr>
        <w:t>or clauses (vii) and (vii) above) for any twelve month fiscal period;</w:t>
      </w:r>
    </w:p>
    <w:p>
      <w:pPr>
        <w:spacing w:after="0" w:line="198" w:lineRule="exact"/>
        <w:rPr>
          <w:rFonts w:ascii="Arial" w:cs="Arial" w:eastAsia="Arial" w:hAnsi="Arial"/>
          <w:sz w:val="20"/>
          <w:szCs w:val="20"/>
          <w:color w:val="auto"/>
        </w:rPr>
      </w:pPr>
    </w:p>
    <w:p>
      <w:pPr>
        <w:ind w:left="2640" w:hanging="386"/>
        <w:spacing w:after="0"/>
        <w:tabs>
          <w:tab w:leader="none" w:pos="2640" w:val="left"/>
        </w:tabs>
        <w:numPr>
          <w:ilvl w:val="3"/>
          <w:numId w:val="99"/>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3" w:name="page134"/>
    <w:bookmarkEnd w:id="133"/>
    <w:p>
      <w:pPr>
        <w:jc w:val="both"/>
        <w:ind w:left="760" w:firstLine="1494"/>
        <w:spacing w:after="0" w:line="278" w:lineRule="auto"/>
        <w:tabs>
          <w:tab w:leader="none" w:pos="30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fees, costs and expenses (A) that have been or, without duplication, required to be (and, within 270 days after the end of such period, are actually) reimbursed by third parties (pursuant to indemnity, escrow or otherwise) (including, without limitation, expenses incurred with respect to liability or casualty events or business interruption that are covered by insurance) and (B) incurred with respect to liability or casualty events or business interruption (to the extent covered by insurance) and, without duplication, cash proceeds of business interruption insurance received by Parent or any Restricted Subsidiary;</w:t>
      </w:r>
    </w:p>
    <w:p>
      <w:pPr>
        <w:spacing w:after="0" w:line="163" w:lineRule="exact"/>
        <w:rPr>
          <w:rFonts w:ascii="Arial" w:cs="Arial" w:eastAsia="Arial" w:hAnsi="Arial"/>
          <w:sz w:val="18"/>
          <w:szCs w:val="18"/>
          <w:color w:val="auto"/>
        </w:rPr>
      </w:pPr>
    </w:p>
    <w:p>
      <w:pPr>
        <w:jc w:val="both"/>
        <w:ind w:left="760" w:firstLine="1494"/>
        <w:spacing w:after="0" w:line="249" w:lineRule="auto"/>
        <w:tabs>
          <w:tab w:leader="none" w:pos="304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aggregate amount of fees, costs and expenses incurred, and cash payments made, in connection with any litigation or claim involving Parent or any of its Restricted Subsidiaries not in the ordinary course of business, including any settlement thereof; and</w:t>
      </w:r>
    </w:p>
    <w:p>
      <w:pPr>
        <w:spacing w:after="0" w:line="187" w:lineRule="exact"/>
        <w:rPr>
          <w:rFonts w:ascii="Arial" w:cs="Arial" w:eastAsia="Arial" w:hAnsi="Arial"/>
          <w:sz w:val="20"/>
          <w:szCs w:val="20"/>
          <w:color w:val="auto"/>
        </w:rPr>
      </w:pPr>
    </w:p>
    <w:p>
      <w:pPr>
        <w:ind w:left="760" w:right="40" w:firstLine="1494"/>
        <w:spacing w:after="0" w:line="260" w:lineRule="auto"/>
        <w:tabs>
          <w:tab w:leader="none" w:pos="304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amount of all losses and expenses from (or incurred in connection with) discontinued operations (determined in accordance with GAAP) and divested Investments.</w:t>
      </w:r>
    </w:p>
    <w:p>
      <w:pPr>
        <w:spacing w:after="0" w:line="176" w:lineRule="exact"/>
        <w:rPr>
          <w:sz w:val="20"/>
          <w:szCs w:val="20"/>
          <w:color w:val="auto"/>
        </w:rPr>
      </w:pPr>
    </w:p>
    <w:p>
      <w:pPr>
        <w:ind w:firstLine="1498"/>
        <w:spacing w:after="0" w:line="260" w:lineRule="auto"/>
        <w:rPr>
          <w:sz w:val="20"/>
          <w:szCs w:val="20"/>
          <w:color w:val="auto"/>
        </w:rPr>
      </w:pPr>
      <w:r>
        <w:rPr>
          <w:rFonts w:ascii="Arial" w:cs="Arial" w:eastAsia="Arial" w:hAnsi="Arial"/>
          <w:sz w:val="20"/>
          <w:szCs w:val="20"/>
          <w:color w:val="auto"/>
        </w:rPr>
        <w:t>For purposes of this definition, the following items shall be excluded in determining consolidated net income of a Person (without duplication):</w:t>
      </w:r>
    </w:p>
    <w:p>
      <w:pPr>
        <w:spacing w:after="0" w:line="176" w:lineRule="exact"/>
        <w:rPr>
          <w:sz w:val="20"/>
          <w:szCs w:val="20"/>
          <w:color w:val="auto"/>
        </w:rPr>
      </w:pPr>
    </w:p>
    <w:p>
      <w:pPr>
        <w:ind w:firstLine="1597"/>
        <w:spacing w:after="0" w:line="246" w:lineRule="auto"/>
        <w:tabs>
          <w:tab w:leader="none" w:pos="1893"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income (or deficit) of any Person that is not a wholly owned Restricted Subsidiary, or is an Unrestricted Subsidiary, or that is accounted for by the equity method of accounting, except, in each case, to the extent of the amount of dividends or distributions or other payments paid in cash (or to the extent converted into cash) to Parent or a Restricted Subsidiary during the applicable period;</w:t>
      </w:r>
    </w:p>
    <w:p>
      <w:pPr>
        <w:spacing w:after="0" w:line="189"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undistributed earnings of any Restricted Subsidiary of such Person to the extent that a distribution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or equity holders, unless such restrictions with respect to the payment of dividends or similar distributions have been legally waived;</w:t>
      </w:r>
    </w:p>
    <w:p>
      <w:pPr>
        <w:spacing w:after="0" w:line="192"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restoration to income of any contingency reserve, except to the extent that provision for such reserve was made out of income accrued during such period;</w:t>
      </w:r>
    </w:p>
    <w:p>
      <w:pPr>
        <w:spacing w:after="0" w:line="175"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write up or write-down of any asset (excluding any write-down related to any Accounts and Parts and Tools Inventory and Equipment Inventory);</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net gain from the collection of the proceeds of life insurance policies;</w:t>
      </w:r>
    </w:p>
    <w:p>
      <w:pPr>
        <w:spacing w:after="0" w:line="214"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net gain or net loss arising from the acquisition or disposition of any securities, or the extinguishment, under GAAP, of any Indebtedness, of such Person;</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the case of a successor to such Person by consolidation or merger or as a transferee of its assets, any earnings of such successor prior to such consolidation, merger or transfer of assets;</w:t>
      </w:r>
    </w:p>
    <w:p>
      <w:pPr>
        <w:spacing w:after="0" w:line="175" w:lineRule="exact"/>
        <w:rPr>
          <w:rFonts w:ascii="Arial" w:cs="Arial" w:eastAsia="Arial" w:hAnsi="Arial"/>
          <w:sz w:val="20"/>
          <w:szCs w:val="20"/>
          <w:color w:val="auto"/>
        </w:rPr>
      </w:pPr>
    </w:p>
    <w:p>
      <w:pPr>
        <w:jc w:val="both"/>
        <w:ind w:firstLine="1505"/>
        <w:spacing w:after="0" w:line="260" w:lineRule="auto"/>
        <w:tabs>
          <w:tab w:leader="none" w:pos="189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deferred credit representing the excess of equity in any Subsidiary of such Person at the date of acquisition of such Subsidiary over the cost to such Person of the investment in such Subsidiary. For the purposes of calculating EBITDA for any period of twelve consecutive months (each, a “</w:t>
      </w:r>
      <w:r>
        <w:rPr>
          <w:rFonts w:ascii="Arial" w:cs="Arial" w:eastAsia="Arial" w:hAnsi="Arial"/>
          <w:sz w:val="19"/>
          <w:szCs w:val="19"/>
          <w:u w:val="single" w:color="auto"/>
          <w:color w:val="auto"/>
        </w:rPr>
        <w:t>Reference Period</w:t>
      </w:r>
      <w:r>
        <w:rPr>
          <w:rFonts w:ascii="Arial" w:cs="Arial" w:eastAsia="Arial" w:hAnsi="Arial"/>
          <w:sz w:val="19"/>
          <w:szCs w:val="19"/>
          <w:color w:val="auto"/>
        </w:rPr>
        <w:t>”), if at any time during such Reference Period (and on or after the Sixth Restatement Effective Date), any Loan Party or any of its Restricted Subsidiaries shall have designated a Restricted Subsidiary as an Unrestricted Subsidiary, EBITDA for such Reference Period shall be excluded therefrom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4" w:name="page135"/>
    <w:bookmarkEnd w:id="134"/>
    <w:p>
      <w:pPr>
        <w:jc w:val="both"/>
        <w:spacing w:after="0" w:line="260" w:lineRule="auto"/>
        <w:rPr>
          <w:sz w:val="20"/>
          <w:szCs w:val="20"/>
          <w:color w:val="auto"/>
        </w:rPr>
      </w:pPr>
      <w:r>
        <w:rPr>
          <w:rFonts w:ascii="Arial" w:cs="Arial" w:eastAsia="Arial" w:hAnsi="Arial"/>
          <w:sz w:val="20"/>
          <w:szCs w:val="20"/>
          <w:color w:val="auto"/>
        </w:rPr>
        <w:t>(including the portion thereof occurring prior to such designation) on a pro forma basis (determined in a manner acceptable to Agent) as if designation occurred on the first day of such Reference Period; and</w:t>
      </w:r>
    </w:p>
    <w:p>
      <w:pPr>
        <w:spacing w:after="0" w:line="17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9"/>
          <w:szCs w:val="19"/>
          <w:color w:val="auto"/>
        </w:rPr>
        <w:t>the amount of all gains from discontinued operations (determined in accordance with GAAP) and divested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Investments.</w:t>
      </w:r>
    </w:p>
    <w:p>
      <w:pPr>
        <w:spacing w:after="0" w:line="199"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38" w:lineRule="exact"/>
        <w:rPr>
          <w:sz w:val="20"/>
          <w:szCs w:val="20"/>
          <w:color w:val="auto"/>
        </w:rPr>
      </w:pPr>
    </w:p>
    <w:p>
      <w:pPr>
        <w:jc w:val="both"/>
        <w:ind w:right="20" w:firstLine="149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1" w:lineRule="exact"/>
        <w:rPr>
          <w:sz w:val="20"/>
          <w:szCs w:val="20"/>
          <w:color w:val="auto"/>
        </w:rPr>
      </w:pPr>
    </w:p>
    <w:p>
      <w:pPr>
        <w:jc w:val="both"/>
        <w:ind w:firstLine="149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Accounts</w:t>
      </w:r>
      <w:r>
        <w:rPr>
          <w:rFonts w:ascii="Arial" w:cs="Arial" w:eastAsia="Arial" w:hAnsi="Arial"/>
          <w:sz w:val="19"/>
          <w:szCs w:val="19"/>
          <w:color w:val="auto"/>
        </w:rPr>
        <w:t xml:space="preserve">” means those Accounts which are created by a Loan Party in the ordinary course of its business, arise out of such Loan Party’s renting, leasing, or sale of Equipment Inventory and Parts and Tools Inventory, comply with each of the representations and warranties respecting Eligible Accounts made in the Loan Documents, and are not excluded as ineligible by virtue of one or more of the excluding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criteria may be revised from time to time by Agent in Agent’s Permitted Discretion to address the results of any information with respect to the Loan Parties’ business or assets of which Agent becomes aware after the Sixth Restatement Effective Date (including any field examination performed by (or on behalf of) Agent from time to time after the Sixth Restatement Effective Date) which is inconsistent in any material respect with any information which was actually known by Agent on or prior to the Sixth Restatement Effective Date;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may not revise such criteria if such revision does or would tend to increase Availability (excluding any revision which constitutes the elimination of any earlier revision which did reduce or tended to reduce Availability), except with the consent of the Supermajority Lenders;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shall provide Administrative Borrower with not less than three Business Days’ prior written notice of such revised criteria. In determining the amount to be included, Eligible Accounts shall be calculated net of customer deposits, unapplied cash, taxes, finance charges, service charges, discounts, credits, allowances, and rebates. Eligible Accounts shall not include the following:</w:t>
      </w:r>
    </w:p>
    <w:p>
      <w:pPr>
        <w:spacing w:after="0" w:line="190" w:lineRule="exact"/>
        <w:rPr>
          <w:sz w:val="20"/>
          <w:szCs w:val="20"/>
          <w:color w:val="auto"/>
        </w:rPr>
      </w:pPr>
    </w:p>
    <w:p>
      <w:pPr>
        <w:ind w:firstLine="1505"/>
        <w:spacing w:after="0" w:line="260" w:lineRule="auto"/>
        <w:tabs>
          <w:tab w:leader="none" w:pos="18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Accounts arising from the sale of Goods or services that the Account Debtor has failed to pay within 90 days after its original invoice date or 60 days after its due date,</w:t>
      </w:r>
    </w:p>
    <w:p>
      <w:pPr>
        <w:spacing w:after="0" w:line="175" w:lineRule="exact"/>
        <w:rPr>
          <w:rFonts w:ascii="Arial" w:cs="Arial" w:eastAsia="Arial" w:hAnsi="Arial"/>
          <w:sz w:val="20"/>
          <w:szCs w:val="20"/>
          <w:color w:val="auto"/>
        </w:rPr>
      </w:pPr>
    </w:p>
    <w:p>
      <w:pPr>
        <w:ind w:firstLine="1505"/>
        <w:spacing w:after="0" w:line="315" w:lineRule="auto"/>
        <w:tabs>
          <w:tab w:leader="none" w:pos="189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Accounts arising from the renting or leasing of Equipment Inventory to an Account Debtor, if such Account Debtor is in default of any obligation to make payment thereunder or any other default exists under the rental or leasing agreement related thereto,</w:t>
      </w:r>
    </w:p>
    <w:p>
      <w:pPr>
        <w:spacing w:after="0" w:line="130" w:lineRule="exact"/>
        <w:rPr>
          <w:rFonts w:ascii="Arial" w:cs="Arial" w:eastAsia="Arial" w:hAnsi="Arial"/>
          <w:sz w:val="18"/>
          <w:szCs w:val="18"/>
          <w:color w:val="auto"/>
        </w:rPr>
      </w:pPr>
    </w:p>
    <w:p>
      <w:pPr>
        <w:ind w:right="20" w:firstLine="1505"/>
        <w:spacing w:after="0" w:line="260" w:lineRule="auto"/>
        <w:tabs>
          <w:tab w:leader="none" w:pos="18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Accounts owed by an Account Debtor (or its Affiliates) where 50% or more of all Accounts owed by that Account Debtor (or its Affiliates) are deemed ineligible under clause (a) above,</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Accounts arising from the sale of Goods which have selling terms of more than 30 days,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5" w:name="page136"/>
    <w:bookmarkEnd w:id="135"/>
    <w:p>
      <w:pPr>
        <w:ind w:right="40" w:firstLine="1505"/>
        <w:spacing w:after="0" w:line="260" w:lineRule="auto"/>
        <w:tabs>
          <w:tab w:leader="none" w:pos="189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Accounts arising from the renting or leasing of Equipment Inventory which are not due within 90 days of the applicable date of determination,</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an Affiliate of any Loan Party or an employee or agent of any Loan Party or any Affiliate of any Loan Party,</w:t>
      </w:r>
    </w:p>
    <w:p>
      <w:pPr>
        <w:spacing w:after="0" w:line="175" w:lineRule="exact"/>
        <w:rPr>
          <w:rFonts w:ascii="Arial" w:cs="Arial" w:eastAsia="Arial" w:hAnsi="Arial"/>
          <w:sz w:val="20"/>
          <w:szCs w:val="20"/>
          <w:color w:val="auto"/>
        </w:rPr>
      </w:pPr>
    </w:p>
    <w:p>
      <w:pPr>
        <w:jc w:val="both"/>
        <w:ind w:firstLine="1505"/>
        <w:spacing w:after="0" w:line="290" w:lineRule="auto"/>
        <w:tabs>
          <w:tab w:leader="none" w:pos="189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Accounts (i) arising in a transaction wherein goods are placed on consignment or are sold pursuant to a guaranteed sale, a sale or return, a sale on approval, a bill and hold, or any other terms by reason of which the payment by the Account Debtor may be conditional, or (ii) with respect to which the payment terms are “C.O.D.,” cash on delivery or other similar terms,</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Accounts that are not payable in Dollars,</w:t>
      </w:r>
    </w:p>
    <w:p>
      <w:pPr>
        <w:spacing w:after="0" w:line="214" w:lineRule="exact"/>
        <w:rPr>
          <w:rFonts w:ascii="Arial" w:cs="Arial" w:eastAsia="Arial" w:hAnsi="Arial"/>
          <w:sz w:val="20"/>
          <w:szCs w:val="20"/>
          <w:color w:val="auto"/>
        </w:rPr>
      </w:pPr>
    </w:p>
    <w:p>
      <w:pPr>
        <w:jc w:val="both"/>
        <w:ind w:firstLine="1505"/>
        <w:spacing w:after="0" w:line="256" w:lineRule="auto"/>
        <w:tabs>
          <w:tab w:leader="none" w:pos="189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Accounts with respect to which the Account Debtor either (i) does not maintain its chief executive office in the United States or Canada or any of their respective states, provinces or territories, or (ii) is not organized under the laws of the United States or Canada or any state, province or territory of the United States or Canada, or (iii) is the government of any foreign country or sovereign state, or of any state, province, municipality, or other political subdivision thereof, or of any department, agency, public corporation, or other instrumentality thereof (other than Canada, to the extent otherwise provided in this definition), unless (A) the Account is supported by an irrevocable letter of credit reasonably satisfactory to Agent (as to form, substance, and issuer or domestic confirming bank) that has been delivered to Agent and, if requested by Agent, is directly drawable by Agent, or (B) the Account is covered by credit insurance in form, substance, and amount, and by an insurer, reasonably satisfactory to Agent,</w:t>
      </w:r>
    </w:p>
    <w:p>
      <w:pPr>
        <w:spacing w:after="0" w:line="185" w:lineRule="exact"/>
        <w:rPr>
          <w:rFonts w:ascii="Arial" w:cs="Arial" w:eastAsia="Arial" w:hAnsi="Arial"/>
          <w:sz w:val="19"/>
          <w:szCs w:val="19"/>
          <w:color w:val="auto"/>
        </w:rPr>
      </w:pPr>
    </w:p>
    <w:p>
      <w:pPr>
        <w:jc w:val="both"/>
        <w:ind w:firstLine="1505"/>
        <w:spacing w:after="0" w:line="274" w:lineRule="auto"/>
        <w:tabs>
          <w:tab w:leader="none" w:pos="189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Accounts with respect to which the Account Debtor is either (i) the United States or the Canadian government or any department, agency, or instrumentality of the United States or the Canadian government, as applicable (exclusive, however, of Accounts with respect to which Loan Parties have complied, to the reasonable satisfaction of Agent, with the Assignment of Claims Act, 31 USC § 3727 or any Canadian equivalent thereof, as applicable) or (ii) any state, territory, possession, or province of the United States, Canada, or any other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so long as no Default or Event of Default shall have occurred and be continuing, Accounts described in this clause and identified to the Agent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be deemed Eligible Accounts to the extent such Accounts in the aggregate outstanding at any time do not exceed $1,500,000 and otherwise meet the eligibility criteria set forth in this definition,</w:t>
      </w:r>
    </w:p>
    <w:p>
      <w:pPr>
        <w:spacing w:after="0" w:line="166" w:lineRule="exact"/>
        <w:rPr>
          <w:rFonts w:ascii="Arial" w:cs="Arial" w:eastAsia="Arial" w:hAnsi="Arial"/>
          <w:sz w:val="18"/>
          <w:szCs w:val="18"/>
          <w:color w:val="auto"/>
        </w:rPr>
      </w:pPr>
    </w:p>
    <w:p>
      <w:pPr>
        <w:jc w:val="both"/>
        <w:ind w:firstLine="1505"/>
        <w:spacing w:after="0" w:line="249" w:lineRule="auto"/>
        <w:tabs>
          <w:tab w:leader="none" w:pos="189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 creditor of a Loan Party or any Subsidiary, has or has asserted a right of recoupment or setoff, or has disputed its obligation to pay all or any portion of the Account, to the extent of such claim, right of recoupment or setoff, or dispute,</w:t>
      </w:r>
    </w:p>
    <w:p>
      <w:pPr>
        <w:spacing w:after="0" w:line="187" w:lineRule="exact"/>
        <w:rPr>
          <w:rFonts w:ascii="Arial" w:cs="Arial" w:eastAsia="Arial" w:hAnsi="Arial"/>
          <w:sz w:val="20"/>
          <w:szCs w:val="20"/>
          <w:color w:val="auto"/>
        </w:rPr>
      </w:pPr>
    </w:p>
    <w:p>
      <w:pPr>
        <w:jc w:val="both"/>
        <w:ind w:firstLine="1505"/>
        <w:spacing w:after="0" w:line="263" w:lineRule="auto"/>
        <w:tabs>
          <w:tab w:leader="none" w:pos="189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Accounts with respect to an Account Debtor whose Eligible Accounts owing to Loan Parties exceed 10% of all Eligible Accounts, to the extent of the obligations owing by such Account Debtor in excess of such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spacing w:after="0" w:line="174" w:lineRule="exact"/>
        <w:rPr>
          <w:rFonts w:ascii="Arial" w:cs="Arial" w:eastAsia="Arial" w:hAnsi="Arial"/>
          <w:sz w:val="19"/>
          <w:szCs w:val="19"/>
          <w:color w:val="auto"/>
        </w:rPr>
      </w:pPr>
    </w:p>
    <w:p>
      <w:pPr>
        <w:jc w:val="both"/>
        <w:ind w:right="20" w:firstLine="1505"/>
        <w:spacing w:after="0" w:line="249" w:lineRule="auto"/>
        <w:tabs>
          <w:tab w:leader="none" w:pos="189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subject to an Insolvency Proceeding, is not Solvent, has gone out of business, or as to which any Loan Party has received notice of an imminent Insolvency Proceeding or a material impairment of the financial condition of such Account Debtor,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6" w:name="page137"/>
    <w:bookmarkEnd w:id="136"/>
    <w:p>
      <w:pPr>
        <w:ind w:right="20" w:firstLine="1505"/>
        <w:spacing w:after="0" w:line="260" w:lineRule="auto"/>
        <w:tabs>
          <w:tab w:leader="none" w:pos="189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Accounts, the collection of which, Agent, in its Permitted Discretion, believes to be doubtful, including by reason of the Account Debtor’s financial condition,</w:t>
      </w:r>
    </w:p>
    <w:p>
      <w:pPr>
        <w:spacing w:after="0" w:line="175"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(i) Accounts that are not subject to a valid and perfected first priority Agent’s Lien (other than Permitted Liens arising by the operation of law) and (ii) any Account to the extent it is subject to any right, claim, security interest or other interest of any Person (other than Permitted Liens);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Accounts arising from the renting, leasing, or sale of any Floor Plan Inventory or Off Balance Sheet Inventory shall, in Agent’s Permitted Discretion, be ineligible unless such Account is subject to a Vendor Intercreditor Agreement,</w:t>
      </w:r>
    </w:p>
    <w:p>
      <w:pPr>
        <w:spacing w:after="0" w:line="192"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Accounts arising from the sale of Goods or services with respect to which (i) the goods giving rise to such Account have not been shipped and billed to the Account Debtor or (ii) the services giving rise to such Account have not been performed and billed to the Account Debtor,</w:t>
      </w:r>
    </w:p>
    <w:p>
      <w:pPr>
        <w:spacing w:after="0" w:line="187"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Accounts which arise from the lease or rental of Equipment Inventory and are evidenced by Chattel Paper, unless Agent’s Lien on the Chattel Paper related to such Account is, if and to the extent required by the Guaranty and Security Agreement, (i) perfected by possession or by the stamping of notice of Agent’s Lien on such Chattel Paper (if such Chattel Paper is tangible Chattel Paper) or (ii) perfected by control (if such Chattel Paper is electronic Chattel Paper);</w:t>
      </w:r>
    </w:p>
    <w:p>
      <w:pPr>
        <w:spacing w:after="0" w:line="189" w:lineRule="exact"/>
        <w:rPr>
          <w:rFonts w:ascii="Arial" w:cs="Arial" w:eastAsia="Arial" w:hAnsi="Arial"/>
          <w:sz w:val="20"/>
          <w:szCs w:val="20"/>
          <w:color w:val="auto"/>
        </w:rPr>
      </w:pPr>
    </w:p>
    <w:p>
      <w:pPr>
        <w:ind w:left="1900" w:hanging="395"/>
        <w:spacing w:after="0"/>
        <w:tabs>
          <w:tab w:leader="none" w:pos="19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 Sanctioned Person or Sanctioned Entity,</w:t>
      </w:r>
    </w:p>
    <w:p>
      <w:pPr>
        <w:spacing w:after="0" w:line="214" w:lineRule="exact"/>
        <w:rPr>
          <w:rFonts w:ascii="Arial" w:cs="Arial" w:eastAsia="Arial" w:hAnsi="Arial"/>
          <w:sz w:val="20"/>
          <w:szCs w:val="20"/>
          <w:color w:val="auto"/>
        </w:rPr>
      </w:pPr>
    </w:p>
    <w:p>
      <w:pPr>
        <w:ind w:right="20" w:firstLine="1505"/>
        <w:spacing w:after="0" w:line="315" w:lineRule="auto"/>
        <w:tabs>
          <w:tab w:leader="none" w:pos="189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Accounts (i) that represent the right to receive progress payments or other advance billings that are due prior to the completion of performance by the applicable Loan Party of the subject contract for goods or services, or (ii) that represent credit card sales,</w:t>
      </w:r>
    </w:p>
    <w:p>
      <w:pPr>
        <w:spacing w:after="0" w:line="130" w:lineRule="exact"/>
        <w:rPr>
          <w:rFonts w:ascii="Arial" w:cs="Arial" w:eastAsia="Arial" w:hAnsi="Arial"/>
          <w:sz w:val="18"/>
          <w:szCs w:val="18"/>
          <w:color w:val="auto"/>
        </w:rPr>
      </w:pPr>
    </w:p>
    <w:p>
      <w:pPr>
        <w:jc w:val="both"/>
        <w:ind w:firstLine="1505"/>
        <w:spacing w:after="0" w:line="258" w:lineRule="auto"/>
        <w:tabs>
          <w:tab w:leader="none" w:pos="189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Accounts owned by a target acquired in connection with a Permitted Acquisition or Permitted Investment, or Accounts owned by a Person that is joined to this Agreement as a Loan Party pursuant to the provisions of this Agreement, until the completion of a field examination with respect to such Accounts, in each case, satisfactory to Agent in its Permitted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 Agent shall use commercially reasonable efforts to complete such field examination on or prior to the closing date of such transaction or event or as soon as practicable thereafter, given the amount of prior notice Agent received in respect thereof and the access to, and accuracy of, information provided to Agent and its agents in conducting such appraisal or field examination,</w:t>
      </w:r>
    </w:p>
    <w:p>
      <w:pPr>
        <w:spacing w:after="0" w:line="181" w:lineRule="exact"/>
        <w:rPr>
          <w:rFonts w:ascii="Arial" w:cs="Arial" w:eastAsia="Arial" w:hAnsi="Arial"/>
          <w:sz w:val="19"/>
          <w:szCs w:val="19"/>
          <w:color w:val="auto"/>
        </w:rPr>
      </w:pPr>
    </w:p>
    <w:p>
      <w:pPr>
        <w:ind w:left="1900" w:hanging="395"/>
        <w:spacing w:after="0"/>
        <w:tabs>
          <w:tab w:leader="none" w:pos="19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Accounts which exceed any credit limit established by Agent in its Permitted Discretion, or</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Accounts which are otherwise unacceptable to Agent in its Permitted Discretion.</w:t>
      </w:r>
    </w:p>
    <w:p>
      <w:pPr>
        <w:spacing w:after="0" w:line="215"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Equipment Inventory</w:t>
      </w:r>
      <w:r>
        <w:rPr>
          <w:rFonts w:ascii="Arial" w:cs="Arial" w:eastAsia="Arial" w:hAnsi="Arial"/>
          <w:sz w:val="19"/>
          <w:szCs w:val="19"/>
          <w:color w:val="auto"/>
        </w:rPr>
        <w:t xml:space="preserve">” means Equipment Inventory of a Loan Party, that complies with each of the representations and warranties respecting Eligible Equipment Inventory made in the Loan Documents, and that is not excluded as ineligible by virtue of one or more of the excluding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criteria may be revised from time to time by Agent in Agent’s Permitted Discretion to address the results of any information with respect to the Loan Parties’ business or assets of which Agent becomes aware after the Sixth Restatement Effective Date (including any field examination or appraisal performed or received by Agent from time to time after the Sixth Restatement Effective Date) which is inconsistent in any material respect with any information which was actually known by Agent on or prior to the Sixth Restatement Effective Date;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may not revise such criteria if such revision does or would tend to increase Availability (excluding any revision which constitutes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7" w:name="page138"/>
    <w:bookmarkEnd w:id="137"/>
    <w:p>
      <w:pPr>
        <w:jc w:val="both"/>
        <w:ind w:right="20"/>
        <w:spacing w:after="0" w:line="269" w:lineRule="auto"/>
        <w:rPr>
          <w:sz w:val="20"/>
          <w:szCs w:val="20"/>
          <w:color w:val="auto"/>
        </w:rPr>
      </w:pPr>
      <w:r>
        <w:rPr>
          <w:rFonts w:ascii="Arial" w:cs="Arial" w:eastAsia="Arial" w:hAnsi="Arial"/>
          <w:sz w:val="19"/>
          <w:szCs w:val="19"/>
          <w:color w:val="auto"/>
        </w:rPr>
        <w:t xml:space="preserve">elimination of any earlier revision which did reduce or tended to reduce Availability), except with the consent of the Supermajority Lenders;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shall provide Administrative Borrower with not less than three Business Days’ prior written notice of such revised criteria. An item of Equipment Inventory shall not be included in Eligible Equipment Inventory if:</w:t>
      </w:r>
    </w:p>
    <w:p>
      <w:pPr>
        <w:spacing w:after="0" w:line="169" w:lineRule="exact"/>
        <w:rPr>
          <w:sz w:val="20"/>
          <w:szCs w:val="20"/>
          <w:color w:val="auto"/>
        </w:rPr>
      </w:pPr>
    </w:p>
    <w:p>
      <w:pPr>
        <w:jc w:val="both"/>
        <w:ind w:firstLine="1505"/>
        <w:spacing w:after="0" w:line="258" w:lineRule="auto"/>
        <w:tabs>
          <w:tab w:leader="none" w:pos="189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 Loan Party does not have good, valid, and marketable title thereto, free and clear of all Liens (including the rights of a purchaser that has made progress payments and the rights of a surety that has issued a bond to assure a Loan Party’s performance with respect to that Equipment Inventory), except for Agent’s Lien and Permitted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Equipment Inventory constitutes Floor Plan Equipment Inventory or Off Balance Sheet Equipment Inventory, then Agent shall have received a Vendor Intercreditor Agreement with respect to such Equipment Inventory or, in its Permitted Discretion, implemented Reserves as contemplated in clause (f) of the definition of “Permitted Liens” or made such Equipment Inventory ineligible hereunder),</w:t>
      </w:r>
    </w:p>
    <w:p>
      <w:pPr>
        <w:spacing w:after="0" w:line="181" w:lineRule="exact"/>
        <w:rPr>
          <w:rFonts w:ascii="Arial" w:cs="Arial" w:eastAsia="Arial" w:hAnsi="Arial"/>
          <w:sz w:val="19"/>
          <w:szCs w:val="19"/>
          <w:color w:val="auto"/>
        </w:rPr>
      </w:pPr>
    </w:p>
    <w:p>
      <w:pPr>
        <w:ind w:left="1900" w:hanging="395"/>
        <w:spacing w:after="0"/>
        <w:tabs>
          <w:tab w:leader="none" w:pos="19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it is not held for sale or lease in the ordinary course of a Loan Party’s business;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it is placed on consignment,</w:t>
      </w:r>
    </w:p>
    <w:p>
      <w:pPr>
        <w:spacing w:after="0" w:line="214" w:lineRule="exact"/>
        <w:rPr>
          <w:rFonts w:ascii="Arial" w:cs="Arial" w:eastAsia="Arial" w:hAnsi="Arial"/>
          <w:sz w:val="20"/>
          <w:szCs w:val="20"/>
          <w:color w:val="auto"/>
        </w:rPr>
      </w:pPr>
    </w:p>
    <w:p>
      <w:pPr>
        <w:jc w:val="both"/>
        <w:ind w:firstLine="1505"/>
        <w:spacing w:after="0" w:line="269" w:lineRule="auto"/>
        <w:tabs>
          <w:tab w:leader="none" w:pos="18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 except to the extent in the possession of a lessee (or, for a reasonable period of time after any applicable lease has expired, the former lessee under such lease), a mechanic or repairman in the ordinary course of business, or in transit to any of the Persons or locations described in this clause (d), it is not located on premises owned, leased or rented by such Loan Party, or at a location of any bailee, warehouseman or similar party, in each case, set forth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(as such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may be amended from time to time as provided in </w:t>
      </w:r>
      <w:r>
        <w:rPr>
          <w:rFonts w:ascii="Arial" w:cs="Arial" w:eastAsia="Arial" w:hAnsi="Arial"/>
          <w:sz w:val="18"/>
          <w:szCs w:val="18"/>
          <w:u w:val="single" w:color="auto"/>
          <w:color w:val="auto"/>
        </w:rPr>
        <w:t>Section 5.15</w:t>
      </w:r>
      <w:r>
        <w:rPr>
          <w:rFonts w:ascii="Arial" w:cs="Arial" w:eastAsia="Arial" w:hAnsi="Arial"/>
          <w:sz w:val="18"/>
          <w:szCs w:val="18"/>
          <w:color w:val="auto"/>
        </w:rPr>
        <w:t>), (ii) it is stored at a leased location in respect of which Agent has requested a Collateral Access Agreement, unless a Collateral Access Agreement has been delivered to Agent or Agent has implemented a Reserve with respect to such location, (iii) it is stored with a bailee or warehouseman unless a Collateral Access Agreement has been received by Agent (or Agent has implemented a Reserve with respect to such bailee or warehouseman), it is segregated or otherwise separately identifiable from goods of others, if any, stored on the premises of such bailee or warehouseman, (iv) it is located at an owned location subject to a mortgage in favor of a lender other than Agent unless a reasonably satisfactory mortgagee waiver requested by Agent has been delivered to Agent (or Agent has implemented a Reserve with respect to such location), (v) it is leased to a lessee other than pursuant to a lease of such Equipment Inventory entered into in the ordinary course of business, or (vi) it is not located in (A) any state in the United States, (B) the District of Columbia, (C) Puerto Rico or (D) Canada or any province or territory thereof,</w:t>
      </w:r>
    </w:p>
    <w:p>
      <w:pPr>
        <w:spacing w:after="0" w:line="179" w:lineRule="exact"/>
        <w:rPr>
          <w:rFonts w:ascii="Arial" w:cs="Arial" w:eastAsia="Arial" w:hAnsi="Arial"/>
          <w:sz w:val="18"/>
          <w:szCs w:val="18"/>
          <w:color w:val="auto"/>
        </w:rPr>
      </w:pPr>
    </w:p>
    <w:p>
      <w:pPr>
        <w:ind w:left="1900" w:hanging="395"/>
        <w:spacing w:after="0"/>
        <w:tabs>
          <w:tab w:leader="none" w:pos="1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stored at a location at which Borrowing Base Assets having an aggregate value of less than $1,000,000 are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located,</w:t>
      </w:r>
    </w:p>
    <w:p>
      <w:pPr>
        <w:spacing w:after="0" w:line="198" w:lineRule="exact"/>
        <w:rPr>
          <w:rFonts w:ascii="Arial" w:cs="Arial" w:eastAsia="Arial" w:hAnsi="Arial"/>
          <w:sz w:val="18"/>
          <w:szCs w:val="18"/>
          <w:color w:val="auto"/>
        </w:rPr>
      </w:pPr>
    </w:p>
    <w:p>
      <w:pPr>
        <w:jc w:val="both"/>
        <w:ind w:firstLine="1505"/>
        <w:spacing w:after="0" w:line="256" w:lineRule="auto"/>
        <w:tabs>
          <w:tab w:leader="none" w:pos="189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(i) it is the subject of a document of title, unless such document of title is a negotiable document of title and has been delivered to Agent with all necessary indorsements free and clear of all Liens except for Agent’s Lien and Permitted Liens or (ii) it is “subject to” (within the meaning of Section 9-311 of the Code) any certificate of title (or comparable) statute (unless Agent has a first priority, perfected Lien under such statute and Agent has possession and custody of such certificate),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such Equipment Inventory on which Agent’s Lien has not been duly perfected, this clause (ii) shall not apply until but not including the later to occur of (A) the date which is 90 days after the Sixth Restatement Effective Date (or such later date as Agent may agree in its Permitted Discretion) and (B) 90 days after the acquisition of such Equipment Inventory (or such later date as Agent may agree in its Permitted Discretion) for any Equipment Inventory acquired after the Sixth Restatement Effective Date and, in any event, so long as such Equipment Inventory is not otherwise subject to any consensual Lien other than Agent’s Lien,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8" w:name="page139"/>
    <w:bookmarkEnd w:id="138"/>
    <w:p>
      <w:pPr>
        <w:ind w:left="1500"/>
        <w:spacing w:after="0"/>
        <w:tabs>
          <w:tab w:leader="none" w:pos="188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9"/>
          <w:szCs w:val="19"/>
          <w:color w:val="auto"/>
        </w:rPr>
        <w:t>it is not subject to a valid and perfected first priority Agent’s Lien (subject only to Permitted Liens arising 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operation of law),</w:t>
      </w:r>
    </w:p>
    <w:p>
      <w:pPr>
        <w:spacing w:after="0" w:line="199" w:lineRule="exact"/>
        <w:rPr>
          <w:sz w:val="20"/>
          <w:szCs w:val="20"/>
          <w:color w:val="auto"/>
        </w:rPr>
      </w:pPr>
    </w:p>
    <w:p>
      <w:pPr>
        <w:ind w:left="1900" w:hanging="395"/>
        <w:spacing w:after="0"/>
        <w:tabs>
          <w:tab w:leader="none" w:pos="19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it consists of goods that are obsolete, unsalable, or damaged beyond repair or are slow-moving,</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214" w:lineRule="exact"/>
        <w:rPr>
          <w:rFonts w:ascii="Arial" w:cs="Arial" w:eastAsia="Arial" w:hAnsi="Arial"/>
          <w:sz w:val="20"/>
          <w:szCs w:val="20"/>
          <w:color w:val="auto"/>
        </w:rPr>
      </w:pPr>
    </w:p>
    <w:p>
      <w:pPr>
        <w:jc w:val="both"/>
        <w:ind w:firstLine="1505"/>
        <w:spacing w:after="0" w:line="257" w:lineRule="auto"/>
        <w:tabs>
          <w:tab w:leader="none" w:pos="189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it was acquired in connection with a Permitted Acquisition or Permitted Investment, or such Equipment Inventory is owned by a Person that is joined to this Agreement as a Loan Party pursuant to the provisions of this Agreement, until the completion of an Acceptable Appraisal of such Equipment Inventory and the completion of a field examination with respect to such Equipment Inventory that is satisfactory to Agent in its Permitted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 Agent shall use commercially reasonable efforts to complete such Acceptable Appraisal and field examination on or prior to the closing date of such transaction or event or as soon as practicable thereafter, given the amount of prior notice Agent received in respect thereof and the access to, and accuracy of, information provided to Agent and its agents in conducting such appraisal or field examination,</w:t>
      </w:r>
    </w:p>
    <w:p>
      <w:pPr>
        <w:spacing w:after="0" w:line="182" w:lineRule="exact"/>
        <w:rPr>
          <w:rFonts w:ascii="Arial" w:cs="Arial" w:eastAsia="Arial" w:hAnsi="Arial"/>
          <w:sz w:val="19"/>
          <w:szCs w:val="19"/>
          <w:color w:val="auto"/>
        </w:rPr>
      </w:pPr>
    </w:p>
    <w:p>
      <w:pPr>
        <w:ind w:left="1900" w:hanging="395"/>
        <w:spacing w:after="0"/>
        <w:tabs>
          <w:tab w:leader="none" w:pos="19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it is not covered by casualty insurance as to which Agent is listed as loss payee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 or</w:t>
      </w:r>
    </w:p>
    <w:p>
      <w:pPr>
        <w:spacing w:after="0" w:line="237" w:lineRule="exact"/>
        <w:rPr>
          <w:rFonts w:ascii="Arial" w:cs="Arial" w:eastAsia="Arial" w:hAnsi="Arial"/>
          <w:sz w:val="18"/>
          <w:szCs w:val="18"/>
          <w:color w:val="auto"/>
        </w:rPr>
      </w:pPr>
    </w:p>
    <w:p>
      <w:pPr>
        <w:ind w:left="1900" w:hanging="395"/>
        <w:spacing w:after="0"/>
        <w:tabs>
          <w:tab w:leader="none" w:pos="19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it is otherwise unacceptable to Agent in its Permitted Discretion.</w:t>
      </w:r>
    </w:p>
    <w:p>
      <w:pPr>
        <w:spacing w:after="0" w:line="215" w:lineRule="exact"/>
        <w:rPr>
          <w:sz w:val="20"/>
          <w:szCs w:val="20"/>
          <w:color w:val="auto"/>
        </w:rPr>
      </w:pPr>
    </w:p>
    <w:p>
      <w:pPr>
        <w:jc w:val="both"/>
        <w:ind w:firstLine="149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Parts and Tools Inventory</w:t>
      </w:r>
      <w:r>
        <w:rPr>
          <w:rFonts w:ascii="Arial" w:cs="Arial" w:eastAsia="Arial" w:hAnsi="Arial"/>
          <w:sz w:val="19"/>
          <w:szCs w:val="19"/>
          <w:color w:val="auto"/>
        </w:rPr>
        <w:t xml:space="preserve">” means Parts and Tools Inventory of a Loan Party, that complies with each of the representations and warranties respecting Eligible Parts and Tools Inventory made in the Loan Documents, and that is not excluded as ineligible by virtue of one or more of the excluding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criteria may be revised from time to time by Agent in Agent’s Permitted Discretion to address the results of any information with respect to the Loan Parties’ business or assets of which Agent becomes aware after the Sixth Restatement Effective Date, including any field examination or appraisal performed or received by Agent from time to time after the Sixth Restatement Effective Date which is inconsistent in any material respect with any information which was actually known by Agent on or prior to the Sixth Restatement Effective Date;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may not revise such criteria if such revision does or would tend to increase Availability (excluding any revision which constitutes the elimination of any earlier revision which did reduce or tended to reduce Availability), except with the consent of the Supermajority Lenders;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shall provide Administrative Borrower with not less than three Business Days’ prior written notice of such revision. An item of Parts and Tools Inventory shall not be included in Eligible Parts and Tools Inventory if:</w:t>
      </w:r>
    </w:p>
    <w:p>
      <w:pPr>
        <w:spacing w:after="0" w:line="184" w:lineRule="exact"/>
        <w:rPr>
          <w:sz w:val="20"/>
          <w:szCs w:val="20"/>
          <w:color w:val="auto"/>
        </w:rPr>
      </w:pPr>
    </w:p>
    <w:p>
      <w:pPr>
        <w:jc w:val="both"/>
        <w:ind w:firstLine="1505"/>
        <w:spacing w:after="0" w:line="246" w:lineRule="auto"/>
        <w:tabs>
          <w:tab w:leader="none" w:pos="189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 Loan Party does not have good, valid, and marketable title thereto, free and clear of all Liens (including the rights of a purchaser that has made progress payments and the rights of a surety that has issued a bond to assure a Loan Party’s performance with respect to that Parts and Tools Inventory), except for Agent’s Lien and the Permitted Liens of landlords and bailees and Permitted Liens arising by operation of law,</w:t>
      </w:r>
    </w:p>
    <w:p>
      <w:pPr>
        <w:spacing w:after="0" w:line="189" w:lineRule="exact"/>
        <w:rPr>
          <w:rFonts w:ascii="Arial" w:cs="Arial" w:eastAsia="Arial" w:hAnsi="Arial"/>
          <w:sz w:val="20"/>
          <w:szCs w:val="20"/>
          <w:color w:val="auto"/>
        </w:rPr>
      </w:pPr>
    </w:p>
    <w:p>
      <w:pPr>
        <w:ind w:left="1900" w:hanging="395"/>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it is not held for sale or lease in the ordinary course of a Loan Party’s business;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it is placed on consignment,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9" w:name="page140"/>
    <w:bookmarkEnd w:id="139"/>
    <w:p>
      <w:pPr>
        <w:jc w:val="both"/>
        <w:ind w:firstLine="1505"/>
        <w:spacing w:after="0" w:line="308" w:lineRule="auto"/>
        <w:tabs>
          <w:tab w:leader="none" w:pos="189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(i) except to the extent in transit to any of the Persons or locations described in this clause (d), it is not located on premises owned, leased or rented by such Loan Party, or at a location of any bailee, warehouseman or similar party, in each case, and set forth in </w:t>
      </w:r>
      <w:r>
        <w:rPr>
          <w:rFonts w:ascii="Arial" w:cs="Arial" w:eastAsia="Arial" w:hAnsi="Arial"/>
          <w:sz w:val="16"/>
          <w:szCs w:val="16"/>
          <w:u w:val="single" w:color="auto"/>
          <w:color w:val="auto"/>
        </w:rPr>
        <w:t>Schedule 5.15</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5.15</w:t>
      </w:r>
      <w:r>
        <w:rPr>
          <w:rFonts w:ascii="Arial" w:cs="Arial" w:eastAsia="Arial" w:hAnsi="Arial"/>
          <w:sz w:val="16"/>
          <w:szCs w:val="16"/>
          <w:color w:val="auto"/>
        </w:rPr>
        <w:t xml:space="preserve"> may be amended from time to time as provided in </w:t>
      </w:r>
      <w:r>
        <w:rPr>
          <w:rFonts w:ascii="Arial" w:cs="Arial" w:eastAsia="Arial" w:hAnsi="Arial"/>
          <w:sz w:val="16"/>
          <w:szCs w:val="16"/>
          <w:u w:val="single" w:color="auto"/>
          <w:color w:val="auto"/>
        </w:rPr>
        <w:t>Section 5.15</w:t>
      </w:r>
      <w:r>
        <w:rPr>
          <w:rFonts w:ascii="Arial" w:cs="Arial" w:eastAsia="Arial" w:hAnsi="Arial"/>
          <w:sz w:val="16"/>
          <w:szCs w:val="16"/>
          <w:color w:val="auto"/>
        </w:rPr>
        <w:t>), (ii) it is stored at a leased location in respect of which Agent has requested a Collateral Access Agreement, unless a Collateral Access Agreement has been delivered to Agent or Agent has implemented a Reserve with respect to such location, (iii) it is stored with a bailee or warehouseman unless a Collateral Access Agreement has been received by Agent (or Agent has implemented a Reserve with respect to such bailee or warehouseman), it is segregated or otherwise separately identifiable from goods of others, if any, stored on the premises of such bailee or warehouseman, (iv) it is located at an owned location subject to a mortgage in favor of a lender other than Agent unless a reasonably satisfactory mortgagee waiver requested by Agent has been delivered to Agent (or Agent has implemented a Reserve with respect to such location), (v) it is not located in (A) any state in the United States, (B) the District of Columbia, (C) Puerto Rico or (D) Canada or any province or territory thereof, or (vi) it is located at any location at which Borrowing Base Assets having an aggregate value of less than $1,000,000 are located,</w:t>
      </w:r>
    </w:p>
    <w:p>
      <w:pPr>
        <w:spacing w:after="0" w:line="376" w:lineRule="exact"/>
        <w:rPr>
          <w:rFonts w:ascii="Arial" w:cs="Arial" w:eastAsia="Arial" w:hAnsi="Arial"/>
          <w:sz w:val="16"/>
          <w:szCs w:val="16"/>
          <w:color w:val="auto"/>
        </w:rPr>
      </w:pPr>
    </w:p>
    <w:p>
      <w:pPr>
        <w:jc w:val="both"/>
        <w:ind w:firstLine="1505"/>
        <w:spacing w:after="0" w:line="249" w:lineRule="auto"/>
        <w:tabs>
          <w:tab w:leader="none" w:pos="189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it is the subject of a document of title, unless, in the case of a document of title, such document of title is a negotiable document of title and has been delivered to Agent with all necessary indorsements free and clear of all Liens except for Agent’s Lien and Permitted Liens arising by operation of law,</w:t>
      </w:r>
    </w:p>
    <w:p>
      <w:pPr>
        <w:spacing w:after="0" w:line="187" w:lineRule="exact"/>
        <w:rPr>
          <w:rFonts w:ascii="Arial" w:cs="Arial" w:eastAsia="Arial" w:hAnsi="Arial"/>
          <w:sz w:val="20"/>
          <w:szCs w:val="20"/>
          <w:color w:val="auto"/>
        </w:rPr>
      </w:pPr>
    </w:p>
    <w:p>
      <w:pPr>
        <w:ind w:left="1900" w:hanging="395"/>
        <w:spacing w:after="0"/>
        <w:tabs>
          <w:tab w:leader="none" w:pos="19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it is not subject to a valid and perfected first priority Agent’s Lien (subject only to Permitted Liens arising by</w:t>
      </w:r>
    </w:p>
    <w:p>
      <w:pPr>
        <w:spacing w:after="0" w:line="2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operation of law),</w:t>
      </w:r>
    </w:p>
    <w:p>
      <w:pPr>
        <w:spacing w:after="0" w:line="198" w:lineRule="exact"/>
        <w:rPr>
          <w:rFonts w:ascii="Arial" w:cs="Arial" w:eastAsia="Arial" w:hAnsi="Arial"/>
          <w:sz w:val="19"/>
          <w:szCs w:val="19"/>
          <w:color w:val="auto"/>
        </w:rPr>
      </w:pPr>
    </w:p>
    <w:p>
      <w:pPr>
        <w:ind w:left="1900" w:hanging="395"/>
        <w:spacing w:after="0"/>
        <w:tabs>
          <w:tab w:leader="none" w:pos="19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it consists of goods that are obsolete, unsalable, or damaged or are slow-moving,</w:t>
      </w:r>
    </w:p>
    <w:p>
      <w:pPr>
        <w:spacing w:after="0" w:line="214"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it consists of display items or packing or shipping materials, manufacturing supplies, or work-in-process or raw materials Inventory, or it consists of Hazardous Materials or goods that can be transported or sold only with licenses that are not readily available,</w:t>
      </w:r>
    </w:p>
    <w:p>
      <w:pPr>
        <w:spacing w:after="0" w:line="187" w:lineRule="exact"/>
        <w:rPr>
          <w:rFonts w:ascii="Arial" w:cs="Arial" w:eastAsia="Arial" w:hAnsi="Arial"/>
          <w:sz w:val="20"/>
          <w:szCs w:val="20"/>
          <w:color w:val="auto"/>
        </w:rPr>
      </w:pPr>
    </w:p>
    <w:p>
      <w:pPr>
        <w:ind w:left="1900" w:hanging="395"/>
        <w:spacing w:after="0"/>
        <w:tabs>
          <w:tab w:leader="none" w:pos="19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jc w:val="both"/>
        <w:ind w:firstLine="1505"/>
        <w:spacing w:after="0" w:line="257" w:lineRule="auto"/>
        <w:tabs>
          <w:tab w:leader="none" w:pos="189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it was acquired in connection with a Permitted Acquisition or Permitted Investment, or such Parts and Tools Inventory is owned by a Person that is joined to this Agreement as a Loan Party pursuant to the provisions of this Agreement, until the completion of an Acceptable Appraisal of such Parts and Tools Inventory and the completion of a field examination with respect to such Parts and Tools Inventory that is satisfactory to Agent in its Permitted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Agent shall use commercially reasonable efforts to complete such Acceptable Appraisal and field examination on or prior to the closing date of such transaction or event or as soon as practicable thereafter, given the amount of prior notice Agent received in respect thereof and the access to, and accuracy of, information provided to Agent and its agents in conducting such appraisal or field examination,</w:t>
      </w:r>
    </w:p>
    <w:p>
      <w:pPr>
        <w:spacing w:after="0" w:line="182" w:lineRule="exact"/>
        <w:rPr>
          <w:rFonts w:ascii="Arial" w:cs="Arial" w:eastAsia="Arial" w:hAnsi="Arial"/>
          <w:sz w:val="19"/>
          <w:szCs w:val="19"/>
          <w:color w:val="auto"/>
        </w:rPr>
      </w:pPr>
    </w:p>
    <w:p>
      <w:pPr>
        <w:ind w:right="20" w:firstLine="1505"/>
        <w:spacing w:after="0" w:line="260" w:lineRule="auto"/>
        <w:tabs>
          <w:tab w:leader="none" w:pos="189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 Acceptable Appraisal of such Parts and Tools Inventory has not been completed with respect to any Parts and Tools Inventory of a category that has not previously been subject to an Acceptable Appraisal,</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it is not covered by casualty insurance as to which Agent is listed as loss payee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 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0" w:name="page141"/>
    <w:bookmarkEnd w:id="140"/>
    <w:p>
      <w:pPr>
        <w:ind w:left="1500"/>
        <w:spacing w:after="0"/>
        <w:tabs>
          <w:tab w:leader="none" w:pos="1880" w:val="left"/>
        </w:tabs>
        <w:rPr>
          <w:sz w:val="20"/>
          <w:szCs w:val="20"/>
          <w:color w:val="auto"/>
        </w:rPr>
      </w:pPr>
      <w:r>
        <w:rPr>
          <w:rFonts w:ascii="Arial" w:cs="Arial" w:eastAsia="Arial" w:hAnsi="Arial"/>
          <w:sz w:val="20"/>
          <w:szCs w:val="20"/>
          <w:color w:val="auto"/>
        </w:rPr>
        <w:t>(n)</w:t>
      </w:r>
      <w:r>
        <w:rPr>
          <w:sz w:val="20"/>
          <w:szCs w:val="20"/>
          <w:color w:val="auto"/>
        </w:rPr>
        <w:tab/>
      </w:r>
      <w:r>
        <w:rPr>
          <w:rFonts w:ascii="Arial" w:cs="Arial" w:eastAsia="Arial" w:hAnsi="Arial"/>
          <w:sz w:val="18"/>
          <w:szCs w:val="18"/>
          <w:color w:val="auto"/>
        </w:rPr>
        <w:t>it is otherwise unacceptable to Agent in its Permitted Discretion.</w:t>
      </w:r>
    </w:p>
    <w:p>
      <w:pPr>
        <w:spacing w:after="0" w:line="215" w:lineRule="exact"/>
        <w:rPr>
          <w:sz w:val="20"/>
          <w:szCs w:val="20"/>
          <w:color w:val="auto"/>
        </w:rPr>
      </w:pPr>
    </w:p>
    <w:p>
      <w:pPr>
        <w:jc w:val="both"/>
        <w:ind w:firstLine="149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Rolling Stock</w:t>
      </w:r>
      <w:r>
        <w:rPr>
          <w:rFonts w:ascii="Arial" w:cs="Arial" w:eastAsia="Arial" w:hAnsi="Arial"/>
          <w:sz w:val="19"/>
          <w:szCs w:val="19"/>
          <w:color w:val="auto"/>
        </w:rPr>
        <w:t xml:space="preserve">” means Rolling Stock of a Loan Party, that complies with each of the representations and warranties respecting Eligible Rolling Stock made in the Loan Documents, and that is not excluded as ineligible by virtue of one or more of the excluding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criteria may be revised from time to time by Agent in Agent’s Permitted Discretion to address the results of any due diligence information with respect to the Loan Parties’ business or assets of which Agent becomes aware after the Sixth Restatement Effective Date, including any field examination or appraisal performed or received by Agent from time to time after the Sixth Restatement Effective Date which is inconsistent in any material respect with any information which was actually known by Agent on or prior to the Sixth Restatement Effective Date;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may not revise such criteria if such revision does or would tend to increase Availability (excluding any revision which constitutes the elimination of any earlier revision which did reduce or tended to reduce Availability), except with the consent of the Supermajority Lenders;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Agent shall provide Administrative Borrower with not less than three Business Days’ prior written notice of such revised criteria. An item of Rolling Stock shall not be included in Eligible Rolling Stock if:</w:t>
      </w:r>
    </w:p>
    <w:p>
      <w:pPr>
        <w:spacing w:after="0" w:line="184"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it is not subject to a valid and perfected first priority Agent’s Lien (subject only to Permitted Liens arising 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operation of law),</w:t>
      </w:r>
    </w:p>
    <w:p>
      <w:pPr>
        <w:spacing w:after="0" w:line="199" w:lineRule="exact"/>
        <w:rPr>
          <w:sz w:val="20"/>
          <w:szCs w:val="20"/>
          <w:color w:val="auto"/>
        </w:rPr>
      </w:pPr>
    </w:p>
    <w:p>
      <w:pPr>
        <w:ind w:left="1900" w:hanging="395"/>
        <w:spacing w:after="0"/>
        <w:tabs>
          <w:tab w:leader="none" w:pos="19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it is held for sale or lease in the ordinary course of a Loan Party’s business,</w:t>
      </w:r>
    </w:p>
    <w:p>
      <w:pPr>
        <w:spacing w:after="0" w:line="214"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 Loan Party does not have good, valid, and marketable title thereto, free and clear of all Liens except for Agent’s Lien and Permitted Liens,</w:t>
      </w:r>
    </w:p>
    <w:p>
      <w:pPr>
        <w:spacing w:after="0" w:line="175" w:lineRule="exact"/>
        <w:rPr>
          <w:rFonts w:ascii="Arial" w:cs="Arial" w:eastAsia="Arial" w:hAnsi="Arial"/>
          <w:sz w:val="20"/>
          <w:szCs w:val="20"/>
          <w:color w:val="auto"/>
        </w:rPr>
      </w:pPr>
    </w:p>
    <w:p>
      <w:pPr>
        <w:jc w:val="both"/>
        <w:ind w:firstLine="1505"/>
        <w:spacing w:after="0" w:line="269" w:lineRule="auto"/>
        <w:tabs>
          <w:tab w:leader="none" w:pos="18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 except to the extent in the possession of an employee, a mechanic or repairman in the ordinary course of business, or in transit to any of the locations or Persons described in this clause (d), it is not located on premises owned, leased or rented by such Loan Party, or at a location of any bailee, warehouseman or similar party, in each case, set forth in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(as such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may be amended from time to time as provided in </w:t>
      </w:r>
      <w:r>
        <w:rPr>
          <w:rFonts w:ascii="Arial" w:cs="Arial" w:eastAsia="Arial" w:hAnsi="Arial"/>
          <w:sz w:val="18"/>
          <w:szCs w:val="18"/>
          <w:u w:val="single" w:color="auto"/>
          <w:color w:val="auto"/>
        </w:rPr>
        <w:t>Section 5.15</w:t>
      </w:r>
      <w:r>
        <w:rPr>
          <w:rFonts w:ascii="Arial" w:cs="Arial" w:eastAsia="Arial" w:hAnsi="Arial"/>
          <w:sz w:val="18"/>
          <w:szCs w:val="18"/>
          <w:color w:val="auto"/>
        </w:rPr>
        <w:t>), (ii) it is stored at a leased location in respect of which Agent has requested a Collateral Access Agreement, unless a Collateral Access Agreement has been delivered to Agent or Agent has implemented a Reserve with respect to such location, (iii) it is stored with a bailee or warehouseman unless a Collateral Access Agreement has been received by Agent (or Agent has implemented a Reserve with respect to such bailee or warehouseman), it is segregated or otherwise separately identifiable from goods of others, if any, stored on the premises of such bailee or warehouseman, (iv) it is located at an owned location subject to a mortgage in favor of a lender other than Agent unless a reasonably satisfactory mortgagee waiver requested by Agent has been delivered to Agent (or Agent has implemented a Reserve with respect to such location), (v) it is in the possession of an employee, except to the extent such employee’s possession thereof is in the ordinary course of business, (vi) it is not located in (A) any state in the United States, (B) the District of Columbia, (C) Puerto Rico or (D) Canada or any province or territory thereof, or (vii) it is anything other than automotive equipment, a trailer, a truck, a forklift, a motor vehicle, or other rolling stock,</w:t>
      </w:r>
    </w:p>
    <w:p>
      <w:pPr>
        <w:spacing w:after="0" w:line="179" w:lineRule="exact"/>
        <w:rPr>
          <w:rFonts w:ascii="Arial" w:cs="Arial" w:eastAsia="Arial" w:hAnsi="Arial"/>
          <w:sz w:val="18"/>
          <w:szCs w:val="18"/>
          <w:color w:val="auto"/>
        </w:rPr>
      </w:pPr>
    </w:p>
    <w:p>
      <w:pPr>
        <w:ind w:left="1900" w:hanging="395"/>
        <w:spacing w:after="0"/>
        <w:tabs>
          <w:tab w:leader="none" w:pos="1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is stored at a location at which Borrowing Base Assets having an aggregate value of less than $1,000,000 are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located,</w:t>
      </w:r>
    </w:p>
    <w:p>
      <w:pPr>
        <w:spacing w:after="0" w:line="198" w:lineRule="exact"/>
        <w:rPr>
          <w:rFonts w:ascii="Arial" w:cs="Arial" w:eastAsia="Arial" w:hAnsi="Arial"/>
          <w:sz w:val="18"/>
          <w:szCs w:val="18"/>
          <w:color w:val="auto"/>
        </w:rPr>
      </w:pPr>
    </w:p>
    <w:p>
      <w:pPr>
        <w:jc w:val="both"/>
        <w:ind w:firstLine="1505"/>
        <w:spacing w:after="0" w:line="263" w:lineRule="auto"/>
        <w:tabs>
          <w:tab w:leader="none" w:pos="189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it is “subject to” (within the meaning of Section 9-311 of the Code) any certificate of title (or comparable) statute (unless Agent has a first priority, perfected Lien under such statute and Agent has possession and custody of such certificate),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such Rolling Stock on which Agent’s Lien has not been duly perfected, this clause (f) shall not apply until but not including the later to occur of (i) the date which is 60 days after the Sixth Restatement Effective Date (or such later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1" w:name="page142"/>
    <w:bookmarkEnd w:id="141"/>
    <w:p>
      <w:pPr>
        <w:ind w:right="20"/>
        <w:spacing w:after="0" w:line="260" w:lineRule="auto"/>
        <w:rPr>
          <w:sz w:val="20"/>
          <w:szCs w:val="20"/>
          <w:color w:val="auto"/>
        </w:rPr>
      </w:pPr>
      <w:r>
        <w:rPr>
          <w:rFonts w:ascii="Arial" w:cs="Arial" w:eastAsia="Arial" w:hAnsi="Arial"/>
          <w:sz w:val="20"/>
          <w:szCs w:val="20"/>
          <w:color w:val="auto"/>
        </w:rPr>
        <w:t>date as Agent may agree in its Permitted Discretion) and (iii) 60 days (or such later date as Agent may agree in its Permitted Discretion) after acquisition of such Rolling Stock for any Rolling Stock acquired after the Sixth Restatement Effective Date.</w:t>
      </w:r>
    </w:p>
    <w:p>
      <w:pPr>
        <w:spacing w:after="0" w:line="176" w:lineRule="exact"/>
        <w:rPr>
          <w:sz w:val="20"/>
          <w:szCs w:val="20"/>
          <w:color w:val="auto"/>
        </w:rPr>
      </w:pPr>
    </w:p>
    <w:p>
      <w:pPr>
        <w:ind w:left="1900" w:hanging="395"/>
        <w:spacing w:after="0"/>
        <w:tabs>
          <w:tab w:leader="none" w:pos="1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it is excess, obsolete or damaged,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sz w:val="20"/>
          <w:szCs w:val="20"/>
          <w:color w:val="auto"/>
        </w:rPr>
      </w:pPr>
    </w:p>
    <w:p>
      <w:pPr>
        <w:jc w:val="both"/>
        <w:ind w:firstLine="1563"/>
        <w:spacing w:after="0" w:line="242" w:lineRule="auto"/>
        <w:tabs>
          <w:tab w:leader="none" w:pos="189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 xml:space="preserve">it was acquired in connection with a Permitted Acquisition or Permitted Investment, or such Rolling Stock is owned by a Person that is joined to this Agreement as a Loan Party pursuant to the provisions of this Agreement, until the completion of an Acceptable Appraisal of such Rolling Stock and the completion of a field examination with respect to such Rolling Stock that is satisfactory to Agent in its Permitted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that Agent shall use commercially reasonable efforts to complete such Acceptable Appraisal and field examination on or prior to the closing date of such transaction or event or as soon as practicable thereafter, given the amount of prior notice Agent received in respect thereof and the access to, and accuracy of, information provided to Agent and its agents in conducting such appraisal or field examination,</w:t>
      </w:r>
    </w:p>
    <w:p>
      <w:pPr>
        <w:spacing w:after="0" w:line="197"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 Acceptable Appraisal of such Rolling Stock has not been completed with respect to any Rolling Stock of a category that has not previously been subject to an Acceptable Appraisal,</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it is not covered by casualty insurance as to which Agent is listed as loss payee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 or</w:t>
      </w:r>
    </w:p>
    <w:p>
      <w:pPr>
        <w:spacing w:after="0" w:line="237" w:lineRule="exact"/>
        <w:rPr>
          <w:rFonts w:ascii="Arial" w:cs="Arial" w:eastAsia="Arial" w:hAnsi="Arial"/>
          <w:sz w:val="18"/>
          <w:szCs w:val="18"/>
          <w:color w:val="auto"/>
        </w:rPr>
      </w:pPr>
    </w:p>
    <w:p>
      <w:pPr>
        <w:ind w:left="1900" w:hanging="395"/>
        <w:spacing w:after="0"/>
        <w:tabs>
          <w:tab w:leader="none" w:pos="19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it is otherwise unacceptable to Agent in its Permitted Discretion.</w:t>
      </w:r>
    </w:p>
    <w:p>
      <w:pPr>
        <w:spacing w:after="0" w:line="215"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Transferee</w:t>
      </w:r>
      <w:r>
        <w:rPr>
          <w:rFonts w:ascii="Arial" w:cs="Arial" w:eastAsia="Arial" w:hAnsi="Arial"/>
          <w:sz w:val="18"/>
          <w:szCs w:val="18"/>
          <w:color w:val="auto"/>
        </w:rPr>
        <w:t xml:space="preserve">” means (a) any Lender (other than a Defaulting Lender), any Affiliate of any Lender and any Related Fund of any Lender; (b) (i) a commercial bank organized under the laws of the United States or any state thereof, and having total assets in excess of $1,000,000,000; (ii) a savings and loan association or savings bank organized under the laws of the United States or any state thereof, and having total assets in excess of $1,000,000,000; (iii) a commercial bank organized under the laws of any other country or a political subdivision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$1,000,000,000;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$1,000,000,000; and (d) during the continuation of an Event of Default, any other Person approved by Agent.</w:t>
      </w:r>
    </w:p>
    <w:p>
      <w:pPr>
        <w:spacing w:after="0" w:line="171"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Plan</w:t>
      </w:r>
      <w:r>
        <w:rPr>
          <w:rFonts w:ascii="Arial" w:cs="Arial" w:eastAsia="Arial" w:hAnsi="Arial"/>
          <w:sz w:val="20"/>
          <w:szCs w:val="20"/>
          <w:color w:val="auto"/>
        </w:rPr>
        <w:t>” means any employee benefit plan within the meaning of Section 3(3) of ERISA, whether or not subject to ERISA, (a) that is or within the preceding six years has been sponsored, maintained or contributed to by any Loan Party or ERISA Affiliate or (b) to which any Loan Party or ERISA Affiliate has any liability, contingent or otherwise.</w:t>
      </w:r>
    </w:p>
    <w:p>
      <w:pPr>
        <w:spacing w:after="0" w:line="188"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Action</w:t>
      </w:r>
      <w:r>
        <w:rPr>
          <w:rFonts w:ascii="Arial" w:cs="Arial" w:eastAsia="Arial" w:hAnsi="Arial"/>
          <w:sz w:val="20"/>
          <w:szCs w:val="20"/>
          <w:color w:val="auto"/>
        </w:rPr>
        <w:t>” means any written complaint, summons, citation, notice, directive, order, claim, litigation, investigation, judicial or administrative proceeding, judgment, letter,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2" w:name="page143"/>
    <w:bookmarkEnd w:id="142"/>
    <w:p>
      <w:pPr>
        <w:jc w:val="both"/>
        <w:spacing w:after="0" w:line="246" w:lineRule="auto"/>
        <w:rPr>
          <w:sz w:val="20"/>
          <w:szCs w:val="20"/>
          <w:color w:val="auto"/>
        </w:rPr>
      </w:pPr>
      <w:r>
        <w:rPr>
          <w:rFonts w:ascii="Arial" w:cs="Arial" w:eastAsia="Arial" w:hAnsi="Arial"/>
          <w:sz w:val="20"/>
          <w:szCs w:val="20"/>
          <w:color w:val="auto"/>
        </w:rPr>
        <w:t>other written communication from any Governmental Authority, or any third party involving violations of Environmental Laws or releases of Hazardous Materials (a) from any assets, properties, or businesses of Parent or any of its Restricted Subsidiaries or any of their predecessors in interest, (b) from adjoining properties or businesses, or (c) from or onto any facilities which received Hazardous Materials generated by Parent or any of its Restricted Subsidiaries or any of their predecessors in interest.</w:t>
      </w:r>
    </w:p>
    <w:p>
      <w:pPr>
        <w:spacing w:after="0" w:line="19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Parent or any of its Restricted Subsidiaries, relating to the environment, the effect of the environment on employee health, or Hazardous Materials, in each case as amended from time to time.</w:t>
      </w:r>
    </w:p>
    <w:p>
      <w:pPr>
        <w:spacing w:after="0" w:line="178"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Liabilities</w:t>
      </w:r>
      <w:r>
        <w:rPr>
          <w:rFonts w:ascii="Arial" w:cs="Arial" w:eastAsia="Arial" w:hAnsi="Arial"/>
          <w:sz w:val="20"/>
          <w:szCs w:val="20"/>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Lien</w:t>
      </w:r>
      <w:r>
        <w:rPr>
          <w:rFonts w:ascii="Arial" w:cs="Arial" w:eastAsia="Arial" w:hAnsi="Arial"/>
          <w:sz w:val="20"/>
          <w:szCs w:val="20"/>
          <w:color w:val="auto"/>
        </w:rPr>
        <w:t>” means any Lien in favor of any Governmental Authority for Environmental Liabilities.</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means equipment (as that term is defined in the Code).</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 Inventory</w:t>
      </w:r>
      <w:r>
        <w:rPr>
          <w:rFonts w:ascii="Arial" w:cs="Arial" w:eastAsia="Arial" w:hAnsi="Arial"/>
          <w:sz w:val="20"/>
          <w:szCs w:val="20"/>
          <w:color w:val="auto"/>
        </w:rPr>
        <w:t>” means Inventory of any Loan Party consisting of vehicles held for sale or lease to third parties and Inventory of any Loan Party consisting of vehicles while on lease to third parties.</w:t>
      </w:r>
    </w:p>
    <w:p>
      <w:pPr>
        <w:spacing w:after="0" w:line="176"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 statute thereto.</w:t>
      </w:r>
    </w:p>
    <w:p>
      <w:pPr>
        <w:spacing w:after="0" w:line="238" w:lineRule="exact"/>
        <w:rPr>
          <w:sz w:val="20"/>
          <w:szCs w:val="20"/>
          <w:color w:val="auto"/>
        </w:rPr>
      </w:pPr>
    </w:p>
    <w:p>
      <w:pPr>
        <w:jc w:val="both"/>
        <w:ind w:firstLine="149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 any Person subject to ERISA whose employees are treated as employed by the same employer as the employees of Parent or any of its Subsidiaries under IRC Section 414(b), (b) any trade or business subject to ERISA whose employees are treated as employed by the same employer as the employees of Parent or any of its Subsidiaries under IRC Section 414(c), (c) solely for purposes of Section 302 of ERISA and Section 412 of the IRC, any organization subject to ERISA that is a member of an affiliated service group of which Parent or any of its Subsidiaries is a member under IRC Section 414(m), or (d) solely for purposes of Section 302 of ERISA and Section 412 of the IRC, any Person subject to ERISA that is a party to an arrangement with Parent or any of its Subsidiaries and whose employees are aggregated with the employees of Parent or any of its Subsidiaries under IRC Section 414(o).</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17.18</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3" w:name="page144"/>
    <w:bookmarkEnd w:id="143"/>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17.18</w:t>
      </w:r>
      <w:r>
        <w:rPr>
          <w:rFonts w:ascii="Arial" w:cs="Arial" w:eastAsia="Arial" w:hAnsi="Arial"/>
          <w:sz w:val="18"/>
          <w:szCs w:val="18"/>
          <w:color w:val="auto"/>
        </w:rPr>
        <w:t xml:space="preserve"> of this Agreement.</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Loans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17.18</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 Return Deficiency</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17.18</w:t>
      </w:r>
      <w:r>
        <w:rPr>
          <w:rFonts w:ascii="Arial" w:cs="Arial" w:eastAsia="Arial" w:hAnsi="Arial"/>
          <w:sz w:val="19"/>
          <w:szCs w:val="19"/>
          <w:color w:val="auto"/>
        </w:rPr>
        <w:t xml:space="preserve"> of this Agreement.</w:t>
      </w:r>
    </w:p>
    <w:p>
      <w:pPr>
        <w:spacing w:after="0" w:line="226" w:lineRule="exact"/>
        <w:rPr>
          <w:sz w:val="20"/>
          <w:szCs w:val="20"/>
          <w:color w:val="auto"/>
        </w:rPr>
      </w:pPr>
    </w:p>
    <w:p>
      <w:pPr>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Availability</w:t>
      </w:r>
      <w:r>
        <w:rPr>
          <w:rFonts w:ascii="Arial" w:cs="Arial" w:eastAsia="Arial" w:hAnsi="Arial"/>
          <w:sz w:val="20"/>
          <w:szCs w:val="20"/>
          <w:color w:val="auto"/>
        </w:rPr>
        <w:t>” means, as of any date of determination, the amount determined by the following:</w:t>
      </w:r>
    </w:p>
    <w:p>
      <w:pPr>
        <w:spacing w:after="0" w:line="215" w:lineRule="exact"/>
        <w:rPr>
          <w:sz w:val="20"/>
          <w:szCs w:val="20"/>
          <w:color w:val="auto"/>
        </w:rPr>
      </w:pPr>
    </w:p>
    <w:p>
      <w:pPr>
        <w:ind w:right="20" w:firstLine="1505"/>
        <w:spacing w:after="0" w:line="315" w:lineRule="auto"/>
        <w:tabs>
          <w:tab w:leader="none" w:pos="189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at all times when Availability is less than 7.50% of the Maximum Revolver Amount (as adjusted for any Reserves against the Maximum Revolver Amount implemented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“Excess Availability” shall equal Availability; and</w:t>
      </w:r>
    </w:p>
    <w:p>
      <w:pPr>
        <w:spacing w:after="0" w:line="130" w:lineRule="exact"/>
        <w:rPr>
          <w:rFonts w:ascii="Arial" w:cs="Arial" w:eastAsia="Arial" w:hAnsi="Arial"/>
          <w:sz w:val="18"/>
          <w:szCs w:val="18"/>
          <w:color w:val="auto"/>
        </w:rPr>
      </w:pPr>
    </w:p>
    <w:p>
      <w:pPr>
        <w:ind w:right="40" w:firstLine="1505"/>
        <w:spacing w:after="0" w:line="260" w:lineRule="auto"/>
        <w:tabs>
          <w:tab w:leader="none" w:pos="189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at all other times, “Excess Availability” shall equal the positive amount, if any, by which (i) the Borrowing Base exceeds (ii) the Revolver Usage.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in effect from time to time.</w:t>
      </w:r>
    </w:p>
    <w:p>
      <w:pPr>
        <w:spacing w:after="0" w:line="215"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Immaterial Subsidiaries, (b) any Subsidiary of a Loan Party to the extent that the burden or cost of obtaining a guarantee is excessive in relation to the value afforded thereby as reasonably determined by Borrowers and Agent, (c) any Disregarded Domestic Persons, (d) any Foreign Subsidiary of a Loan Party that is a CFC, (e) any Domestic Subsidiary of a Loan Party that is a direct or indirect Subsidiary of a Foreign Subsidiary that is a CFC, (f) any not-for-profit Subsidiary or captive insurance Subsidiary,</w:t>
      </w:r>
    </w:p>
    <w:p>
      <w:pPr>
        <w:spacing w:after="0" w:line="1" w:lineRule="exact"/>
        <w:rPr>
          <w:sz w:val="20"/>
          <w:szCs w:val="20"/>
          <w:color w:val="auto"/>
        </w:rPr>
      </w:pPr>
    </w:p>
    <w:p>
      <w:pPr>
        <w:jc w:val="both"/>
        <w:ind w:firstLine="8"/>
        <w:spacing w:after="0" w:line="265" w:lineRule="auto"/>
        <w:tabs>
          <w:tab w:leader="none" w:pos="28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[reserved], (h) any Subsidiary for which such a guarantee would be prohibited or restricted by applicable law (including any requirement to obtain the consent, approval, license or authorization of any Governmental Authority, unless such consent, approval, license or authorization has been obtained), (i) any Subsidiary for which such a guarantee would be prohibited by any enforceable contractual obligation in existence as of the Sixth Restatement Effective Date or, in the case of any Subsidiary acquired after the Sixth Restatement Effective Date, in existence at the time of such acquisition thereof (and not entered into in contemplation of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(i) shall not apply to any contractual obligation (A) in the form of such Subsidiary’s Governing Documents; (B) if the other parties to such contractual obligation are Loan Parties or Subsidiaries of a Loan Party; or (C) if consent from the other parties to such contractual obligation has been obtained, (j) any Subsidiary for which such a guarantee would result in material adverse tax consequences as reasonably determined in good faith by Parent in consultation with its tax advisors and reasonably approved by the Agent,</w:t>
      </w:r>
    </w:p>
    <w:p>
      <w:pPr>
        <w:spacing w:after="0" w:line="6" w:lineRule="exact"/>
        <w:rPr>
          <w:rFonts w:ascii="Arial" w:cs="Arial" w:eastAsia="Arial" w:hAnsi="Arial"/>
          <w:sz w:val="18"/>
          <w:szCs w:val="18"/>
          <w:color w:val="auto"/>
        </w:rPr>
      </w:pPr>
    </w:p>
    <w:p>
      <w:pPr>
        <w:jc w:val="both"/>
        <w:ind w:firstLine="8"/>
        <w:spacing w:after="0"/>
        <w:tabs>
          <w:tab w:leader="none" w:pos="28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any non-wholly owned Subsidiary acquired, formed, or organized after the Sixth Restatement Effective Date pursuant to or in connection with any Investment permitted under this Agreement, and (l) Unrestricted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Subsidiary will be an Excluded Subsidiary if it guarantees the Indebtedness of any Loan Party or Restricted Subsidiary or grants any Liens on any of its assets to secure any Indebtedness of any Loan Party or Restricted Subsidiary.</w:t>
      </w:r>
    </w:p>
    <w:p>
      <w:pPr>
        <w:spacing w:after="0" w:line="197" w:lineRule="exact"/>
        <w:rPr>
          <w:sz w:val="20"/>
          <w:szCs w:val="20"/>
          <w:color w:val="auto"/>
        </w:rPr>
      </w:pPr>
    </w:p>
    <w:p>
      <w:pPr>
        <w:ind w:firstLine="15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Loan Party, any Swap Obligation if, and to the extent that, all or a portion of the guaranty of such Loan Party of (including by virtue of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4" w:name="page145"/>
    <w:bookmarkEnd w:id="144"/>
    <w:p>
      <w:pPr>
        <w:jc w:val="both"/>
        <w:spacing w:after="0" w:line="274" w:lineRule="auto"/>
        <w:rPr>
          <w:sz w:val="20"/>
          <w:szCs w:val="20"/>
          <w:color w:val="auto"/>
        </w:rPr>
      </w:pPr>
      <w:r>
        <w:rPr>
          <w:rFonts w:ascii="Arial" w:cs="Arial" w:eastAsia="Arial" w:hAnsi="Arial"/>
          <w:sz w:val="18"/>
          <w:szCs w:val="18"/>
          <w:color w:val="auto"/>
        </w:rPr>
        <w:t xml:space="preserve">joint and several liability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66"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(i) any tax imposed on the net income or net profits of any Lender or any Participant (including any branch profits taxes and franchise taxes), in each case imposed (A)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(B)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xml:space="preserve">”), (ii) United States federal withholding taxes that would not have been imposed but for a Lender’s or a Participant’s failure to comply with the requirements of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of this Agreement,</w:t>
      </w:r>
    </w:p>
    <w:p>
      <w:pPr>
        <w:spacing w:after="0" w:line="1" w:lineRule="exact"/>
        <w:rPr>
          <w:sz w:val="20"/>
          <w:szCs w:val="20"/>
          <w:color w:val="auto"/>
        </w:rPr>
      </w:pPr>
    </w:p>
    <w:p>
      <w:pPr>
        <w:jc w:val="both"/>
        <w:ind w:firstLine="8"/>
        <w:spacing w:after="0" w:line="273" w:lineRule="auto"/>
        <w:tabs>
          <w:tab w:leader="none" w:pos="3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United States federal withholding taxes imposed on amounts payable to a Foreign Lender pursuant to a law in effect at the time such Foreign Lender becomes a party to this Agreement (or designates a new lending office, other than a designation made at the request of a Loan Party),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that,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this Agreement, amounts with respect to such withholding taxes were payable to such Foreign Lender’s assignor immediately before such Foreign Lender became a party to this Agreement (or to such Foreign Lender immediately before such Foreign Lender designated a new lending office), and (iv) any withholding taxes imposed under FATCA.</w:t>
      </w:r>
    </w:p>
    <w:p>
      <w:pPr>
        <w:spacing w:after="0" w:line="169"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means that certain Fifth Amended and Restated Credit Agreement dated as of December 22, 2017, as amended by that certain First Amendment to Fifth Amended and Restated Credit Agreement dated as of February 1, 2019, as further amended by that certain Second Amendment to Fifth Amended and Restated Credit Agreement dated as of September 14, 2021, and as the same may have been further amended, restated, supplemented or otherwise modified from time to time prior to the date hereof, among Parent and the other Borrowers party thereto, the financial institutions party thereto from time to time as lenders and issuing bank, Wells Fargo, as Agent, and the other parties thereto.</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Extraordinary Advances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2.3(d)(iii)</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54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FCPA</w:t>
      </w:r>
      <w:r>
        <w:rPr>
          <w:rFonts w:ascii="Arial" w:cs="Arial" w:eastAsia="Arial" w:hAnsi="Arial"/>
          <w:sz w:val="19"/>
          <w:szCs w:val="19"/>
          <w:color w:val="auto"/>
        </w:rPr>
        <w:t>” means the Foreign Corrupt Practices Act of 1977, as amended, and the rules and regulations thereunder.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5" w:name="page146"/>
    <w:bookmarkEnd w:id="145"/>
    <w:p>
      <w:pPr>
        <w:jc w:val="both"/>
        <w:ind w:firstLine="1561"/>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94"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Bank of New York’s Website</w:t>
      </w:r>
      <w:r>
        <w:rPr>
          <w:rFonts w:ascii="Arial" w:cs="Arial" w:eastAsia="Arial" w:hAnsi="Arial"/>
          <w:sz w:val="20"/>
          <w:szCs w:val="20"/>
          <w:color w:val="auto"/>
        </w:rPr>
        <w:t>” means the website of the Federal Reserve Bank of New York at http://www.newyorkfed.org, or any successor source.</w:t>
      </w:r>
    </w:p>
    <w:p>
      <w:pPr>
        <w:spacing w:after="0" w:line="17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that certain letter dated as of the Sixth Restatement Effective Date from Agent to Parent regarding certain fees payable in connection with this Agreement, as the same may be amended, restated, supplemented, or otherwise modified from time to time.</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February 1, 2019.</w:t>
      </w:r>
    </w:p>
    <w:p>
      <w:pPr>
        <w:spacing w:after="0" w:line="215"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with respect to any fiscal period and with respect to Parent and its Restricted Subsidiaries determined on a consolidated basis in accordance with GAAP, the ratio of (a) the sum of (i) EBITDA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all federal, state, and local income taxes paid in cash during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Unfinanced Capital Expenditures made (to the extent not already incurred in a prior period) or incurred during such period, to (b) Fixed Charges for such period.</w:t>
      </w:r>
    </w:p>
    <w:p>
      <w:pPr>
        <w:spacing w:after="0" w:line="160"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color w:val="auto"/>
        </w:rPr>
        <w:t xml:space="preserve">For the purposes of calculating the Fixed Charge Coverage Ratio for any Reference Period, if at any time during such Reference Period (and after the Sixth Restatement Effective Date), any Loan Party or any of its Restricted Subsidiaries shall have made a Permitted Acquisition, consummated a Specified Transaction or designated an Unrestricted Subsidiary as a Restricted Subsidiary, Fixed Charges and Unfinanced Capital Expenditures for such Reference Period shall be calculated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thereto or in such other manner mutually acceptable to Agent and Parent as if any such Permitted Acquisition, Specified Transaction or designation occurred on the first day of such Reference Period.</w:t>
      </w:r>
    </w:p>
    <w:p>
      <w:pPr>
        <w:spacing w:after="0" w:line="194"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xml:space="preserve">” means, with respect to any fiscal period and with respect to Parent and its Restricted Subsidiaries determined on a consolidated basis in accordance with GAAP, the sum, without duplication, of (a) Interest Expense required to be paid (other than interest paid-in-kind, amortization of financing fees, and other non-cash Interest Expense) during such period, (b) scheduled principal payments in respect of Indebtedness that are paid or required to be paid during such period (excluding, for the avoidance of doubt, payments in respect of the Loans including mandatory prepayments under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and (c) all Restricted Payments paid in cash during such period pursuant to </w:t>
      </w:r>
      <w:r>
        <w:rPr>
          <w:rFonts w:ascii="Arial" w:cs="Arial" w:eastAsia="Arial" w:hAnsi="Arial"/>
          <w:sz w:val="18"/>
          <w:szCs w:val="18"/>
          <w:u w:val="single" w:color="auto"/>
          <w:color w:val="auto"/>
        </w:rPr>
        <w:t>Section 6.7(d)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Restricted Payment made in accordance with </w:t>
      </w:r>
      <w:r>
        <w:rPr>
          <w:rFonts w:ascii="Arial" w:cs="Arial" w:eastAsia="Arial" w:hAnsi="Arial"/>
          <w:sz w:val="18"/>
          <w:szCs w:val="18"/>
          <w:u w:val="single" w:color="auto"/>
          <w:color w:val="auto"/>
        </w:rPr>
        <w:t>Section 6.7(d)</w:t>
      </w:r>
      <w:r>
        <w:rPr>
          <w:rFonts w:ascii="Arial" w:cs="Arial" w:eastAsia="Arial" w:hAnsi="Arial"/>
          <w:sz w:val="18"/>
          <w:szCs w:val="18"/>
          <w:color w:val="auto"/>
        </w:rPr>
        <w:t xml:space="preserve"> shall be included in this clause (c) if Parent shall have demonstrated in writing to Agent’s reasonable satisfaction that the Payment Conditions were or would have been satisfied with respect to such Restricted Payment at the time such Restricted Payment was made.</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Fixtures</w:t>
      </w:r>
      <w:r>
        <w:rPr>
          <w:rFonts w:ascii="Arial" w:cs="Arial" w:eastAsia="Arial" w:hAnsi="Arial"/>
          <w:sz w:val="20"/>
          <w:szCs w:val="20"/>
          <w:color w:val="auto"/>
        </w:rPr>
        <w:t>” means fixtures (as that term is defined in the Code).</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a rate of interest equal to 0%.</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 Plan Equipment Inventory</w:t>
      </w:r>
      <w:r>
        <w:rPr>
          <w:rFonts w:ascii="Arial" w:cs="Arial" w:eastAsia="Arial" w:hAnsi="Arial"/>
          <w:sz w:val="20"/>
          <w:szCs w:val="20"/>
          <w:color w:val="auto"/>
        </w:rPr>
        <w:t>” means Equipment Inventory which (a) was purchased by any Loan Party or any Restricted Subsidiary in the ordinary course of business with the proceeds of any Floor Plan Financing which (together with any Refinancing Indebtedness in respect thereof) remains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outstanding and (b) is subject to any Lien of the type described in clause (f) of the definition of “Permitted Liens.”</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 Plan Financing</w:t>
      </w:r>
      <w:r>
        <w:rPr>
          <w:rFonts w:ascii="Arial" w:cs="Arial" w:eastAsia="Arial" w:hAnsi="Arial"/>
          <w:sz w:val="20"/>
          <w:szCs w:val="20"/>
          <w:color w:val="auto"/>
        </w:rPr>
        <w:t>” means any floor plan financing or other indebtedness incurred by any Loan Party or any of its Restricted Subsidiaries (including Indebtedness in respect of Open Accounts) for the purposes of financing all or a portion of the purchase of Equipment Inventory.</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Participant that is not a United States person within the meaning of IRC section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7701(a)(30).</w:t>
      </w:r>
    </w:p>
    <w:p>
      <w:pPr>
        <w:spacing w:after="0" w:line="199"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direct or indirect Subsidiary of any Loan Party that is organized under the laws of any jurisdiction other than the United States, any state thereof or the District of Columbia.</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means the date on which a Borrowing occurs.</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Losses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2.12(b)(ii)</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 consistently applied; provided, however, that, any of the foregoing and any other term or provision of this Agreement or the other Loan Documents to the contrary notwithstanding, any obligations related to a lease (whether now or hereafter existing) that would be accounted for by such Person as an operating lease in accordance with GAAP as of the First Amendment Effective Date (whether or not such lease exists as of the First Amendment Effective Date or is thereafter entered into) shall be accounted for as an operating lease (and not as a Capital Lease) for all purposes under this Agreement and the other Loan Documents regardless of any change in GAAP that would otherwise require such lease to be re-characterized (on a prospective or retroactive basis or otherwise) as a Capital Lease.</w:t>
      </w:r>
    </w:p>
    <w:p>
      <w:pPr>
        <w:spacing w:after="0" w:line="166"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Governing Documents</w:t>
      </w:r>
      <w:r>
        <w:rPr>
          <w:rFonts w:ascii="Arial" w:cs="Arial" w:eastAsia="Arial" w:hAnsi="Arial"/>
          <w:sz w:val="20"/>
          <w:szCs w:val="20"/>
          <w:color w:val="auto"/>
        </w:rPr>
        <w:t>” means, with respect to any Person, the certificate or articles of incorporation, by-laws, or other organizational documents of such Person.</w:t>
      </w:r>
    </w:p>
    <w:p>
      <w:pPr>
        <w:spacing w:after="0" w:line="176"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(a) each Person that guaranties all or a portion of the Obligations, including any Person that is a “Guarantor” under the Guaranty and Security Agreement, and (b) each other Person that becomes a guarantor after the Sixth Restatement Effective Date pursuant to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of this Agreement.</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and Security Agreement</w:t>
      </w:r>
      <w:r>
        <w:rPr>
          <w:rFonts w:ascii="Arial" w:cs="Arial" w:eastAsia="Arial" w:hAnsi="Arial"/>
          <w:sz w:val="20"/>
          <w:szCs w:val="20"/>
          <w:color w:val="auto"/>
        </w:rPr>
        <w:t>” means that certain Third Amended and Restated Guaranty and Security Agreement dated as of the Sixth Restatement Effective Date by and among each of the Loan Parties and Agent, as the same may be amended, restated, supplemented, or otherwise modified from time to time.</w:t>
      </w:r>
    </w:p>
    <w:p>
      <w:pPr>
        <w:spacing w:after="0" w:line="188"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substances that are defined or listed in, or otherwise classified pursuant to, any applicable laws or regulations as “hazardous substances,” “hazardous materials,”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7" w:name="page148"/>
    <w:bookmarkEnd w:id="147"/>
    <w:p>
      <w:pPr>
        <w:jc w:val="both"/>
        <w:spacing w:after="0" w:line="243" w:lineRule="auto"/>
        <w:rPr>
          <w:sz w:val="20"/>
          <w:szCs w:val="20"/>
          <w:color w:val="auto"/>
        </w:rPr>
      </w:pPr>
      <w:r>
        <w:rPr>
          <w:rFonts w:ascii="Arial" w:cs="Arial" w:eastAsia="Arial" w:hAnsi="Arial"/>
          <w:sz w:val="20"/>
          <w:szCs w:val="20"/>
          <w:color w:val="auto"/>
        </w:rPr>
        <w:t>“hazardous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“swap agreement” as that term is defined in Section 101(53B)(A) of the Bankruptcy Code.</w:t>
      </w:r>
    </w:p>
    <w:p>
      <w:pPr>
        <w:spacing w:after="0" w:line="23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Obligations</w:t>
      </w:r>
      <w:r>
        <w:rPr>
          <w:rFonts w:ascii="Arial" w:cs="Arial" w:eastAsia="Arial" w:hAnsi="Arial"/>
          <w:sz w:val="20"/>
          <w:szCs w:val="20"/>
          <w:color w:val="auto"/>
        </w:rPr>
        <w:t>” means any and all obligations or liabilities, whether absolute or contingent, due or to become due, now existing or hereafter arising, of Parent or any of its Restricted Subsidiaries arising under, owing pursuant to, or existing in respect of Hedge Agreements entered into with one or more of the Hedge Providers.</w:t>
      </w:r>
    </w:p>
    <w:p>
      <w:pPr>
        <w:spacing w:after="0" w:line="188" w:lineRule="exact"/>
        <w:rPr>
          <w:sz w:val="20"/>
          <w:szCs w:val="20"/>
          <w:color w:val="auto"/>
        </w:rPr>
      </w:pPr>
    </w:p>
    <w:p>
      <w:pPr>
        <w:jc w:val="both"/>
        <w:ind w:firstLine="157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Provider</w:t>
      </w:r>
      <w:r>
        <w:rPr>
          <w:rFonts w:ascii="Arial" w:cs="Arial" w:eastAsia="Arial" w:hAnsi="Arial"/>
          <w:sz w:val="18"/>
          <w:szCs w:val="18"/>
          <w:color w:val="auto"/>
        </w:rPr>
        <w:t xml:space="preserve">” means any Bank Product Provider that is a party to a Hedge Agreement with Parent or any of its Restricted Subsidiaries or otherwise provides Bank Products under clause (f) of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a Lender ceases to be a Lender under this Agreement (prior to the payment in full of the Obligations),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spacing w:after="0" w:line="163" w:lineRule="exact"/>
        <w:rPr>
          <w:sz w:val="20"/>
          <w:szCs w:val="20"/>
          <w:color w:val="auto"/>
        </w:rPr>
      </w:pPr>
    </w:p>
    <w:p>
      <w:pPr>
        <w:jc w:val="both"/>
        <w:ind w:firstLine="149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Permitted Acquisition</w:t>
      </w:r>
      <w:r>
        <w:rPr>
          <w:rFonts w:ascii="Arial" w:cs="Arial" w:eastAsia="Arial" w:hAnsi="Arial"/>
          <w:sz w:val="18"/>
          <w:szCs w:val="18"/>
          <w:color w:val="auto"/>
        </w:rPr>
        <w:t>” means any Permitted Acquisition, so long as (a) the Purchase Price for such Acquisition is less than $60,000,000, (b) immediately before and after giving effect to such Acquisition, Excess Availability (calculated on a pro forma basis by giving effect to such Acquisition) will equal or exceed 20% of the Maximum Revolver Amount, and (c) before consummating such Acquisition, Parent shall have delivered to Agent a certificate in which Parent certifies to Agent (i) the Purchase Price for such Acquisition, (ii) that such Acquisition is an Immaterial Permitted Acquisition, and (iii) the calculation in the preceding clause (b).</w:t>
      </w:r>
    </w:p>
    <w:p>
      <w:pPr>
        <w:spacing w:after="0" w:line="16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each Restricted Subsidiary of a Borrower that is not a Material Subsidiary.</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Date</w:t>
      </w:r>
      <w:r>
        <w:rPr>
          <w:rFonts w:ascii="Arial" w:cs="Arial" w:eastAsia="Arial" w:hAnsi="Arial"/>
          <w:sz w:val="20"/>
          <w:szCs w:val="20"/>
          <w:color w:val="auto"/>
        </w:rPr>
        <w:t xml:space="preserve">” means the date of the effectiveness of any increased Revolver Commitments and the Maximum Revolver Amount effected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Joinder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5" w:lineRule="exact"/>
        <w:rPr>
          <w:sz w:val="20"/>
          <w:szCs w:val="20"/>
          <w:color w:val="auto"/>
        </w:rPr>
      </w:pPr>
    </w:p>
    <w:p>
      <w:pPr>
        <w:jc w:val="both"/>
        <w:ind w:firstLine="154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Period</w:t>
      </w:r>
      <w:r>
        <w:rPr>
          <w:rFonts w:ascii="Arial" w:cs="Arial" w:eastAsia="Arial" w:hAnsi="Arial"/>
          <w:sz w:val="18"/>
          <w:szCs w:val="18"/>
          <w:color w:val="auto"/>
        </w:rPr>
        <w:t>” means each period commencing on any date on which an Event of Default has occurred and is continuing or Excess Availability is less than 10% of the Maximum Revolver Amount and ending on the first date thereafter on which Excess Availability shall have been at least 10% of the Maximum Revolver Amount for 60 consecutive days and no Event of Default exists.</w:t>
      </w:r>
    </w:p>
    <w:p>
      <w:pPr>
        <w:spacing w:after="0" w:line="153"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as to any Person means, without duplication, (a) all obligations of such Person for borrowed money, (b) all obligations of such Person evidenced by bonds, debentures, notes, or other similar instruments and all reimbursement or other obligations in respect of letters of credit, bankers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8" w:name="page149"/>
    <w:bookmarkEnd w:id="148"/>
    <w:p>
      <w:pPr>
        <w:jc w:val="both"/>
        <w:spacing w:after="0" w:line="268" w:lineRule="auto"/>
        <w:rPr>
          <w:sz w:val="20"/>
          <w:szCs w:val="20"/>
          <w:color w:val="auto"/>
        </w:rPr>
      </w:pPr>
      <w:r>
        <w:rPr>
          <w:rFonts w:ascii="Arial" w:cs="Arial" w:eastAsia="Arial" w:hAnsi="Arial"/>
          <w:sz w:val="18"/>
          <w:szCs w:val="18"/>
          <w:color w:val="auto"/>
        </w:rPr>
        <w:t>acceptances, or other financial products, (c) all obligations of such Person as a lessee under Capital Leases, (d) all obligations or liabilities of others secured by a Lien on any asset of such Person, irrespective of whether such obligation or liability is assumed, (e) all non-contingent obligations of such Person to pay the deferred purchase price of assets (including purchases on Open Account, to the extent provided in the definition thereof) payment for which is deferred 12 months or more (but excluding (i) obligations to trade creditors incurred in the ordinary course of business that are unsecured and not overdue by more than 12 months unless being contested in good faith and (ii) royalty payments payable in the ordinary course of business in respect of non-exclusive licenses) and any Earn-Outs when such obligation becomes fixed in an amount or is required under GAAP to appear in the liabilities section of the balance sheet of such Person (in the amount that is so fixed or appearing on the balance sheet from time to time, as the case may be),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88" w:lineRule="exact"/>
        <w:rPr>
          <w:sz w:val="20"/>
          <w:szCs w:val="20"/>
          <w:color w:val="auto"/>
        </w:rPr>
      </w:pPr>
    </w:p>
    <w:p>
      <w:pPr>
        <w:jc w:val="both"/>
        <w:ind w:firstLine="158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90"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Subordination Agreement</w:t>
      </w:r>
      <w:r>
        <w:rPr>
          <w:rFonts w:ascii="Arial" w:cs="Arial" w:eastAsia="Arial" w:hAnsi="Arial"/>
          <w:sz w:val="20"/>
          <w:szCs w:val="20"/>
          <w:color w:val="auto"/>
        </w:rPr>
        <w:t>” means that certain Amended and Restated Intercompany Subordination Agreement, dated as of even date with this Agreement, executed and delivered by each Loan Party and each of its Restricted Subsidiaries, and Agent, the form and substance of which is reasonably satisfactory to Agent, as the same may be amended, restated, supplemented, or otherwise modified from time to time.</w:t>
      </w:r>
    </w:p>
    <w:p>
      <w:pPr>
        <w:spacing w:after="0" w:line="190" w:lineRule="exact"/>
        <w:rPr>
          <w:sz w:val="20"/>
          <w:szCs w:val="20"/>
          <w:color w:val="auto"/>
        </w:rPr>
      </w:pPr>
    </w:p>
    <w:p>
      <w:pPr>
        <w:jc w:val="both"/>
        <w:ind w:firstLine="154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Expense</w:t>
      </w:r>
      <w:r>
        <w:rPr>
          <w:rFonts w:ascii="Arial" w:cs="Arial" w:eastAsia="Arial" w:hAnsi="Arial"/>
          <w:sz w:val="19"/>
          <w:szCs w:val="19"/>
          <w:color w:val="auto"/>
        </w:rPr>
        <w:t>” means, as to any Person for any period, the aggregate of the interest expense of such Person for such period, determined in accordance with GAAP, whether cash or non-cash, including interest expense with respect to any Indebtedness and interest expense that has been capitalized, but excluding amortization of any original discount attributable to any Indebtedness or warrants and interest paid in-kind, in each case, to the extent otherwise included as interest expense.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9" w:name="page150"/>
    <w:bookmarkEnd w:id="149"/>
    <w:p>
      <w:pPr>
        <w:jc w:val="both"/>
        <w:ind w:firstLine="149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SOFR Loan, a period commencing on the date of the making of such SOFR Loan (or the continuation of a SOFR Loan or the conversion of a Base Rate Loan to a SOFR Loan) and ending one, three, or six months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interest shall accrue at the applicable rate based upon Adjusted Term SOFR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one, three, or six months after the date on which the Interest Period began, as applicable, (d) Borrowers may not elect an Interest Period which will end after the Maturity Date and (e) no tenor that has been removed from this definition pursuant to </w:t>
      </w:r>
      <w:r>
        <w:rPr>
          <w:rFonts w:ascii="Arial" w:cs="Arial" w:eastAsia="Arial" w:hAnsi="Arial"/>
          <w:sz w:val="19"/>
          <w:szCs w:val="19"/>
          <w:u w:val="single" w:color="auto"/>
          <w:color w:val="auto"/>
        </w:rPr>
        <w:t>Section 2.12(d)(iii)(D)</w:t>
      </w:r>
      <w:r>
        <w:rPr>
          <w:rFonts w:ascii="Arial" w:cs="Arial" w:eastAsia="Arial" w:hAnsi="Arial"/>
          <w:sz w:val="19"/>
          <w:szCs w:val="19"/>
          <w:color w:val="auto"/>
        </w:rPr>
        <w:t xml:space="preserve"> shall be available for specification in any SOFR Notice or conversion or continuation notice.</w:t>
      </w:r>
    </w:p>
    <w:p>
      <w:pPr>
        <w:spacing w:after="0" w:line="184"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means inventory (as that term is defined in the Code). Without limiting the generality of the foregoing, “</w:t>
      </w:r>
      <w:r>
        <w:rPr>
          <w:rFonts w:ascii="Arial" w:cs="Arial" w:eastAsia="Arial" w:hAnsi="Arial"/>
          <w:sz w:val="20"/>
          <w:szCs w:val="20"/>
          <w:u w:val="single" w:color="auto"/>
          <w:color w:val="auto"/>
        </w:rPr>
        <w:t>Inventory</w:t>
      </w:r>
      <w:r>
        <w:rPr>
          <w:rFonts w:ascii="Arial" w:cs="Arial" w:eastAsia="Arial" w:hAnsi="Arial"/>
          <w:sz w:val="20"/>
          <w:szCs w:val="20"/>
          <w:color w:val="auto"/>
        </w:rPr>
        <w:t>” includes Parts and Tools Inventory and Equipment Inventory.</w:t>
      </w:r>
    </w:p>
    <w:p>
      <w:pPr>
        <w:spacing w:after="0" w:line="176" w:lineRule="exact"/>
        <w:rPr>
          <w:sz w:val="20"/>
          <w:szCs w:val="20"/>
          <w:color w:val="auto"/>
        </w:rPr>
      </w:pPr>
    </w:p>
    <w:p>
      <w:pPr>
        <w:jc w:val="both"/>
        <w:ind w:firstLine="149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cost of all additions thereto, without any adjustment for increases or decreases in value, or write-ups, write-downs, or write-offs with respect to such Investment.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IRC</w:t>
      </w:r>
      <w:r>
        <w:rPr>
          <w:rFonts w:ascii="Arial" w:cs="Arial" w:eastAsia="Arial" w:hAnsi="Arial"/>
          <w:sz w:val="20"/>
          <w:szCs w:val="20"/>
          <w:color w:val="auto"/>
        </w:rPr>
        <w:t>” means the Internal Revenue Code of 1986, as in effect from time to time.</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(International Chamber of Commerce Publication No. 590) and any version or revision thereof accepted by the Issuing Bank for use.</w:t>
      </w:r>
    </w:p>
    <w:p>
      <w:pPr>
        <w:spacing w:after="0" w:line="17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w:t>
      </w:r>
      <w:r>
        <w:rPr>
          <w:rFonts w:ascii="Arial" w:cs="Arial" w:eastAsia="Arial" w:hAnsi="Arial"/>
          <w:sz w:val="20"/>
          <w:szCs w:val="20"/>
          <w:color w:val="auto"/>
        </w:rPr>
        <w:t>” means, with respect to any Letter of Credit, a letter of credit application, a letter of credit agreement, or any other document, agreement or instrument entered into (or to be entered into) by or on behalf of a Borrower in favor of Issuing Bank and relating to such Letter of Credit.</w:t>
      </w:r>
    </w:p>
    <w:p>
      <w:pPr>
        <w:spacing w:after="0" w:line="188" w:lineRule="exact"/>
        <w:rPr>
          <w:sz w:val="20"/>
          <w:szCs w:val="20"/>
          <w:color w:val="auto"/>
        </w:rPr>
      </w:pPr>
    </w:p>
    <w:p>
      <w:pPr>
        <w:jc w:val="both"/>
        <w:ind w:firstLine="14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Wells Fargo and any other Lender that, at the request of Administrative Borrower and with the consent of Agent (such consent not to be unreasonably withheld, conditioned, or delayed), agrees, in such Lender’s sole discretion, to become an Issuing Bank for the purpose of issuing Letters of Credit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this Agreement, and Issuing Bank shall be a Lender.</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J-1</w:t>
      </w:r>
      <w:r>
        <w:rPr>
          <w:rFonts w:ascii="Arial" w:cs="Arial" w:eastAsia="Arial" w:hAnsi="Arial"/>
          <w:sz w:val="20"/>
          <w:szCs w:val="20"/>
          <w:color w:val="auto"/>
        </w:rPr>
        <w:t xml:space="preserve"> to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Book Runners</w:t>
      </w:r>
      <w:r>
        <w:rPr>
          <w:rFonts w:ascii="Arial" w:cs="Arial" w:eastAsia="Arial" w:hAnsi="Arial"/>
          <w:sz w:val="20"/>
          <w:szCs w:val="20"/>
          <w:color w:val="auto"/>
        </w:rPr>
        <w:t>” has the meaning set forth in the preamble to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Arrangers</w:t>
      </w:r>
      <w:r>
        <w:rPr>
          <w:rFonts w:ascii="Arial" w:cs="Arial" w:eastAsia="Arial" w:hAnsi="Arial"/>
          <w:sz w:val="20"/>
          <w:szCs w:val="20"/>
          <w:color w:val="auto"/>
        </w:rPr>
        <w:t>” has the meaning set forth in the preamble to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0" w:name="page151"/>
    <w:bookmarkEnd w:id="150"/>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Election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has the meaning set forth in the preamble to this Agreement, shall include Issuing Bank and the Swing Lender, and shall also include any other Person made a party to this Agreement pursuant to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of this Agreement and “</w:t>
      </w:r>
      <w:r>
        <w:rPr>
          <w:rFonts w:ascii="Arial" w:cs="Arial" w:eastAsia="Arial" w:hAnsi="Arial"/>
          <w:sz w:val="20"/>
          <w:szCs w:val="20"/>
          <w:u w:val="single" w:color="auto"/>
          <w:color w:val="auto"/>
        </w:rPr>
        <w:t>Lenders</w:t>
      </w:r>
      <w:r>
        <w:rPr>
          <w:rFonts w:ascii="Arial" w:cs="Arial" w:eastAsia="Arial" w:hAnsi="Arial"/>
          <w:sz w:val="20"/>
          <w:szCs w:val="20"/>
          <w:color w:val="auto"/>
        </w:rPr>
        <w:t>” means each of the Lenders or any one or more of them.</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w:t>
      </w:r>
      <w:r>
        <w:rPr>
          <w:rFonts w:ascii="Arial" w:cs="Arial" w:eastAsia="Arial" w:hAnsi="Arial"/>
          <w:sz w:val="18"/>
          <w:szCs w:val="18"/>
          <w:color w:val="auto"/>
        </w:rPr>
        <w:t>” means each of the Lenders (including Issuing Bank and the Swing Lender) and Agent, or any one or more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of them.</w:t>
      </w:r>
    </w:p>
    <w:p>
      <w:pPr>
        <w:spacing w:after="0" w:line="199" w:lineRule="exact"/>
        <w:rPr>
          <w:sz w:val="20"/>
          <w:szCs w:val="20"/>
          <w:color w:val="auto"/>
        </w:rPr>
      </w:pPr>
    </w:p>
    <w:p>
      <w:pPr>
        <w:jc w:val="both"/>
        <w:ind w:firstLine="149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 Expenses</w:t>
      </w:r>
      <w:r>
        <w:rPr>
          <w:rFonts w:ascii="Arial" w:cs="Arial" w:eastAsia="Arial" w:hAnsi="Arial"/>
          <w:sz w:val="18"/>
          <w:szCs w:val="18"/>
          <w:color w:val="auto"/>
        </w:rPr>
        <w:t xml:space="preserve">” means all (a) reasonable and documented costs or expenses (including taxes (other than Taxes that are governed by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insurance premiums) required to be paid by any Loan Party or its Restricted Subsidiaries under any of the Loan Documents that are paid, advanced, or incurred by the Lender Group, pursuant to the terms of this Agreement, (b) reasonable and documented out-of-pocket fees or charges paid or incurred by Agent in connection with the Lender Group’s transactions with each Loan Party and its Restricted Subsidiaries under and permitted by any of the Loan Documents, including, photocopying, notarization, couriers and messengers, telecommunication, public record searches, filing fees, recording fees, publication, real estate surveys, real estate title policies and endorsements, and Phase I Environmental Site Assessments and, if reasonably deemed necessary by Agent, and other environmental audits, (c) Agent’s customary fees and charges imposed or incurred in connection with any background checks or OFAC/PEP searches related to any Loan Party or its Restricted Subsidiaries, (d) Agent’s customary fees and charges (as adjusted from time to time) with respect to the disbursement of funds (or the receipt of funds) to or for the account of any Borrower (whether by wire transfer or otherwise), together with any reasonable and documented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and appraisal fees and expenses of Agent related to any field examinations, appraisals, or valuation to the extent of the fees and charges (and up to the amount of any limitation)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this Agreement, (h) Agent’s and Lenders’ reasonable, documented out-of-pocket costs and expenses (including reasonable and documented out-of-pocket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Restricted Subsidiaries, (i) Agent’s reasonable and documented out-of-pocket costs and expenses (including reasonable and documented out-of-pocket attorneys’ fees and due diligence expenses) incurred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Agent’s and each Lender’s reasonable and documented out-of-pocket costs and expenses (including reasonable and documented out-of-pocket attorneys, accountants, consultants, and other advisors fees and expenses) incurred in terminating, enforcing (including attorneys, accountants, consultants (including valuation consultants and experts), and other advisors fees and expenses incurred in connection with a “workout,” a “restructuring,” or an Insolvency Proceeding concerning any Loan Party or any of its Restricted Subsidiaries or in exercising rights or remedies under the Loan Documents), or defending the Loan Documents, irrespective of whether a lawsuit or other adverse proceeding is brought, or in taking 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1" w:name="page152"/>
    <w:bookmarkEnd w:id="151"/>
    <w:p>
      <w:pPr>
        <w:jc w:val="both"/>
        <w:spacing w:after="0" w:line="257" w:lineRule="auto"/>
        <w:rPr>
          <w:sz w:val="20"/>
          <w:szCs w:val="20"/>
          <w:color w:val="auto"/>
        </w:rPr>
      </w:pPr>
      <w:r>
        <w:rPr>
          <w:rFonts w:ascii="Arial" w:cs="Arial" w:eastAsia="Arial" w:hAnsi="Arial"/>
          <w:sz w:val="19"/>
          <w:szCs w:val="19"/>
          <w:color w:val="auto"/>
        </w:rPr>
        <w:t>enforcement action or any Remedial Action with respect to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that the fees and expenses of counsel that shall constitute Lender Group Expenses shall in any event be limited to (i) one primary outside counsel to the Lender Group taken as a whole, (ii) if reasonably necessary, one local counsel to the Lender Group taken as a whole in each relevant jurisdiction (which may include a single counsel acting in multiple jurisdictions) and (iii) solely in the case of an actual or perceived conflict of interest where the Person affected by such conflict of interest has informed Parent in writing of such conflict and thereafter retains its own counsel, one additional counsel in each relevant jurisdiction to each group of members of the Lender Group similarly situated taken as a whole, and, in all cases excluding, for the avoidance of doubt, the allocated costs of internal counsel).</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Group Representatives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means, with respect to any Lender, such Lender, together with such Lender’s Affiliates, officers, directors, employees, attorneys, and agents.</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 letter of credit (as that term is defined in the Code) issued by Issuing Bank.</w:t>
      </w:r>
    </w:p>
    <w:p>
      <w:pPr>
        <w:spacing w:after="0" w:line="215" w:lineRule="exact"/>
        <w:rPr>
          <w:sz w:val="20"/>
          <w:szCs w:val="20"/>
          <w:color w:val="auto"/>
        </w:rPr>
      </w:pPr>
    </w:p>
    <w:p>
      <w:pPr>
        <w:jc w:val="both"/>
        <w:ind w:firstLine="149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Collateralization</w:t>
      </w:r>
      <w:r>
        <w:rPr>
          <w:rFonts w:ascii="Arial" w:cs="Arial" w:eastAsia="Arial" w:hAnsi="Arial"/>
          <w:sz w:val="18"/>
          <w:szCs w:val="18"/>
          <w:color w:val="auto"/>
        </w:rPr>
        <w:t xml:space="preserve">” means either (a) providing cash collateral (pursuant to documentation reasonably satisfactory to Agent (including that Agent has a first priority (subject only to Permitted Liens arising by operation of law) perfected Lien in such cash collateral), including provisions that specify that the Letter of Credit Fees and all commissions, fees, charges and expenses provided for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of this Agreement (including any fronting fees) will continue to accrue while the Letters of Credit are outstanding) to be held by Agent for the benefit of the Revolving Lenders in an amount equal to 103% of the then existing Letter of Credit Usage, (b) delivering to Agent documentation executed by all beneficiaries under the Letters of Credit, in form and substance reasonably satisfactory to Agent and the applicable Issuing Bank, terminating all of such beneficiaries’ rights under the Letters of Credit, or (c) providing Agent with a standby letter of credit, in form and substance reasonably satisfactory to Agent, from a commercial bank acceptable to Agent in its Permitted Discretion in an amount equal to 103%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Disbursement</w:t>
      </w:r>
      <w:r>
        <w:rPr>
          <w:rFonts w:ascii="Arial" w:cs="Arial" w:eastAsia="Arial" w:hAnsi="Arial"/>
          <w:sz w:val="18"/>
          <w:szCs w:val="18"/>
          <w:color w:val="auto"/>
        </w:rPr>
        <w:t>” means a payment made by the applicable Issuing Bank pursuant to a Letter of Credit.</w:t>
      </w:r>
    </w:p>
    <w:p>
      <w:pPr>
        <w:spacing w:after="0" w:line="23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Exposure</w:t>
      </w:r>
      <w:r>
        <w:rPr>
          <w:rFonts w:ascii="Arial" w:cs="Arial" w:eastAsia="Arial" w:hAnsi="Arial"/>
          <w:sz w:val="20"/>
          <w:szCs w:val="20"/>
          <w:color w:val="auto"/>
        </w:rPr>
        <w:t xml:space="preserve">” means, as of any date of determination with respect to any Lender, such Lender’s participation in the Letter of Credit Usage pursuant to </w:t>
      </w:r>
      <w:r>
        <w:rPr>
          <w:rFonts w:ascii="Arial" w:cs="Arial" w:eastAsia="Arial" w:hAnsi="Arial"/>
          <w:sz w:val="20"/>
          <w:szCs w:val="20"/>
          <w:u w:val="single" w:color="auto"/>
          <w:color w:val="auto"/>
        </w:rPr>
        <w:t>Section 2.11(e)</w:t>
      </w:r>
      <w:r>
        <w:rPr>
          <w:rFonts w:ascii="Arial" w:cs="Arial" w:eastAsia="Arial" w:hAnsi="Arial"/>
          <w:sz w:val="20"/>
          <w:szCs w:val="20"/>
          <w:color w:val="auto"/>
        </w:rPr>
        <w:t xml:space="preserve"> on such date.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Indemnified Costs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Related Person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$30,000,000.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2" w:name="page153"/>
    <w:bookmarkEnd w:id="152"/>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Usage</w:t>
      </w:r>
      <w:r>
        <w:rPr>
          <w:rFonts w:ascii="Arial" w:cs="Arial" w:eastAsia="Arial" w:hAnsi="Arial"/>
          <w:sz w:val="20"/>
          <w:szCs w:val="20"/>
          <w:color w:val="auto"/>
        </w:rPr>
        <w:t xml:space="preserve">” means, as of any date of determination, the sum of (a) the aggregate undrawn amount of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outstanding reimbursement obligations with respect to Letters of Credit which remain unreimbursed or which have not been paid through a Revolving Loan.</w:t>
      </w:r>
    </w:p>
    <w:p>
      <w:pPr>
        <w:spacing w:after="0" w:line="188" w:lineRule="exact"/>
        <w:rPr>
          <w:sz w:val="20"/>
          <w:szCs w:val="20"/>
          <w:color w:val="auto"/>
        </w:rPr>
      </w:pPr>
    </w:p>
    <w:p>
      <w:pPr>
        <w:jc w:val="both"/>
        <w:ind w:firstLine="1498"/>
        <w:spacing w:after="0" w:line="32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any synthetic or other financing lease having substantially the same economic effect as any of the foregoing.</w:t>
      </w:r>
    </w:p>
    <w:p>
      <w:pPr>
        <w:spacing w:after="0" w:line="130"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Permitted Acquisition the consummation of which is, pursuant to the terms of the definitive acquisition documentation related thereto, subject to “funds certain” conditions or otherwise not conditioned on the availability of, or on obtaining, third party financing.</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Revolving Loan (including, without limitation any Extraordinary Advance) or Swing Loan hereunder.</w:t>
      </w:r>
    </w:p>
    <w:p>
      <w:pPr>
        <w:spacing w:after="0" w:line="23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Account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Control Agreements, the Copyright Security Agreement, any Borrowing Base Certificate, the Fee Letter, the Guaranty and Security Agreement, the Intercompany Subordination Agreement, each Vendor Intercreditor Agreement, any Issuer Documents, the Letters of Credit, the Patent Security Agreement, the Trademark Security Agreement, any note or notes executed by Borrowers in connection with this Agreement and payable to any member of the Lender Group, and any other instrument or agreement entered into, now or in the future, by any Loan Party or any of its Restricted Subsidiaries and any member of the Lender Group in connection with this Agreement (but specifically excluding Bank Product Agreements).</w:t>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means any Borrower or any Guarantor.</w:t>
      </w:r>
    </w:p>
    <w:p>
      <w:pPr>
        <w:spacing w:after="0" w:line="215"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M&amp;E</w:t>
      </w:r>
      <w:r>
        <w:rPr>
          <w:rFonts w:ascii="Arial" w:cs="Arial" w:eastAsia="Arial" w:hAnsi="Arial"/>
          <w:sz w:val="19"/>
          <w:szCs w:val="19"/>
          <w:color w:val="auto"/>
        </w:rPr>
        <w:t>” means all “equipment,” as such term is defined in the Code, now owned or hereafter acquired by any Loan Party, wherever located and, in any event, including all such Loan Party’s machinery and equipment, including processing equipment, conveyors, machine tools, data processing and computer equipment, including embedded software and peripheral equipment and all engineering, processing and manufacturing equipment, office machinery, furniture, materials handling equipment, tools, attachments, accessories, automotive equipment, trailers, trucks, forklifts, molds, dies, stamps, motor vehicles, rolling stock and other equipment of every kind and nature, trade fixtures and fixtures not forming a part of real property, together with all additions and accessions thereto, replacements therefor, all parts therefor, all substitutes for any of the foregoing, fuel therefor, and all manuals, drawings, instructions, warranties and rights with respect thereto and all products and proceeds thereof and condemnation awards and insurance proceeds with respect thereto. “M&amp;E” does not include any Equipment Inventory, Parts and Tools Inventory, and Fixtures.</w:t>
      </w:r>
    </w:p>
    <w:p>
      <w:pPr>
        <w:spacing w:after="0" w:line="181"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as defined in Regulation U of the Board of Governors as in effect from time to time.</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business, assets, operations or financial or other condition of Loan Parties and their Restricted Subsidiaries, considered as a whole, (b) the ability of the Loan Parties, considered as a whole, to pay any of the Loans or any of the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3" w:name="page154"/>
    <w:bookmarkEnd w:id="153"/>
    <w:p>
      <w:pPr>
        <w:jc w:val="both"/>
        <w:spacing w:after="0" w:line="260" w:lineRule="auto"/>
        <w:rPr>
          <w:sz w:val="20"/>
          <w:szCs w:val="20"/>
          <w:color w:val="auto"/>
        </w:rPr>
      </w:pPr>
      <w:r>
        <w:rPr>
          <w:rFonts w:ascii="Arial" w:cs="Arial" w:eastAsia="Arial" w:hAnsi="Arial"/>
          <w:sz w:val="20"/>
          <w:szCs w:val="20"/>
          <w:color w:val="auto"/>
        </w:rPr>
        <w:t>Obligations in accordance with the terms of this Agreement or the other Loan Documents, or (c) Agent’s or any Lender’s rights and remedies under the Agreement and the other Loan Documents.</w:t>
      </w:r>
    </w:p>
    <w:p>
      <w:pPr>
        <w:spacing w:after="0" w:line="176"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 each Borrower, and (b) each Restricted Subsidiary of Parent that (i) owns at least 2.50% of the consolidated total assets of Parent and its Restricted Subsidiaries, (ii) generates at least 2.50% of the consolidated revenues of Parent and its Restricted Subsidiaries, (iii) is the owner of Equity Interests of any Restricted Subsidiary that otherwise constitutes a Material Subsidiary, or (iv) any group comprising Restricted Subsidiaries that each would not have been a Material Subsidiary under clauses (i), (ii), or (iii) but that, taken together, had revenues or total assets in excess of 5% of the consolidated revenues or total assets, as applicable, of Parent and its Restricted Subsidiaries.</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February 2, 2028.</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Revolver Amount</w:t>
      </w:r>
      <w:r>
        <w:rPr>
          <w:rFonts w:ascii="Arial" w:cs="Arial" w:eastAsia="Arial" w:hAnsi="Arial"/>
          <w:sz w:val="20"/>
          <w:szCs w:val="20"/>
          <w:color w:val="auto"/>
        </w:rPr>
        <w:t xml:space="preserve">” means $750,000,000, decreased by the amount of reductions in the Revolver Commitments made in accordance with </w:t>
      </w:r>
      <w:r>
        <w:rPr>
          <w:rFonts w:ascii="Arial" w:cs="Arial" w:eastAsia="Arial" w:hAnsi="Arial"/>
          <w:sz w:val="20"/>
          <w:szCs w:val="20"/>
          <w:u w:val="single" w:color="auto"/>
          <w:color w:val="auto"/>
        </w:rPr>
        <w:t>Section 2.4(c)</w:t>
      </w:r>
      <w:r>
        <w:rPr>
          <w:rFonts w:ascii="Arial" w:cs="Arial" w:eastAsia="Arial" w:hAnsi="Arial"/>
          <w:sz w:val="20"/>
          <w:szCs w:val="20"/>
          <w:color w:val="auto"/>
        </w:rPr>
        <w:t xml:space="preserve"> of this Agreement and increased by the amount of any Increase made in accordance with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this 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has the meaning specified therefor in the definition of Cash Equivalents.</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multiemployer plan within the meaning of Section 3(37) or 4001(a)(3) of ERISA with respect to which any Loan Party or ERISA Affiliate has an obligation to contribute or has any liability, contingent or otherwise or could be assessed withdrawal liability assuming a complete withdrawal from any such multiemployer plan.</w:t>
      </w:r>
    </w:p>
    <w:p>
      <w:pPr>
        <w:spacing w:after="0" w:line="188" w:lineRule="exact"/>
        <w:rPr>
          <w:sz w:val="20"/>
          <w:szCs w:val="20"/>
          <w:color w:val="auto"/>
        </w:rPr>
      </w:pPr>
    </w:p>
    <w:p>
      <w:pPr>
        <w:jc w:val="both"/>
        <w:ind w:firstLine="15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Book Value</w:t>
      </w:r>
      <w:r>
        <w:rPr>
          <w:rFonts w:ascii="Arial" w:cs="Arial" w:eastAsia="Arial" w:hAnsi="Arial"/>
          <w:sz w:val="20"/>
          <w:szCs w:val="20"/>
          <w:color w:val="auto"/>
        </w:rPr>
        <w:t>” means book value as determined in accordance with GAAP, lower of cost and market, and after taking into account depreciation and excluding all “freight-in” costs and preparatory costs.</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means:</w:t>
      </w:r>
    </w:p>
    <w:p>
      <w:pPr>
        <w:spacing w:after="0" w:line="215" w:lineRule="exact"/>
        <w:rPr>
          <w:sz w:val="20"/>
          <w:szCs w:val="20"/>
          <w:color w:val="auto"/>
        </w:rPr>
      </w:pPr>
    </w:p>
    <w:p>
      <w:pPr>
        <w:jc w:val="both"/>
        <w:ind w:firstLine="1505"/>
        <w:spacing w:after="0" w:line="301" w:lineRule="auto"/>
        <w:tabs>
          <w:tab w:leader="none" w:pos="189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with respect to any sale or disposition by any Loan Party or any of its Restricted Subsidiaries of assets, the amount of cash proceeds received (directly or indirectly) from time to time (whether as initial consideration or through the payment of deferred consideration) by or on behalf of such Loan Party or such Restricted Subsidiary, in connection therewith after deducting therefrom only (i) the amount of any Indebtedness secured by any Permitted Lien on any asset (other than (a) Indebtedness owing to Agent or any Lender under this Agreement or the other Loan Documents and (b) Indebtedness assumed by the purchaser of such asset) which is required to be, and is, repaid in connection with such sale or disposition, (ii) reasonable fees, commissions, and expenses related thereto and required to be paid by such Loan Party or such Restricted Subsidiary in connection with such sale or disposition, (iii) taxes paid or payable to any taxing authorities by such Loan Party or such Restricted Subsidiary in connection with such sale or disposition, in each case to the extent, but only to the extent, that the amounts so deducted are, at the time of receipt of such cash, actually paid or payable to a Person that is not an Affiliate of any Loan Party or any of its Restricted Subsidiaries, and are properly attributable to such transaction, and (iv) all amounts that are set aside as a reserve</w:t>
      </w:r>
    </w:p>
    <w:p>
      <w:pPr>
        <w:jc w:val="both"/>
        <w:ind w:firstLine="8"/>
        <w:spacing w:after="0" w:line="272" w:lineRule="auto"/>
        <w:tabs>
          <w:tab w:leader="none" w:pos="28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for adjustments in respect of the purchase price of such assets, (b) for any liabilities associated with such sale or casualty, to the extent such reserve is required by GAAP, and (c) for the payment of unassumed liabilities relating to the assets sold or otherwise disposed of at the time of, or within 30 days after, the date of such sale or other disposition, to the extent that in each case the funds described above in this clause (iv) are (x) deposited into escrow with a third party escrow agent or set aside in a separate Deposit Account that is subject to a Control Agreement in favor of Agent, and (y) paid to Agent as a prepayment of the applicable Obligations in accordance with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of this Agreement at such time when such amounts are no longer required to be set aside as such a reserve;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4" w:name="page155"/>
    <w:bookmarkEnd w:id="154"/>
    <w:p>
      <w:pPr>
        <w:jc w:val="both"/>
        <w:ind w:firstLine="1505"/>
        <w:spacing w:after="0" w:line="304" w:lineRule="auto"/>
        <w:tabs>
          <w:tab w:leader="none" w:pos="189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with respect to the issuance or incurrence of any Indebtedness by any Loan Party or any of its Restricted Subsidiaries, or the issuance by any Loan Party or any of its Restricted Subsidiaries of any Equity Interests, the aggregate amount of cash received (directly or indirectly) from time to time (whether as initial consideration or through the payment or disposition of deferred consideration) by or on behalf of such Loan Party or such Restricted Subsidiary in connection with such issuance or incurrence, after deducting therefrom only</w:t>
      </w:r>
    </w:p>
    <w:p>
      <w:pPr>
        <w:jc w:val="both"/>
        <w:ind w:firstLine="8"/>
        <w:spacing w:after="0"/>
        <w:tabs>
          <w:tab w:leader="none" w:pos="24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reasonable fees, commissions, and expenses related thereto and required to be paid by such Loan Party or such Restricted Subsidiary in connection with such issuance or incurrence, and (ii) taxes paid or payable to any taxing authorities by such Loan Party or such Restricted Subsidiary in connection with such issuance or incurrence, in each case to the extent, but only to the extent, that the amounts so deducted are, at the time of receipt of such cash, actually paid or payable to a Person that is not an Affiliate of any Loan Party or any of its Restricted Subsidiaries, and are properly attributable to such transaction.</w:t>
      </w:r>
    </w:p>
    <w:p>
      <w:pPr>
        <w:spacing w:after="0" w:line="196"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NOLV</w:t>
      </w:r>
      <w:r>
        <w:rPr>
          <w:rFonts w:ascii="Arial" w:cs="Arial" w:eastAsia="Arial" w:hAnsi="Arial"/>
          <w:sz w:val="19"/>
          <w:szCs w:val="19"/>
          <w:color w:val="auto"/>
        </w:rPr>
        <w:t xml:space="preserve">” means, as of any date of determination, with respect to Eligible Equipment Inventory of any Person held for lease to third parties or being leased to third parties, the value of such Eligible Equipment Inventory that is estimated to be recoverable in an orderly liquidation of such Eligible Equipment Inventory, net of all associated costs and expenses of such liquidation, as determined based upon the most recent Acceptable Appraisal of Equipment Inventory;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Acceptable Appraisal does not provide the costs and expenses of such liquidation on an item by item basis, then costs and expenses of liquidation for each item of Eligible Equipment Inventory will be such amount as determined by Agent in its Permitted Discretion.</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14.2(a)</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each Lender other than a Defaulting Lender.</w:t>
      </w:r>
    </w:p>
    <w:p>
      <w:pPr>
        <w:spacing w:after="0" w:line="215"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Notification Event</w:t>
      </w:r>
      <w:r>
        <w:rPr>
          <w:rFonts w:ascii="Arial" w:cs="Arial" w:eastAsia="Arial" w:hAnsi="Arial"/>
          <w:sz w:val="18"/>
          <w:szCs w:val="18"/>
          <w:color w:val="auto"/>
        </w:rPr>
        <w:t>” means (a) the occurrence of a “reportable event” described in Section 4043 of ERISA for which the 30-day notice requirement has not been waived by applicable regulations issued by the PBGC, (b) the withdrawal of any Loan Party or ERISA Affiliate from a Pension Plan during a plan year in which it was a “substantial employer” as defined in Section 4001(a)(2) of ERISA,</w:t>
      </w:r>
    </w:p>
    <w:p>
      <w:pPr>
        <w:spacing w:after="0" w:line="3" w:lineRule="exact"/>
        <w:rPr>
          <w:sz w:val="20"/>
          <w:szCs w:val="20"/>
          <w:color w:val="auto"/>
        </w:rPr>
      </w:pPr>
    </w:p>
    <w:p>
      <w:pPr>
        <w:jc w:val="both"/>
        <w:ind w:firstLine="8"/>
        <w:spacing w:after="0" w:line="252" w:lineRule="auto"/>
        <w:tabs>
          <w:tab w:leader="none" w:pos="26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or any Pension Plan or Multiemployer Plan administrator, (e) any other event or condition that would constitute grounds under Section 4042(a) of ERISA for the termination of, or the appointment of a trustee to administer, any Pension Plan, (f) the imposition of a Lien pursuant to the IRC or ERISA in connection with any Employee Benefit Plan or the existence of any facts or circumstances that could reasonably be expected to result in the imposition of a Lien with respect to an Employee Benefit Plan, (g) the partial or complete withdrawal of any Loan Party or ERISA Affiliate from a Multiemployer Plan (other than any withdrawal that would not constitute an Event of Default under </w:t>
      </w:r>
      <w:r>
        <w:rPr>
          <w:rFonts w:ascii="Arial" w:cs="Arial" w:eastAsia="Arial" w:hAnsi="Arial"/>
          <w:sz w:val="19"/>
          <w:szCs w:val="19"/>
          <w:u w:val="single" w:color="auto"/>
          <w:color w:val="auto"/>
        </w:rPr>
        <w:t>Section 8.12</w:t>
      </w:r>
      <w:r>
        <w:rPr>
          <w:rFonts w:ascii="Arial" w:cs="Arial" w:eastAsia="Arial" w:hAnsi="Arial"/>
          <w:sz w:val="19"/>
          <w:szCs w:val="19"/>
          <w:color w:val="auto"/>
        </w:rPr>
        <w:t>), (h) any event or condition that results in the insolvency of a Multiemployer Plan under Section 4245 of ERISA, (i) any event or condition that results in the termination of a Multiemployer Plan under Section 4041A of ERISA or the institution by the PBGC of proceedings to terminate or to appoint a trustee to administer a Multiemployer Plan under ERISA, (j) any Pension Plan being in “at risk status” within the meaning of IRC Section 430(i), (k) any Multiemployer Plan being in “endangered status” or “critical status” within the meaning of IRC Section 432(b) or the determination that any Multiemployer Plan is or is expected to be insolvent or in reorganization within the meaning of Title IV of ERISA, (l) with respect to any Pension Plan, any Loan Party or ERISA Affiliate incurring a substantial cessation of operations within the meaning of ERISA Section 4062(e), (m) an “accumulated funding deficiency” within the meaning of the IRC or ERISA (including Section 412 of the IRC or Section 302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5" w:name="page156"/>
    <w:bookmarkEnd w:id="155"/>
    <w:p>
      <w:pPr>
        <w:jc w:val="both"/>
        <w:spacing w:after="0" w:line="272" w:lineRule="auto"/>
        <w:rPr>
          <w:sz w:val="20"/>
          <w:szCs w:val="20"/>
          <w:color w:val="auto"/>
        </w:rPr>
      </w:pPr>
      <w:r>
        <w:rPr>
          <w:rFonts w:ascii="Arial" w:cs="Arial" w:eastAsia="Arial" w:hAnsi="Arial"/>
          <w:sz w:val="18"/>
          <w:szCs w:val="18"/>
          <w:color w:val="auto"/>
        </w:rPr>
        <w:t>ERISA) with respect to any Pension Plan or Multiemployer Plan or the failure of any Pension Plan or Multiemployer Plan to meet the minimum funding standards within the meaning of the IRC or ERISA (including Section 412 of the IRC or Section 302 of ERISA), in each case, whether or not waived, (n) the filing of an application for a waiver of the minimum funding standards within the meaning of the IRC or ERISA (including Section 412 of the IRC or Section 302 of ERISA) with respect to any Pension Plan or Multiemployer Plan, (o) the failure to make by its due date a required payment or contribution with respect to any Pension Plan or Multiemployer Plan, or (p) any event that results in or could reasonably be expected to result in a liability by a Loan Party pursuant to Title I of ERISA or the excise tax provisions of the IRC relating to Employee Benefit Plans for violating Title I of ERISA or any event that results in or could reasonably be expected to result in a liability to any Loan Party or ERISA Affiliate pursuant to Title IV of ERISA or Section 401(a)(29) of the IRC.</w:t>
      </w:r>
    </w:p>
    <w:p>
      <w:pPr>
        <w:spacing w:after="0" w:line="173"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 all loans (including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Loan Party is required to pay or reimburse by the Loan Documents or by law or otherwise in connection with the Loan Documents, and (b) all Bank Product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to the contrary contained in the foregoing notwithstanding, the Obligations of any Loan Party shall exclude its Excluded Swap Obligations. Without limiting the generality of the foregoing, the Obligations of Borrowers under the Loan Documents include the obligation to pay (i) the principal of the Revolving Loans, (ii) interest accrued on the Revolving Loans, (iii) the amount necessary to reimburse Issuing Bank for amounts paid or payable pursuant to Letters of Credit, (iv) Letter of Credit commissions, fees (including fronting fees) and charges, (v) Lender Group Expenses, (vi) fees payable under this Agreement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the Treasury.</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 Balance Sheet Equipment Inventory</w:t>
      </w:r>
      <w:r>
        <w:rPr>
          <w:rFonts w:ascii="Arial" w:cs="Arial" w:eastAsia="Arial" w:hAnsi="Arial"/>
          <w:sz w:val="20"/>
          <w:szCs w:val="20"/>
          <w:color w:val="auto"/>
        </w:rPr>
        <w:t>” means Equipment Inventory that is being leased by any Loan Party or any Restricted Subsidiary as lessee under an operating lease or “true” lease, and held for sublease by such Loan Party or Restricted Subsidiary to third parties (on an operating lease or “true” lease basis) in the ordinary course of business.</w:t>
      </w:r>
    </w:p>
    <w:p>
      <w:pPr>
        <w:spacing w:after="0" w:line="188"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Account</w:t>
      </w:r>
      <w:r>
        <w:rPr>
          <w:rFonts w:ascii="Arial" w:cs="Arial" w:eastAsia="Arial" w:hAnsi="Arial"/>
          <w:sz w:val="20"/>
          <w:szCs w:val="20"/>
          <w:color w:val="auto"/>
        </w:rPr>
        <w:t>” means, in connection with the terms of purchase by a Loan Party or any Restricted Subsidiary of Equipment Inventory from a dealer, that such purchase is made on credit terms, on an unsecured basis, with payment by such Loan Party or Restricted Subsidiary expected to be made within 12 months of the date of purchase. The deferral of the purchase price of Equipment Inventory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6" w:name="page157"/>
    <w:bookmarkEnd w:id="156"/>
    <w:p>
      <w:pPr>
        <w:jc w:val="both"/>
        <w:spacing w:after="0" w:line="260" w:lineRule="auto"/>
        <w:rPr>
          <w:sz w:val="20"/>
          <w:szCs w:val="20"/>
          <w:color w:val="auto"/>
        </w:rPr>
      </w:pPr>
      <w:r>
        <w:rPr>
          <w:rFonts w:ascii="Arial" w:cs="Arial" w:eastAsia="Arial" w:hAnsi="Arial"/>
          <w:sz w:val="20"/>
          <w:szCs w:val="20"/>
          <w:color w:val="auto"/>
        </w:rPr>
        <w:t>purchased on Open Account does not constitute Indebtedness unless and until such deferral extends 12 months or more after the date of purchase of such Equipment Inventory.</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Originating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has the meaning specified therefor in the definition of Excluded Taxes.</w:t>
      </w:r>
    </w:p>
    <w:p>
      <w:pPr>
        <w:spacing w:after="0" w:line="215" w:lineRule="exact"/>
        <w:rPr>
          <w:sz w:val="20"/>
          <w:szCs w:val="20"/>
          <w:color w:val="auto"/>
        </w:rPr>
      </w:pPr>
    </w:p>
    <w:p>
      <w:pPr>
        <w:jc w:val="both"/>
        <w:ind w:right="20"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160"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Overadvance</w:t>
      </w:r>
      <w:r>
        <w:rPr>
          <w:rFonts w:ascii="Arial" w:cs="Arial" w:eastAsia="Arial" w:hAnsi="Arial"/>
          <w:sz w:val="20"/>
          <w:szCs w:val="20"/>
          <w:color w:val="auto"/>
        </w:rPr>
        <w:t xml:space="preserve">” means, as of any date of determination, that the Revolver Usage is greater than any of the limitations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this Agreement.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therefor in the preamble to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Parts and Tools Inventory</w:t>
      </w:r>
      <w:r>
        <w:rPr>
          <w:rFonts w:ascii="Arial" w:cs="Arial" w:eastAsia="Arial" w:hAnsi="Arial"/>
          <w:sz w:val="20"/>
          <w:szCs w:val="20"/>
          <w:color w:val="auto"/>
        </w:rPr>
        <w:t>” means Inventory of any Loan Party consisting of parts, tools, and supplies.</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Security Agreement</w:t>
      </w:r>
      <w:r>
        <w:rPr>
          <w:rFonts w:ascii="Arial" w:cs="Arial" w:eastAsia="Arial" w:hAnsi="Arial"/>
          <w:sz w:val="20"/>
          <w:szCs w:val="20"/>
          <w:color w:val="auto"/>
        </w:rPr>
        <w:t>” has the meaning specified therefor in the Guaranty and Security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Conditions</w:t>
      </w:r>
      <w:r>
        <w:rPr>
          <w:rFonts w:ascii="Arial" w:cs="Arial" w:eastAsia="Arial" w:hAnsi="Arial"/>
          <w:sz w:val="20"/>
          <w:szCs w:val="20"/>
          <w:color w:val="auto"/>
        </w:rPr>
        <w:t>” means, at the time of determination with respect to any Specified Transaction:</w:t>
      </w:r>
    </w:p>
    <w:p>
      <w:pPr>
        <w:spacing w:after="0" w:line="215"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no Default or Event of Default then exists or would arise as a result of the consummation of such Specified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Transaction,</w:t>
      </w:r>
    </w:p>
    <w:p>
      <w:pPr>
        <w:spacing w:after="0" w:line="199" w:lineRule="exact"/>
        <w:rPr>
          <w:sz w:val="20"/>
          <w:szCs w:val="20"/>
          <w:color w:val="auto"/>
        </w:rPr>
      </w:pPr>
    </w:p>
    <w:p>
      <w:pPr>
        <w:ind w:left="1900" w:hanging="395"/>
        <w:spacing w:after="0"/>
        <w:tabs>
          <w:tab w:leader="none" w:pos="190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either:</w:t>
      </w:r>
    </w:p>
    <w:p>
      <w:pPr>
        <w:spacing w:after="0" w:line="214" w:lineRule="exact"/>
        <w:rPr>
          <w:rFonts w:ascii="Arial" w:cs="Arial" w:eastAsia="Arial" w:hAnsi="Arial"/>
          <w:sz w:val="20"/>
          <w:szCs w:val="20"/>
          <w:color w:val="auto"/>
        </w:rPr>
      </w:pPr>
    </w:p>
    <w:p>
      <w:pPr>
        <w:jc w:val="both"/>
        <w:ind w:firstLine="2254"/>
        <w:spacing w:after="0" w:line="309" w:lineRule="auto"/>
        <w:tabs>
          <w:tab w:leader="none" w:pos="2642"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Excess Availability (A) at all times during the 30 consecutive days immediately preceding the date of such Specified Transaction, calculated on a pro forma basis as if such Specified Transaction was consummated on the first day of such period, and</w:t>
      </w:r>
    </w:p>
    <w:p>
      <w:pPr>
        <w:ind w:right="20" w:firstLine="8"/>
        <w:spacing w:after="0" w:line="243" w:lineRule="auto"/>
        <w:tabs>
          <w:tab w:leader="none" w:pos="32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immediately after giving effect to the consummation of such Specified Transaction, in each case, is not less than 20% of the Maximum Revolver Amount, or</w:t>
      </w:r>
    </w:p>
    <w:p>
      <w:pPr>
        <w:spacing w:after="0" w:line="192" w:lineRule="exact"/>
        <w:rPr>
          <w:rFonts w:ascii="Arial" w:cs="Arial" w:eastAsia="Arial" w:hAnsi="Arial"/>
          <w:sz w:val="20"/>
          <w:szCs w:val="20"/>
          <w:color w:val="auto"/>
        </w:rPr>
      </w:pPr>
    </w:p>
    <w:p>
      <w:pPr>
        <w:jc w:val="both"/>
        <w:ind w:firstLine="2254"/>
        <w:spacing w:after="0" w:line="249" w:lineRule="auto"/>
        <w:tabs>
          <w:tab w:leader="none" w:pos="2642" w:val="left"/>
        </w:tabs>
        <w:numPr>
          <w:ilvl w:val="2"/>
          <w:numId w:val="124"/>
        </w:numPr>
        <w:rPr>
          <w:rFonts w:ascii="Arial" w:cs="Arial" w:eastAsia="Arial" w:hAnsi="Arial"/>
          <w:sz w:val="20"/>
          <w:szCs w:val="20"/>
          <w:color w:val="auto"/>
        </w:rPr>
      </w:pPr>
      <w:r>
        <w:rPr>
          <w:rFonts w:ascii="Arial" w:cs="Arial" w:eastAsia="Arial" w:hAnsi="Arial"/>
          <w:sz w:val="20"/>
          <w:szCs w:val="20"/>
          <w:color w:val="auto"/>
        </w:rPr>
        <w:t>both (A) the Fixed Charge Coverage Ratio of the Parent and its Restricted Subsidiaries is equal to or greater than 1.00 to 1.00 as of the last day of the trailing 12 month period most recently ended for which financial statements are required to have been delivered to Agent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7" w:name="page158"/>
    <w:bookmarkEnd w:id="157"/>
    <w:p>
      <w:pPr>
        <w:jc w:val="both"/>
        <w:spacing w:after="0" w:line="244" w:lineRule="auto"/>
        <w:rPr>
          <w:sz w:val="20"/>
          <w:szCs w:val="20"/>
          <w:color w:val="auto"/>
        </w:rPr>
      </w:pPr>
      <w:r>
        <w:rPr>
          <w:rFonts w:ascii="Arial" w:cs="Arial" w:eastAsia="Arial" w:hAnsi="Arial"/>
          <w:sz w:val="20"/>
          <w:szCs w:val="20"/>
          <w:u w:val="single" w:color="auto"/>
          <w:color w:val="auto"/>
        </w:rPr>
        <w:t>Schedule 5.1</w:t>
      </w:r>
      <w:r>
        <w:rPr>
          <w:rFonts w:ascii="Arial" w:cs="Arial" w:eastAsia="Arial" w:hAnsi="Arial"/>
          <w:sz w:val="20"/>
          <w:szCs w:val="20"/>
          <w:color w:val="auto"/>
        </w:rPr>
        <w:t xml:space="preserve"> to this Agreement (calculated on a pro forma basis giving effect to such Specified Transaction as if such Specified Transaction had been consummated on the last day of such 12 month period) and (B) Excess Availability (1) at all times during the 30 consecutive days immediately preceding the date of such Specified Transaction, calculated on a pro forma basis as if such Specified Transaction was consummated on the first day of such period, and (2) immediately after giving effect to the consummation of such Specified Transaction, in each case, is not less than 15% of the Maximum Revolver Amount, and</w:t>
      </w:r>
    </w:p>
    <w:p>
      <w:pPr>
        <w:spacing w:after="0" w:line="193" w:lineRule="exact"/>
        <w:rPr>
          <w:sz w:val="20"/>
          <w:szCs w:val="20"/>
          <w:color w:val="auto"/>
        </w:rPr>
      </w:pPr>
    </w:p>
    <w:p>
      <w:pPr>
        <w:ind w:left="1900" w:hanging="395"/>
        <w:spacing w:after="0"/>
        <w:tabs>
          <w:tab w:leader="none" w:pos="1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Administrative Borrower has delivered a certificate to Agent certifying that all conditions described in clauses (a) and</w:t>
      </w:r>
    </w:p>
    <w:p>
      <w:pPr>
        <w:spacing w:after="0" w:line="38" w:lineRule="exact"/>
        <w:rPr>
          <w:rFonts w:ascii="Arial" w:cs="Arial" w:eastAsia="Arial" w:hAnsi="Arial"/>
          <w:sz w:val="18"/>
          <w:szCs w:val="18"/>
          <w:color w:val="auto"/>
        </w:rPr>
      </w:pPr>
    </w:p>
    <w:p>
      <w:pPr>
        <w:ind w:left="280" w:hanging="272"/>
        <w:spacing w:after="0"/>
        <w:tabs>
          <w:tab w:leader="none" w:pos="2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above have been satisfied.</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17.18</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the provisions of Title IV or Section 302 of ERISA or Sections 412 or 430 of the Code sponsored, maintained, or contributed to by any Loan Party or ERISA Affiliate or to which any Loan Party or ERISA Affiliate has any liability, contingent or otherwise.</w:t>
      </w:r>
    </w:p>
    <w:p>
      <w:pPr>
        <w:spacing w:after="0" w:line="18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means a certificate in the form of </w:t>
      </w:r>
      <w:r>
        <w:rPr>
          <w:rFonts w:ascii="Arial" w:cs="Arial" w:eastAsia="Arial" w:hAnsi="Arial"/>
          <w:sz w:val="20"/>
          <w:szCs w:val="20"/>
          <w:u w:val="single" w:color="auto"/>
          <w:color w:val="auto"/>
        </w:rPr>
        <w:t>Exhibit P-1</w:t>
      </w:r>
      <w:r>
        <w:rPr>
          <w:rFonts w:ascii="Arial" w:cs="Arial" w:eastAsia="Arial" w:hAnsi="Arial"/>
          <w:sz w:val="20"/>
          <w:szCs w:val="20"/>
          <w:color w:val="auto"/>
        </w:rPr>
        <w:t xml:space="preserve"> to this Agreement or such other form acceptable to Agent in its Permitted Discretion.</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so long as:</w:t>
      </w:r>
    </w:p>
    <w:p>
      <w:pPr>
        <w:spacing w:after="0" w:line="215" w:lineRule="exact"/>
        <w:rPr>
          <w:sz w:val="20"/>
          <w:szCs w:val="20"/>
          <w:color w:val="auto"/>
        </w:rPr>
      </w:pPr>
    </w:p>
    <w:p>
      <w:pPr>
        <w:jc w:val="both"/>
        <w:ind w:firstLine="1505"/>
        <w:spacing w:after="0" w:line="249" w:lineRule="auto"/>
        <w:tabs>
          <w:tab w:leader="none" w:pos="189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with respect to Limited Condition Acquisitions, no Default or Event of Default shall have occurred and be continuing or would result from the consummation of the proposed Acquisition and, except for Immaterial Permitted Acquisitions, the proposed Acquisition is consensual,</w:t>
      </w:r>
    </w:p>
    <w:p>
      <w:pPr>
        <w:spacing w:after="0" w:line="187"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 Indebtedness will be incurred, assumed, or would exist with respect to any Loan Party or its Restricted Subsidiaries as a result of such Acquisition, other than Indebtedness hereunder and Indebtedness permitted under clauses (f) or (g) (or any guaranty of such Indebtedness by any Person acquired in such Acquisition) of the definition of “Permitted Indebtedness” and no Liens will be incurred, assumed, or would exist with respect to the assets of any Loan Party or its Restricted Subsidiaries as a result of such Acquisition other than Permitted Liens,</w:t>
      </w:r>
    </w:p>
    <w:p>
      <w:pPr>
        <w:spacing w:after="0" w:line="192" w:lineRule="exact"/>
        <w:rPr>
          <w:rFonts w:ascii="Arial" w:cs="Arial" w:eastAsia="Arial" w:hAnsi="Arial"/>
          <w:sz w:val="20"/>
          <w:szCs w:val="20"/>
          <w:color w:val="auto"/>
        </w:rPr>
      </w:pPr>
    </w:p>
    <w:p>
      <w:pPr>
        <w:jc w:val="both"/>
        <w:ind w:firstLine="1505"/>
        <w:spacing w:after="0" w:line="271" w:lineRule="auto"/>
        <w:tabs>
          <w:tab w:leader="none" w:pos="189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Parent has provided Agent with written confirmation, supported by reasonably detailed calculations, that on a pro forma basis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arising out of events which are directly attributable to such proposed Acquisition, are factually supportable, and are expected to have a continuing impact, in each case, determined as if the combination had been accomplished at the beginning of the relevant period; such eliminations and inclusions to be mutually and reasonably agreed upon by Parent and Agent) created by adding the historical combined financial statements of Parent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the Loan Parties and their Restricted Subsidiaries would have been in compliance with the financial covenant(s)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for the fiscal month ended immediately before the proposed date of consummation of such proposed Acquisition, regardless of whether such financial covenant(s) are required to be tested for such fiscal month,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8" w:name="page159"/>
    <w:bookmarkEnd w:id="158"/>
    <w:p>
      <w:pPr>
        <w:jc w:val="both"/>
        <w:ind w:firstLine="1505"/>
        <w:spacing w:after="0" w:line="244" w:lineRule="auto"/>
        <w:tabs>
          <w:tab w:leader="none" w:pos="189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Parent has provided Agent with its due diligence package relative to the proposed Acquisition (other than any Immaterial Permitted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month-by-month basis,</w:t>
      </w:r>
    </w:p>
    <w:p>
      <w:pPr>
        <w:spacing w:after="0" w:line="192" w:lineRule="exact"/>
        <w:rPr>
          <w:rFonts w:ascii="Arial" w:cs="Arial" w:eastAsia="Arial" w:hAnsi="Arial"/>
          <w:sz w:val="20"/>
          <w:szCs w:val="20"/>
          <w:color w:val="auto"/>
        </w:rPr>
      </w:pPr>
    </w:p>
    <w:p>
      <w:pPr>
        <w:ind w:left="1900" w:hanging="395"/>
        <w:spacing w:after="0"/>
        <w:tabs>
          <w:tab w:leader="none" w:pos="19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except with respect to an Immaterial Permitted Acquisition, the assets being acquired or the Person whose Equity Interests are being acquired did not have negative EBITDA for the 12 consecutive month period most recently ended before the date of the proposed Acquisition,</w:t>
      </w:r>
    </w:p>
    <w:p>
      <w:pPr>
        <w:spacing w:after="0" w:line="187" w:lineRule="exact"/>
        <w:rPr>
          <w:rFonts w:ascii="Arial" w:cs="Arial" w:eastAsia="Arial" w:hAnsi="Arial"/>
          <w:sz w:val="20"/>
          <w:szCs w:val="20"/>
          <w:color w:val="auto"/>
        </w:rPr>
      </w:pPr>
    </w:p>
    <w:p>
      <w:pPr>
        <w:jc w:val="both"/>
        <w:ind w:firstLine="1505"/>
        <w:spacing w:after="0" w:line="243" w:lineRule="auto"/>
        <w:tabs>
          <w:tab w:leader="none" w:pos="189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with respect to (i) any Acquisition other than an Immaterial Permitted Acquisition, Parent has provided Agent with written notice of the proposed Acquisition at least 15 days before the anticipated closing date of the proposed Acquisition and, not later than five days before the anticipated closing date of the proposed Acquisition, copies of the acquisition agreement and other material documents relative to the proposed Acquisition, and (ii) any Immaterial Permitted Acquisition, Parent shall have provided Agent, promptly after consummation of such Acquisition, written notice of such Acquisition and copies of the acquisition agreement and other material documents relative to such Acquisition,</w:t>
      </w:r>
    </w:p>
    <w:p>
      <w:pPr>
        <w:spacing w:after="0" w:line="194" w:lineRule="exact"/>
        <w:rPr>
          <w:rFonts w:ascii="Arial" w:cs="Arial" w:eastAsia="Arial" w:hAnsi="Arial"/>
          <w:sz w:val="20"/>
          <w:szCs w:val="20"/>
          <w:color w:val="auto"/>
        </w:rPr>
      </w:pPr>
    </w:p>
    <w:p>
      <w:pPr>
        <w:jc w:val="both"/>
        <w:ind w:firstLine="1505"/>
        <w:spacing w:after="0" w:line="269" w:lineRule="auto"/>
        <w:tabs>
          <w:tab w:leader="none" w:pos="189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assets being acquired (other than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 of assets in relation to Parent’s and its Restricted Subsidiaries’ total assets), or the Person whose Equity Interests are being acquired, are useful in or engaged in, as applicable, the business of the Parent and its Restricted Subsidiaries or a business reasonably related thereto or a reasonable extension thereof,</w:t>
      </w:r>
    </w:p>
    <w:p>
      <w:pPr>
        <w:spacing w:after="0" w:line="168" w:lineRule="exact"/>
        <w:rPr>
          <w:rFonts w:ascii="Arial" w:cs="Arial" w:eastAsia="Arial" w:hAnsi="Arial"/>
          <w:sz w:val="19"/>
          <w:szCs w:val="19"/>
          <w:color w:val="auto"/>
        </w:rPr>
      </w:pPr>
    </w:p>
    <w:p>
      <w:pPr>
        <w:jc w:val="both"/>
        <w:ind w:firstLine="1505"/>
        <w:spacing w:after="0" w:line="249" w:lineRule="auto"/>
        <w:tabs>
          <w:tab w:leader="none" w:pos="189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the assets being acquired (other than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amount of assets in relation to the assets being acquired) are located within one of the United States, the District of Columbia, or Puerto Rico or the Person whose Equity Interests are being acquired is organized one of the United States,</w:t>
      </w:r>
    </w:p>
    <w:p>
      <w:pPr>
        <w:spacing w:after="0" w:line="187"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the subject assets or Equity Interests, as applicable, are being acquired directly by a Borrower or one of its Restricted Subsidiaries that is a Loan Party, and, in connection therewith, the applicable Loan Party shall have complied with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5.12</w:t>
      </w:r>
      <w:r>
        <w:rPr>
          <w:rFonts w:ascii="Arial" w:cs="Arial" w:eastAsia="Arial" w:hAnsi="Arial"/>
          <w:sz w:val="20"/>
          <w:szCs w:val="20"/>
          <w:color w:val="auto"/>
        </w:rPr>
        <w:t xml:space="preserve"> of this Agreement, as applicable, and</w:t>
      </w:r>
    </w:p>
    <w:p>
      <w:pPr>
        <w:spacing w:after="0" w:line="187" w:lineRule="exact"/>
        <w:rPr>
          <w:rFonts w:ascii="Arial" w:cs="Arial" w:eastAsia="Arial" w:hAnsi="Arial"/>
          <w:sz w:val="20"/>
          <w:szCs w:val="20"/>
          <w:color w:val="auto"/>
        </w:rPr>
      </w:pPr>
    </w:p>
    <w:p>
      <w:pPr>
        <w:ind w:right="40" w:firstLine="1505"/>
        <w:spacing w:after="0" w:line="315" w:lineRule="auto"/>
        <w:tabs>
          <w:tab w:leader="none" w:pos="189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Section 1.7 with respect to Limited Condition Acquisitions, the Payment Conditions are satisfied with respect to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(k) shall not apply with respect to any Immaterial Permitted Acquisition).</w:t>
      </w:r>
    </w:p>
    <w:p>
      <w:pPr>
        <w:spacing w:after="0" w:line="131" w:lineRule="exact"/>
        <w:rPr>
          <w:sz w:val="20"/>
          <w:szCs w:val="20"/>
          <w:color w:val="auto"/>
        </w:rPr>
      </w:pPr>
    </w:p>
    <w:p>
      <w:pPr>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Discretion</w:t>
      </w:r>
      <w:r>
        <w:rPr>
          <w:rFonts w:ascii="Arial" w:cs="Arial" w:eastAsia="Arial" w:hAnsi="Arial"/>
          <w:sz w:val="20"/>
          <w:szCs w:val="20"/>
          <w:color w:val="auto"/>
        </w:rPr>
        <w:t>” means a determination made in the exercise of reasonable (from the perspective of a secured asset-based lender) business judgment.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Dispositions</w:t>
      </w:r>
      <w:r>
        <w:rPr>
          <w:rFonts w:ascii="Arial" w:cs="Arial" w:eastAsia="Arial" w:hAnsi="Arial"/>
          <w:sz w:val="20"/>
          <w:szCs w:val="20"/>
          <w:color w:val="auto"/>
        </w:rPr>
        <w:t>” means:</w:t>
      </w:r>
    </w:p>
    <w:p>
      <w:pPr>
        <w:spacing w:after="0" w:line="215" w:lineRule="exact"/>
        <w:rPr>
          <w:sz w:val="20"/>
          <w:szCs w:val="20"/>
          <w:color w:val="auto"/>
        </w:rPr>
      </w:pPr>
    </w:p>
    <w:p>
      <w:pPr>
        <w:jc w:val="both"/>
        <w:ind w:firstLine="1505"/>
        <w:spacing w:after="0" w:line="249" w:lineRule="auto"/>
        <w:tabs>
          <w:tab w:leader="none" w:pos="189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sales, abandonment, or other dispositions of Equipment that is substantially worn, damaged, or obsolete or no longer used or useful in the ordinary course of business (other than Eligible Rolling Stock) and leases or subleases of Real Property not useful in the conduct of the business of the Parent and its Restricted Subsidiaries,</w:t>
      </w:r>
    </w:p>
    <w:p>
      <w:pPr>
        <w:spacing w:after="0" w:line="187" w:lineRule="exact"/>
        <w:rPr>
          <w:rFonts w:ascii="Arial" w:cs="Arial" w:eastAsia="Arial" w:hAnsi="Arial"/>
          <w:sz w:val="20"/>
          <w:szCs w:val="20"/>
          <w:color w:val="auto"/>
        </w:rPr>
      </w:pPr>
    </w:p>
    <w:p>
      <w:pPr>
        <w:ind w:left="1900" w:hanging="395"/>
        <w:spacing w:after="0"/>
        <w:tabs>
          <w:tab w:leader="none" w:pos="19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sales or leases of Inventory to buyers and lessees in the ordinary course of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9" w:name="page160"/>
    <w:bookmarkEnd w:id="159"/>
    <w:p>
      <w:pPr>
        <w:ind w:firstLine="1505"/>
        <w:spacing w:after="0" w:line="260" w:lineRule="auto"/>
        <w:tabs>
          <w:tab w:leader="none" w:pos="189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use or transfer of money or Cash Equivalents in a manner that is not prohibited by the terms of this Agreement or the other Loan Documents,</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licensing, on a non-exclusive basis, of patents, trademarks, copyrights, and other intellectual property rights in the ordinary course of business,</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granting of Permitted Liens,</w:t>
      </w:r>
    </w:p>
    <w:p>
      <w:pPr>
        <w:spacing w:after="0" w:line="214" w:lineRule="exact"/>
        <w:rPr>
          <w:rFonts w:ascii="Arial" w:cs="Arial" w:eastAsia="Arial" w:hAnsi="Arial"/>
          <w:sz w:val="20"/>
          <w:szCs w:val="20"/>
          <w:color w:val="auto"/>
        </w:rPr>
      </w:pPr>
    </w:p>
    <w:p>
      <w:pPr>
        <w:ind w:right="20" w:firstLine="1505"/>
        <w:spacing w:after="0" w:line="260" w:lineRule="auto"/>
        <w:tabs>
          <w:tab w:leader="none" w:pos="189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sale or discount, in each case without recourse, of Accounts (other than Eligible Accounts) arising in the ordinary course of business, but only in connection with the compromise or collection thereof,</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any involuntary loss, damage or destruction of property,</w:t>
      </w:r>
    </w:p>
    <w:p>
      <w:pPr>
        <w:spacing w:after="0" w:line="214" w:lineRule="exact"/>
        <w:rPr>
          <w:rFonts w:ascii="Arial" w:cs="Arial" w:eastAsia="Arial" w:hAnsi="Arial"/>
          <w:sz w:val="20"/>
          <w:szCs w:val="20"/>
          <w:color w:val="auto"/>
        </w:rPr>
      </w:pPr>
    </w:p>
    <w:p>
      <w:pPr>
        <w:ind w:right="40" w:firstLine="1505"/>
        <w:spacing w:after="0" w:line="260" w:lineRule="auto"/>
        <w:tabs>
          <w:tab w:leader="none" w:pos="189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any involuntary condemnation, seizure or taking, by exercise of the power of eminent domain or otherwise, or confiscation or requisition of use of property,</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leasing or subleasing of assets by any Loan Party or its Restricted Subsidiaries to lessees in the ordinary course of business (other than Inventory and Rolling Stock),</w:t>
      </w:r>
    </w:p>
    <w:p>
      <w:pPr>
        <w:spacing w:after="0" w:line="175" w:lineRule="exact"/>
        <w:rPr>
          <w:rFonts w:ascii="Arial" w:cs="Arial" w:eastAsia="Arial" w:hAnsi="Arial"/>
          <w:sz w:val="20"/>
          <w:szCs w:val="20"/>
          <w:color w:val="auto"/>
        </w:rPr>
      </w:pPr>
    </w:p>
    <w:p>
      <w:pPr>
        <w:ind w:right="20" w:firstLine="1505"/>
        <w:spacing w:after="0" w:line="315" w:lineRule="auto"/>
        <w:tabs>
          <w:tab w:leader="none" w:pos="189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sale or issuance of Equity Interests (other than Disqualified Equity Interests) of (i) Parent, (ii) any Loan Party to any other Loan Party, or (iii) any Restricted Subsidiary that is not a Loan Party to any other Restricted Subsidiary or to Parent,</w:t>
      </w:r>
    </w:p>
    <w:p>
      <w:pPr>
        <w:spacing w:after="0" w:line="130" w:lineRule="exact"/>
        <w:rPr>
          <w:rFonts w:ascii="Arial" w:cs="Arial" w:eastAsia="Arial" w:hAnsi="Arial"/>
          <w:sz w:val="18"/>
          <w:szCs w:val="18"/>
          <w:color w:val="auto"/>
        </w:rPr>
      </w:pPr>
    </w:p>
    <w:p>
      <w:pPr>
        <w:jc w:val="both"/>
        <w:ind w:firstLine="1505"/>
        <w:spacing w:after="0" w:line="244" w:lineRule="auto"/>
        <w:tabs>
          <w:tab w:leader="none" w:pos="189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(i) the lapse of registered patents, trademarks, copyrights and other intellectual property of any Loan Party or any of its Restricted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 Group,</w:t>
      </w:r>
    </w:p>
    <w:p>
      <w:pPr>
        <w:spacing w:after="0" w:line="192" w:lineRule="exact"/>
        <w:rPr>
          <w:rFonts w:ascii="Arial" w:cs="Arial" w:eastAsia="Arial" w:hAnsi="Arial"/>
          <w:sz w:val="20"/>
          <w:szCs w:val="20"/>
          <w:color w:val="auto"/>
        </w:rPr>
      </w:pPr>
    </w:p>
    <w:p>
      <w:pPr>
        <w:ind w:left="1900" w:hanging="395"/>
        <w:spacing w:after="0"/>
        <w:tabs>
          <w:tab w:leader="none" w:pos="19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making of Restricted Payments that are expressly permitted to be made pursuant to this Agreement,</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making of Permitted Investments,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transfers of assets (i) from any Loan Party to another Loan Party, (ii) from any Restricted Subsidiary to a Loan Party,</w:t>
      </w:r>
    </w:p>
    <w:p>
      <w:pPr>
        <w:spacing w:after="0" w:line="38" w:lineRule="exact"/>
        <w:rPr>
          <w:rFonts w:ascii="Arial" w:cs="Arial" w:eastAsia="Arial" w:hAnsi="Arial"/>
          <w:sz w:val="18"/>
          <w:szCs w:val="18"/>
          <w:color w:val="auto"/>
        </w:rPr>
      </w:pPr>
    </w:p>
    <w:p>
      <w:pPr>
        <w:ind w:firstLine="8"/>
        <w:spacing w:after="0" w:line="297" w:lineRule="auto"/>
        <w:tabs>
          <w:tab w:leader="none" w:pos="3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from any Excluded Subsidiary which is a Domestic Subsidiary to any other Domestic Subsidiary (other than an Unrestricted Subsidiary) or to Parent, and (iv) from any Excluded Subsidiary which is a Foreign Subsidiary to any other Restricted Subsidiary or to Parent,</w:t>
      </w:r>
    </w:p>
    <w:p>
      <w:pPr>
        <w:spacing w:after="0" w:line="145" w:lineRule="exact"/>
        <w:rPr>
          <w:rFonts w:ascii="Arial" w:cs="Arial" w:eastAsia="Arial" w:hAnsi="Arial"/>
          <w:sz w:val="18"/>
          <w:szCs w:val="18"/>
          <w:color w:val="auto"/>
        </w:rPr>
      </w:pPr>
    </w:p>
    <w:p>
      <w:pPr>
        <w:jc w:val="both"/>
        <w:ind w:firstLine="1505"/>
        <w:spacing w:after="0" w:line="244" w:lineRule="auto"/>
        <w:tabs>
          <w:tab w:leader="none" w:pos="189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 xml:space="preserve">dispositions of M&amp;E or Real Property to the extent that (i) such property, is exchanged for credit against the purchase price of substantially similar replacement property or (ii) the proceeds of such disposition are applied (within 45 days after such disposition) to the purchase price of substantially similar replacement property; </w:t>
      </w:r>
      <w:r>
        <w:rPr>
          <w:rFonts w:ascii="Arial" w:cs="Arial" w:eastAsia="Arial" w:hAnsi="Arial"/>
          <w:sz w:val="20"/>
          <w:szCs w:val="20"/>
          <w:u w:val="single" w:color="auto"/>
          <w:color w:val="auto"/>
        </w:rPr>
        <w:t>provided</w:t>
      </w:r>
      <w:r>
        <w:rPr>
          <w:rFonts w:ascii="Arial" w:cs="Arial" w:eastAsia="Arial" w:hAnsi="Arial"/>
          <w:sz w:val="20"/>
          <w:szCs w:val="20"/>
          <w:color w:val="auto"/>
        </w:rPr>
        <w:t>, that to the extent the property being disposed of constitutes Collateral, such replacement property shall constitute Collateral and, to the extent the property being disposed of constitutes Eligible Rolling Stock, such replacement property constitutes Eligible Rolling Stock,</w:t>
      </w:r>
    </w:p>
    <w:p>
      <w:pPr>
        <w:spacing w:after="0" w:line="192" w:lineRule="exact"/>
        <w:rPr>
          <w:rFonts w:ascii="Arial" w:cs="Arial" w:eastAsia="Arial" w:hAnsi="Arial"/>
          <w:sz w:val="20"/>
          <w:szCs w:val="20"/>
          <w:color w:val="auto"/>
        </w:rPr>
      </w:pPr>
    </w:p>
    <w:p>
      <w:pPr>
        <w:ind w:right="40" w:firstLine="1505"/>
        <w:spacing w:after="0" w:line="260" w:lineRule="auto"/>
        <w:tabs>
          <w:tab w:leader="none" w:pos="189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sale, transfer, conveyance or other disposition by Parent or any of its Restricted Subsidiaries of assets that are obsolete or no longer used or useful in such Persons’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0" w:name="page161"/>
    <w:bookmarkEnd w:id="160"/>
    <w:p>
      <w:pPr>
        <w:ind w:firstLine="1505"/>
        <w:spacing w:after="0" w:line="260" w:lineRule="auto"/>
        <w:tabs>
          <w:tab w:leader="none" w:pos="20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sale, transfer, conveyance or other disposition by Parent or any of its Restricted Subsidiaries of Equipment Inventory that is part of a discontinued line,</w:t>
      </w:r>
    </w:p>
    <w:p>
      <w:pPr>
        <w:spacing w:after="0" w:line="175"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sale, transfer, conveyance, or other disposition by Parent or any of its Restricted Subsidiaries of other M&amp;E and Fixtures having a value not exceeding $10,000,000 in any single transaction or $15,000,000 in the aggregate for all of Parent and its Restricted Subsidiaries in any Fiscal Year,</w:t>
      </w:r>
    </w:p>
    <w:p>
      <w:pPr>
        <w:spacing w:after="0" w:line="187" w:lineRule="exact"/>
        <w:rPr>
          <w:rFonts w:ascii="Arial" w:cs="Arial" w:eastAsia="Arial" w:hAnsi="Arial"/>
          <w:sz w:val="20"/>
          <w:szCs w:val="20"/>
          <w:color w:val="auto"/>
        </w:rPr>
      </w:pPr>
    </w:p>
    <w:p>
      <w:pPr>
        <w:ind w:left="1900" w:hanging="395"/>
        <w:spacing w:after="0"/>
        <w:tabs>
          <w:tab w:leader="none" w:pos="19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Permitted Sale Leasebacks,</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sale of Equity Interests issued by (i) an Unrestricted Subsidiary or (ii) Parent so long as such sale does not result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 a Change of Control,</w:t>
      </w:r>
    </w:p>
    <w:p>
      <w:pPr>
        <w:spacing w:after="0" w:line="198" w:lineRule="exact"/>
        <w:rPr>
          <w:rFonts w:ascii="Arial" w:cs="Arial" w:eastAsia="Arial" w:hAnsi="Arial"/>
          <w:sz w:val="18"/>
          <w:szCs w:val="18"/>
          <w:color w:val="auto"/>
        </w:rPr>
      </w:pPr>
    </w:p>
    <w:p>
      <w:pPr>
        <w:ind w:right="20" w:firstLine="1505"/>
        <w:spacing w:after="0" w:line="260" w:lineRule="auto"/>
        <w:tabs>
          <w:tab w:leader="none" w:pos="189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sale or other disposition of a nominal amount of Equity Interests of Parent or any Restricted Subsidiary to qualify members of the Board of Directors, but only to the extent required by applicable law, and</w:t>
      </w:r>
    </w:p>
    <w:p>
      <w:pPr>
        <w:spacing w:after="0" w:line="175" w:lineRule="exact"/>
        <w:rPr>
          <w:rFonts w:ascii="Arial" w:cs="Arial" w:eastAsia="Arial" w:hAnsi="Arial"/>
          <w:sz w:val="20"/>
          <w:szCs w:val="20"/>
          <w:color w:val="auto"/>
        </w:rPr>
      </w:pPr>
    </w:p>
    <w:p>
      <w:pPr>
        <w:jc w:val="both"/>
        <w:ind w:firstLine="1505"/>
        <w:spacing w:after="0" w:line="272" w:lineRule="auto"/>
        <w:tabs>
          <w:tab w:leader="none" w:pos="18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sales or other dispositions of assets not otherwise permitted in clauses (a) through (v) above (other than sales or other dispositions of Accounts in connection with securitization or factoring arrangements, chattel paper, payment intangibles, and assets included in the calculation of the Borrowing Base), so long as (i) no Default or Event of Default has occurred and is continuing or would immediately result therefrom, (ii) each such sale or disposition is in an arm’s-length transaction and the applicable Loan Party or its Restricted Subsidiary receives at least the fair market value of the assets so disposed, (iii) the consideration received by the applicable Loan Party or its Restricted Subsidiary consists of at least 75% cash and Cash Equivalents and is paid at the time of the closing of such sale or disposition, (iv) the Net Cash Proceeds therefrom are applied as (and to the extent) required by </w:t>
      </w:r>
      <w:r>
        <w:rPr>
          <w:rFonts w:ascii="Arial" w:cs="Arial" w:eastAsia="Arial" w:hAnsi="Arial"/>
          <w:sz w:val="18"/>
          <w:szCs w:val="18"/>
          <w:u w:val="single" w:color="auto"/>
          <w:color w:val="auto"/>
        </w:rPr>
        <w:t>Section 2.4(e)(iii)</w:t>
      </w:r>
      <w:r>
        <w:rPr>
          <w:rFonts w:ascii="Arial" w:cs="Arial" w:eastAsia="Arial" w:hAnsi="Arial"/>
          <w:sz w:val="18"/>
          <w:szCs w:val="18"/>
          <w:color w:val="auto"/>
        </w:rPr>
        <w:t>, and (v) the aggregate amount of the cash and non-cash proceeds received from all assets sold or disposed of pursuant to this clause (w) shall not exceed $25,000,000 in any fiscal year of Parent (for this purpose, using the fair market value of property other than cash);</w:t>
      </w:r>
    </w:p>
    <w:p>
      <w:pPr>
        <w:spacing w:after="0" w:line="168"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if, as of any date of determination, sales or dispositions by the Loan Parties or any Restricted Subsidiary (excluding sales and leases of Inventory in the ordinary course of business) during the period of time from the first day of the month in which such date of determination occurs until such date of determination, either individually or in the aggregate, involve $25,000,000 or more of Borrowing Base Assets (based on the fair market value of the assets so disposed as reasonably determined by Administrative Borrower) (the “</w:t>
      </w:r>
      <w:r>
        <w:rPr>
          <w:rFonts w:ascii="Arial" w:cs="Arial" w:eastAsia="Arial" w:hAnsi="Arial"/>
          <w:sz w:val="19"/>
          <w:szCs w:val="19"/>
          <w:u w:val="single" w:color="auto"/>
          <w:color w:val="auto"/>
        </w:rPr>
        <w:t>Threshold Amount</w:t>
      </w:r>
      <w:r>
        <w:rPr>
          <w:rFonts w:ascii="Arial" w:cs="Arial" w:eastAsia="Arial" w:hAnsi="Arial"/>
          <w:sz w:val="19"/>
          <w:szCs w:val="19"/>
          <w:color w:val="auto"/>
        </w:rPr>
        <w:t>”), then Administrative Borrower shall have, prior to consummation of the sale or disposition that causes the assets included in the Borrowing that are disposed of during such period to exceed the Threshold Amount, delivered to Agent an updated Borrowing Base Certificate that reflects (i) the removal of the applicable assets from the Borrowing Base and (ii) that no Overadvance shall result from such sale or disposition.</w:t>
      </w:r>
    </w:p>
    <w:p>
      <w:pPr>
        <w:spacing w:after="0" w:line="185"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w:t>
      </w:r>
      <w:r>
        <w:rPr>
          <w:rFonts w:ascii="Arial" w:cs="Arial" w:eastAsia="Arial" w:hAnsi="Arial"/>
          <w:sz w:val="20"/>
          <w:szCs w:val="20"/>
          <w:color w:val="auto"/>
        </w:rPr>
        <w:t>” means (a) Bruce C. Bruckmann, (b) Bruckmann, Rosser, Sherrill &amp; Co., L.P. and Bruckmann, Rosser, Sherrill &amp; Co. II, L.P., each a Delaware limited partnership, (c) Bruckmann, Rosser, Sherrill &amp; Co., Inc., a Delaware corporation, (d) the Controlled Investment Affiliates of any of the Persons in the foregoing clauses (b) and (c), (e) Mr. John M. Engquist and (f) family partnership trusts or other similar estate planning vehicles of Mr. Engquist.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Indebtedness in respect of the Obligations other than Bank Product Obligations,</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1" w:name="page162"/>
    <w:bookmarkEnd w:id="161"/>
    <w:p>
      <w:pPr>
        <w:ind w:firstLine="1505"/>
        <w:spacing w:after="0" w:line="260" w:lineRule="auto"/>
        <w:tabs>
          <w:tab w:leader="none" w:pos="189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Indebtedness as of the Sixth Restatement Effective Date set forth on </w:t>
      </w:r>
      <w:r>
        <w:rPr>
          <w:rFonts w:ascii="Arial" w:cs="Arial" w:eastAsia="Arial" w:hAnsi="Arial"/>
          <w:sz w:val="20"/>
          <w:szCs w:val="20"/>
          <w:u w:val="single" w:color="auto"/>
          <w:color w:val="auto"/>
        </w:rPr>
        <w:t>Schedule 4.14</w:t>
      </w:r>
      <w:r>
        <w:rPr>
          <w:rFonts w:ascii="Arial" w:cs="Arial" w:eastAsia="Arial" w:hAnsi="Arial"/>
          <w:sz w:val="20"/>
          <w:szCs w:val="20"/>
          <w:color w:val="auto"/>
        </w:rPr>
        <w:t xml:space="preserve"> to this Agreement and any Refinancing Indebtedness in respect of such Indebtedness,</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Permitted Purchase Money Indebtedness and any Refinancing Indebtedness in respect of such Indebtedness,</w:t>
      </w:r>
    </w:p>
    <w:p>
      <w:pPr>
        <w:spacing w:after="0" w:line="226" w:lineRule="exact"/>
        <w:rPr>
          <w:rFonts w:ascii="Arial" w:cs="Arial" w:eastAsia="Arial" w:hAnsi="Arial"/>
          <w:sz w:val="19"/>
          <w:szCs w:val="19"/>
          <w:color w:val="auto"/>
        </w:rPr>
      </w:pPr>
    </w:p>
    <w:p>
      <w:pPr>
        <w:ind w:left="1900" w:hanging="395"/>
        <w:spacing w:after="0"/>
        <w:tabs>
          <w:tab w:leader="none" w:pos="19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Indebtedness arising in connection with the endorsement of instruments or other payment items for deposit,</w:t>
      </w:r>
    </w:p>
    <w:p>
      <w:pPr>
        <w:spacing w:after="0" w:line="226" w:lineRule="exact"/>
        <w:rPr>
          <w:rFonts w:ascii="Arial" w:cs="Arial" w:eastAsia="Arial" w:hAnsi="Arial"/>
          <w:sz w:val="19"/>
          <w:szCs w:val="19"/>
          <w:color w:val="auto"/>
        </w:rPr>
      </w:pPr>
    </w:p>
    <w:p>
      <w:pPr>
        <w:jc w:val="both"/>
        <w:ind w:firstLine="1505"/>
        <w:spacing w:after="0" w:line="320" w:lineRule="auto"/>
        <w:tabs>
          <w:tab w:leader="none" w:pos="189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Indebtedness consisting of (i) guarantees which are unsecured or secured only by Permitted Liens and which are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Loan Party or one of its Restricted Subsidiaries, to the extent that the Person that is obligated under such guaranty could have incurred such underlying Indebtedness,</w:t>
      </w:r>
    </w:p>
    <w:p>
      <w:pPr>
        <w:spacing w:after="0" w:line="135" w:lineRule="exact"/>
        <w:rPr>
          <w:rFonts w:ascii="Arial" w:cs="Arial" w:eastAsia="Arial" w:hAnsi="Arial"/>
          <w:sz w:val="16"/>
          <w:szCs w:val="16"/>
          <w:color w:val="auto"/>
        </w:rPr>
      </w:pPr>
    </w:p>
    <w:p>
      <w:pPr>
        <w:jc w:val="both"/>
        <w:ind w:firstLine="1505"/>
        <w:spacing w:after="0" w:line="256" w:lineRule="auto"/>
        <w:tabs>
          <w:tab w:leader="none" w:pos="189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Unsecured Indebtedness of any Loan Party that is incurred on the date of the consummation of a Permitted Acquisition solely for the purpose of consummating such Permitted Acquisition so long as (i) no Event of Default has occurred and is continuing or would result therefrom, (ii) such unsecured Indebtedness is not incurred for working capital purposes, (iii) such unsecured Indebtedness does not mature before the date that is 12 months after the Maturity Date, (iv) such unsecured Indebtedness does not amortize until 12 months after the Maturity Date, (v) such unsecured Indebtedness does not provide for the payment of interest thereon in cash or Cash Equivalents before the date that is 12 months after the Maturity Date, and (vi) such Indebtedness is subordinated in right of payment to the Obligations on terms and conditions reasonably satisfactory to Agent and is otherwise on terms and conditions (including economic terms and absence of covenants) reasonably satisfactory to Agent,</w:t>
      </w:r>
    </w:p>
    <w:p>
      <w:pPr>
        <w:spacing w:after="0" w:line="185" w:lineRule="exact"/>
        <w:rPr>
          <w:rFonts w:ascii="Arial" w:cs="Arial" w:eastAsia="Arial" w:hAnsi="Arial"/>
          <w:sz w:val="19"/>
          <w:szCs w:val="19"/>
          <w:color w:val="auto"/>
        </w:rPr>
      </w:pPr>
    </w:p>
    <w:p>
      <w:pPr>
        <w:ind w:left="1900" w:hanging="395"/>
        <w:spacing w:after="0"/>
        <w:tabs>
          <w:tab w:leader="none" w:pos="19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Acquired Indebtedness and any Refinancing Indebtedness in respect thereof,</w:t>
      </w:r>
    </w:p>
    <w:p>
      <w:pPr>
        <w:spacing w:after="0" w:line="214" w:lineRule="exact"/>
        <w:rPr>
          <w:rFonts w:ascii="Arial" w:cs="Arial" w:eastAsia="Arial" w:hAnsi="Arial"/>
          <w:sz w:val="20"/>
          <w:szCs w:val="20"/>
          <w:color w:val="auto"/>
        </w:rPr>
      </w:pPr>
    </w:p>
    <w:p>
      <w:pPr>
        <w:jc w:val="both"/>
        <w:ind w:firstLine="1505"/>
        <w:spacing w:after="0" w:line="272" w:lineRule="auto"/>
        <w:tabs>
          <w:tab w:leader="none" w:pos="189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 the 2028 Senior Notes and any Refinancing Indebtedness in respect of the same and (ii) any additional senior unsecured notes issued under the 2028 Senior Notes Indenture so long as the aggregate original principal amount of such additional notes does not exceed (A) $300,000,000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any additional amounts so long as (1) the Total Leverage Ratio as of the last day of the most recently ended 12 fiscal month period for which financial statements are required to have been delivered to Agent pursuant to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(calculated on a pro forma basis by giving effect to such senior unsecured notes as if the Indebtedness pursuant to such senior unsecured notes had been incurred on the last day of such period) is less than or equal to 4.00 to 1.00 and (2) immediately before and after giving effect to the incurrence of such Indebtedness, Excess Availability shall equal or exceed 15% of the Maximum Revolver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additional senior unsecured notes shall have a final maturity date that is at least 91 days after the Maturity Date,</w:t>
      </w:r>
    </w:p>
    <w:p>
      <w:pPr>
        <w:spacing w:after="0" w:line="172" w:lineRule="exact"/>
        <w:rPr>
          <w:rFonts w:ascii="Arial" w:cs="Arial" w:eastAsia="Arial" w:hAnsi="Arial"/>
          <w:sz w:val="18"/>
          <w:szCs w:val="18"/>
          <w:color w:val="auto"/>
        </w:rPr>
      </w:pPr>
    </w:p>
    <w:p>
      <w:pPr>
        <w:jc w:val="both"/>
        <w:ind w:firstLine="1505"/>
        <w:spacing w:after="0" w:line="263" w:lineRule="auto"/>
        <w:tabs>
          <w:tab w:leader="none" w:pos="189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Indebtedness owed to any Person providing worker’s compensation, health, disability or other employee benefits or property, casualty, liability, or other insurance to any Loan Party or any of its Restricted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74" w:lineRule="exact"/>
        <w:rPr>
          <w:rFonts w:ascii="Arial" w:cs="Arial" w:eastAsia="Arial" w:hAnsi="Arial"/>
          <w:sz w:val="19"/>
          <w:szCs w:val="19"/>
          <w:color w:val="auto"/>
        </w:rPr>
      </w:pPr>
    </w:p>
    <w:p>
      <w:pPr>
        <w:ind w:right="40" w:firstLine="1505"/>
        <w:spacing w:after="0" w:line="260" w:lineRule="auto"/>
        <w:tabs>
          <w:tab w:leader="none" w:pos="189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incurrence by any Loan Party or its Restricted Subsidiaries of Indebtedness under Hedge Agreements that is incurred for the bona fide purpose of hedging the interest rate, commodity,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foreign currency risks associated with such Loan Party’s or such Restricted Subsidiary’s operations and not for speculative purposes,</w:t>
      </w:r>
    </w:p>
    <w:p>
      <w:pPr>
        <w:spacing w:after="0" w:line="226" w:lineRule="exact"/>
        <w:rPr>
          <w:sz w:val="20"/>
          <w:szCs w:val="20"/>
          <w:color w:val="auto"/>
        </w:rPr>
      </w:pPr>
    </w:p>
    <w:p>
      <w:pPr>
        <w:jc w:val="both"/>
        <w:ind w:firstLine="1505"/>
        <w:spacing w:after="0" w:line="249"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87" w:lineRule="exact"/>
        <w:rPr>
          <w:rFonts w:ascii="Arial" w:cs="Arial" w:eastAsia="Arial" w:hAnsi="Arial"/>
          <w:sz w:val="20"/>
          <w:szCs w:val="20"/>
          <w:color w:val="auto"/>
        </w:rPr>
      </w:pPr>
    </w:p>
    <w:p>
      <w:pPr>
        <w:jc w:val="both"/>
        <w:ind w:firstLine="1505"/>
        <w:spacing w:after="0" w:line="242"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unsecured Indebtedness of any Loan Party or any Restricted Subsidiary owing to (i) Affiliates and holders of Equity Interests of Parent and (ii) present or former employees, officers, consultants, or directors (or any spouses, ex-spouses, or estates of any of the foregoing) incurred in connection with the repurchase or redemption by such Loan Party or any Restricted Subsidiary of the Equity Interests of Parent that has been issued to such Persons, so long as, in each case, (A) no Default or Event of Default has occurred and is continuing or would result from the incurrence of such Indebtedness, (B) no principal of or interest on such Indebtedness shall be due and payable before the Maturity Date, and (C) such Indebtedness is subordinated in right of payment to the Obligations on terms and conditions reasonably acceptable to Agent,</w:t>
      </w:r>
    </w:p>
    <w:p>
      <w:pPr>
        <w:spacing w:after="0" w:line="197" w:lineRule="exact"/>
        <w:rPr>
          <w:rFonts w:ascii="Arial" w:cs="Arial" w:eastAsia="Arial" w:hAnsi="Arial"/>
          <w:sz w:val="20"/>
          <w:szCs w:val="20"/>
          <w:color w:val="auto"/>
        </w:rPr>
      </w:pPr>
    </w:p>
    <w:p>
      <w:pPr>
        <w:ind w:right="40" w:firstLine="1505"/>
        <w:spacing w:after="0" w:line="286" w:lineRule="auto"/>
        <w:tabs>
          <w:tab w:leader="none" w:pos="189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contingent liabilities in respect of any indemnification obligation, adjustment of purchase price, non-compete, or similar obligation of any Loan Party incurred in connection with the consummation of one or more Permitted Acquisitions,</w:t>
      </w:r>
    </w:p>
    <w:p>
      <w:pPr>
        <w:spacing w:after="0" w:line="153" w:lineRule="exact"/>
        <w:rPr>
          <w:rFonts w:ascii="Arial" w:cs="Arial" w:eastAsia="Arial" w:hAnsi="Arial"/>
          <w:sz w:val="19"/>
          <w:szCs w:val="19"/>
          <w:color w:val="auto"/>
        </w:rPr>
      </w:pPr>
    </w:p>
    <w:p>
      <w:pPr>
        <w:ind w:left="1900" w:hanging="395"/>
        <w:spacing w:after="0"/>
        <w:tabs>
          <w:tab w:leader="none" w:pos="19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which constitutes a Permitted Investment,</w:t>
      </w:r>
    </w:p>
    <w:p>
      <w:pPr>
        <w:spacing w:after="0" w:line="214"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incurred in respect of netting services, overdraft protection, and other like services, in each case, incurred in the ordinary course of business,</w:t>
      </w:r>
    </w:p>
    <w:p>
      <w:pPr>
        <w:spacing w:after="0" w:line="175" w:lineRule="exact"/>
        <w:rPr>
          <w:rFonts w:ascii="Arial" w:cs="Arial" w:eastAsia="Arial" w:hAnsi="Arial"/>
          <w:sz w:val="20"/>
          <w:szCs w:val="20"/>
          <w:color w:val="auto"/>
        </w:rPr>
      </w:pPr>
    </w:p>
    <w:p>
      <w:pPr>
        <w:jc w:val="both"/>
        <w:ind w:right="20" w:firstLine="1505"/>
        <w:spacing w:after="0" w:line="269" w:lineRule="auto"/>
        <w:tabs>
          <w:tab w:leader="none" w:pos="189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unsecured Indebtedness of any Loan Party or its Restricted Subsidiaries in respect of Earn-Outs incurred in connection with the consummation of one or more Permitted Acquisitions so long as the outstanding amount of such Earn-Outs does not exceed $5,000,000 with respect to any one Permitted Acquisition or $10,000,000 with respect to all Permitted Acquisitions,</w:t>
      </w:r>
    </w:p>
    <w:p>
      <w:pPr>
        <w:spacing w:after="0" w:line="168" w:lineRule="exact"/>
        <w:rPr>
          <w:rFonts w:ascii="Arial" w:cs="Arial" w:eastAsia="Arial" w:hAnsi="Arial"/>
          <w:sz w:val="19"/>
          <w:szCs w:val="19"/>
          <w:color w:val="auto"/>
        </w:rPr>
      </w:pPr>
    </w:p>
    <w:p>
      <w:pPr>
        <w:jc w:val="both"/>
        <w:ind w:right="20" w:firstLine="1505"/>
        <w:spacing w:after="0" w:line="249"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Indebtedness in an aggregate outstanding principal amount not to exceed $5,000,000 at any time outstanding for all Restricted Subsidiaries of each Loan Party that are CFCs;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is not directly or indirectly recourse to any of the Loan Parties or any Restricted Subsidiary or of their respective assets,</w:t>
      </w:r>
    </w:p>
    <w:p>
      <w:pPr>
        <w:spacing w:after="0" w:line="187"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accrual of interest, accretion or amortization of original issue discount, or the payment of interest in kind, in each case, on Indebtedness that otherwise constitutes Permitted Indebtedness,</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Indebtedness consisting of the financing of insurance premiums or take-or-pay obligations contained in supply</w:t>
      </w:r>
    </w:p>
    <w:p>
      <w:pPr>
        <w:spacing w:after="0" w:line="2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arrangements,</w:t>
      </w:r>
    </w:p>
    <w:p>
      <w:pPr>
        <w:spacing w:after="0" w:line="198" w:lineRule="exact"/>
        <w:rPr>
          <w:rFonts w:ascii="Arial" w:cs="Arial" w:eastAsia="Arial" w:hAnsi="Arial"/>
          <w:sz w:val="19"/>
          <w:szCs w:val="19"/>
          <w:color w:val="auto"/>
        </w:rPr>
      </w:pPr>
    </w:p>
    <w:p>
      <w:pPr>
        <w:ind w:left="1900" w:hanging="395"/>
        <w:spacing w:after="0"/>
        <w:tabs>
          <w:tab w:leader="none" w:pos="19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arising out of any Permitted Sale Leaseback permitted hereunder,</w:t>
      </w:r>
    </w:p>
    <w:p>
      <w:pPr>
        <w:spacing w:after="0" w:line="214"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Indebtedness representing deferred compensation to employees, officers, directors, consultants and agents of any Loan Party or Restricted Subsidiary thereof incurred in the ordinary course of business,</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endorsements of collection, deposit or negotiation and warranties of products and services, in each case, incurred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3" w:name="page164"/>
    <w:bookmarkEnd w:id="163"/>
    <w:p>
      <w:pPr>
        <w:jc w:val="both"/>
        <w:ind w:firstLine="1505"/>
        <w:spacing w:after="0" w:line="269" w:lineRule="auto"/>
        <w:tabs>
          <w:tab w:leader="none" w:pos="18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other term Indebtedness not described in the preceding clauses of this definition, so long as (i) no Event of Default exists at the time such Indebtedness is incurred or immediately after giving effect thereto; (ii) the Total Leverage Ratio as of the last day of the most recently ended 12 fiscal month period for which financial statements are required to have been delivered to Agent pursuant to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(calculated on a pro forma basis giving effect to such Indebtedness as if such Indebtedness had been incurred on the last day of such period) is less than or equal to 4.00 to 1.00; (iii) immediately before and after giving effect to the incurrence of such Indebtedness, Excess Availability shall equal or exceed 15% of the Maximum Revolver Amount; (iv) the stated maturity date of such Indebtedness is at least 91 days after the date set forth in clause (a) of the definition of “Maturity Date” on the day such Indebtedness was incurred; (v) such Indebtedness is unsecured; (vi) such Indebtedness has nominal amortization (not to exceed 5% per calendar year) through the period ending with the date which is 91 days after the date set forth in clause (a) of the definition of “Maturity Date” on the day such Indebtedness was incurred; (vii) no Persons are obligated with respect to such Indebtedness (whether as a co-borrower, a guarantor, a grantor or pledgor, or otherwise), unless such Persons become (substantially simultaneously with such Person’s becoming so obligated with respect to such Indebtedness or at such a later time as Agent may permit in its sole discretion) obligated with respect to the Obligations in the same manner in which such Person is obligated with respect to such Indebtedness or in such other manner and to such extent as Agent may require; and (viii) the terms and provisions relating to such Indebtedness are, on the whole, no more restrictive than the terms and provisions of the Agreement and the other Loan Documents (as applicable),</w:t>
      </w:r>
    </w:p>
    <w:p>
      <w:pPr>
        <w:spacing w:after="0" w:line="174" w:lineRule="exact"/>
        <w:rPr>
          <w:rFonts w:ascii="Arial" w:cs="Arial" w:eastAsia="Arial" w:hAnsi="Arial"/>
          <w:sz w:val="18"/>
          <w:szCs w:val="18"/>
          <w:color w:val="auto"/>
        </w:rPr>
      </w:pPr>
    </w:p>
    <w:p>
      <w:pPr>
        <w:jc w:val="both"/>
        <w:ind w:firstLine="1505"/>
        <w:spacing w:after="0" w:line="309" w:lineRule="auto"/>
        <w:tabs>
          <w:tab w:leader="none" w:pos="189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other Indebtedness (which is unsecured or secured only by Permitted Liens) incurred by any Loan Party or any of its Restricted Subsidiaries in an aggregate outstanding amount not to exceed at any one time outstanding the greater of (i) $10,000,000 and</w:t>
      </w:r>
    </w:p>
    <w:p>
      <w:pPr>
        <w:ind w:firstLine="8"/>
        <w:spacing w:after="0" w:line="243" w:lineRule="auto"/>
        <w:tabs>
          <w:tab w:leader="none" w:pos="29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4% of EBITDA as of the last day of the most recently ended 12-month period for which monthly financial statements are required to be delivered pursuant to </w:t>
      </w:r>
      <w:r>
        <w:rPr>
          <w:rFonts w:ascii="Arial" w:cs="Arial" w:eastAsia="Arial" w:hAnsi="Arial"/>
          <w:sz w:val="20"/>
          <w:szCs w:val="20"/>
          <w:u w:val="single" w:color="auto"/>
          <w:color w:val="auto"/>
        </w:rPr>
        <w:t>Schedule 5.1</w:t>
      </w:r>
      <w:r>
        <w:rPr>
          <w:rFonts w:ascii="Arial" w:cs="Arial" w:eastAsia="Arial" w:hAnsi="Arial"/>
          <w:sz w:val="20"/>
          <w:szCs w:val="20"/>
          <w:color w:val="auto"/>
        </w:rPr>
        <w:t xml:space="preserve"> to this Agreement prior to any date of determination, and</w:t>
      </w:r>
    </w:p>
    <w:p>
      <w:pPr>
        <w:spacing w:after="0" w:line="192" w:lineRule="exact"/>
        <w:rPr>
          <w:rFonts w:ascii="Arial" w:cs="Arial" w:eastAsia="Arial" w:hAnsi="Arial"/>
          <w:sz w:val="20"/>
          <w:szCs w:val="20"/>
          <w:color w:val="auto"/>
        </w:rPr>
      </w:pPr>
    </w:p>
    <w:p>
      <w:pPr>
        <w:jc w:val="both"/>
        <w:ind w:firstLine="1505"/>
        <w:spacing w:after="0" w:line="249" w:lineRule="auto"/>
        <w:tabs>
          <w:tab w:leader="none" w:pos="1893" w:val="left"/>
        </w:tabs>
        <w:numPr>
          <w:ilvl w:val="1"/>
          <w:numId w:val="137"/>
        </w:numPr>
        <w:rPr>
          <w:rFonts w:ascii="Arial" w:cs="Arial" w:eastAsia="Arial" w:hAnsi="Arial"/>
          <w:sz w:val="20"/>
          <w:szCs w:val="20"/>
          <w:color w:val="auto"/>
        </w:rPr>
      </w:pPr>
      <w:r>
        <w:rPr>
          <w:rFonts w:ascii="Arial" w:cs="Arial" w:eastAsia="Arial" w:hAnsi="Arial"/>
          <w:sz w:val="20"/>
          <w:szCs w:val="20"/>
          <w:color w:val="auto"/>
        </w:rPr>
        <w:t>with respect to any Indebtedness permitted to be incurred by any Loan Party pursuant to this Agreement, guaranties of such Indebtedness, provided, that if the Indebtedness being guarantied is unsecured and/or subordinated to the Obligations, then such guaranty shall also be unsecured and/or subordinated to the Obligations.</w:t>
      </w:r>
    </w:p>
    <w:p>
      <w:pPr>
        <w:spacing w:after="0" w:line="188"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Intercompany Advances</w:t>
      </w:r>
      <w:r>
        <w:rPr>
          <w:rFonts w:ascii="Arial" w:cs="Arial" w:eastAsia="Arial" w:hAnsi="Arial"/>
          <w:sz w:val="19"/>
          <w:szCs w:val="19"/>
          <w:color w:val="auto"/>
        </w:rPr>
        <w:t>” means loans or guarantees made by (a) a Loan Party to another Loan Party, (b) any Excluded Subsidiary to a Loan Party, so long as the parties thereto are party to the Intercompany Subordination Agreement, (c) an Excluded Subsidiary which is a Domestic Subsidiary to another Excluded Subsidiary which is a Domestic Subsidiary (other than an Unrestricted Subsidiary), (d) a Foreign Subsidiary to any Excluded Subsidiary (other than an Unrestricted Subsidiary), and (e) a Loan Party to an Excluded Subsidiary (other than an Unrestricted Subsidiary) so long as (i) the aggregate amount of all such loans and guarantees (by type, not by the borrower) does not exceed $5,000,000 outstanding at any one time and (ii) at the time of the making of such loan or guarantee, no Event of Default has occurred and is continuing or would result therefrom.</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14"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to the extent incurred in the ordinary course of business, Investments in prepaid expenses, negotiable instruments deposited or to be deposited for collection, lease, workers’ compensation, performance and other similar deposits, and insurance claim receivables,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4" w:name="page165"/>
    <w:bookmarkEnd w:id="164"/>
    <w:p>
      <w:pPr>
        <w:ind w:left="1900" w:hanging="395"/>
        <w:spacing w:after="0"/>
        <w:tabs>
          <w:tab w:leader="none" w:pos="19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advances made in connection with purchases of goods or services in the ordinary course of business,</w:t>
      </w:r>
    </w:p>
    <w:p>
      <w:pPr>
        <w:spacing w:after="0" w:line="214" w:lineRule="exact"/>
        <w:rPr>
          <w:rFonts w:ascii="Arial" w:cs="Arial" w:eastAsia="Arial" w:hAnsi="Arial"/>
          <w:sz w:val="20"/>
          <w:szCs w:val="20"/>
          <w:color w:val="auto"/>
        </w:rPr>
      </w:pPr>
    </w:p>
    <w:p>
      <w:pPr>
        <w:jc w:val="both"/>
        <w:ind w:firstLine="1505"/>
        <w:spacing w:after="0" w:line="290" w:lineRule="auto"/>
        <w:tabs>
          <w:tab w:leader="none" w:pos="18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any Loan Party or any of its Restricted Subsidiaries effected in the ordinary course of business or owing to any Loan Party or any of its Restricted Subsidiaries as a result of Insolvency Proceedings involving an Account Debtor or upon the foreclosure or enforcement of any Lien in favor of a Loan Party or its Restricted Subsidiaries,</w:t>
      </w:r>
    </w:p>
    <w:p>
      <w:pPr>
        <w:spacing w:after="0" w:line="153" w:lineRule="exact"/>
        <w:rPr>
          <w:rFonts w:ascii="Arial" w:cs="Arial" w:eastAsia="Arial" w:hAnsi="Arial"/>
          <w:sz w:val="18"/>
          <w:szCs w:val="18"/>
          <w:color w:val="auto"/>
        </w:rPr>
      </w:pPr>
    </w:p>
    <w:p>
      <w:pPr>
        <w:ind w:right="20" w:firstLine="1505"/>
        <w:spacing w:after="0" w:line="260"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Investments owned by any Loan Party or any of its Restricted Subsidiaries on the Sixth Restatement Effective Date and set forth on </w:t>
      </w:r>
      <w:r>
        <w:rPr>
          <w:rFonts w:ascii="Arial" w:cs="Arial" w:eastAsia="Arial" w:hAnsi="Arial"/>
          <w:sz w:val="20"/>
          <w:szCs w:val="20"/>
          <w:u w:val="single" w:color="auto"/>
          <w:color w:val="auto"/>
        </w:rPr>
        <w:t>Schedule P-1</w:t>
      </w:r>
      <w:r>
        <w:rPr>
          <w:rFonts w:ascii="Arial" w:cs="Arial" w:eastAsia="Arial" w:hAnsi="Arial"/>
          <w:sz w:val="20"/>
          <w:szCs w:val="20"/>
          <w:color w:val="auto"/>
        </w:rPr>
        <w:t xml:space="preserve"> to this Agreement,</w:t>
      </w:r>
    </w:p>
    <w:p>
      <w:pPr>
        <w:spacing w:after="0" w:line="175"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 guarantees permitted under the definition of Permitted Indebtedness and (ii) guarantees incurred for the benefit of the purchasers of Equipment Inventory to support sales by Parent or any of its Restricted Subsidiaries of such Equipment Inventory in the ordinary course of business to such purchasers, not to exceed $5,000,000 at any one time outstanding for Parent and the Restricted Subsidiaries,</w:t>
      </w:r>
    </w:p>
    <w:p>
      <w:pPr>
        <w:spacing w:after="0" w:line="189" w:lineRule="exact"/>
        <w:rPr>
          <w:rFonts w:ascii="Arial" w:cs="Arial" w:eastAsia="Arial" w:hAnsi="Arial"/>
          <w:sz w:val="20"/>
          <w:szCs w:val="20"/>
          <w:color w:val="auto"/>
        </w:rPr>
      </w:pPr>
    </w:p>
    <w:p>
      <w:pPr>
        <w:ind w:left="1900" w:hanging="395"/>
        <w:spacing w:after="0"/>
        <w:tabs>
          <w:tab w:leader="none" w:pos="19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Permitted Intercompany Advances,</w:t>
      </w:r>
    </w:p>
    <w:p>
      <w:pPr>
        <w:spacing w:after="0" w:line="214" w:lineRule="exact"/>
        <w:rPr>
          <w:rFonts w:ascii="Arial" w:cs="Arial" w:eastAsia="Arial" w:hAnsi="Arial"/>
          <w:sz w:val="20"/>
          <w:szCs w:val="20"/>
          <w:color w:val="auto"/>
        </w:rPr>
      </w:pPr>
    </w:p>
    <w:p>
      <w:pPr>
        <w:jc w:val="both"/>
        <w:ind w:right="20" w:firstLine="1505"/>
        <w:spacing w:after="0" w:line="249"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Equity Interests or other securities acquired in connection with the satisfaction or enforcement of Indebtedness or claims due or owing to a Loan Party or its Restricted Subsidiaries (in bankruptcy of customers or suppliers or otherwise outside the ordinary course of business) or as security for any such Indebtedness or claims,</w:t>
      </w:r>
    </w:p>
    <w:p>
      <w:pPr>
        <w:spacing w:after="0" w:line="187" w:lineRule="exact"/>
        <w:rPr>
          <w:rFonts w:ascii="Arial" w:cs="Arial" w:eastAsia="Arial" w:hAnsi="Arial"/>
          <w:sz w:val="20"/>
          <w:szCs w:val="20"/>
          <w:color w:val="auto"/>
        </w:rPr>
      </w:pPr>
    </w:p>
    <w:p>
      <w:pPr>
        <w:ind w:left="1900" w:hanging="395"/>
        <w:spacing w:after="0"/>
        <w:tabs>
          <w:tab w:leader="none" w:pos="19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deposits of cash made in the ordinary course of business to secure performance of operating leases,</w:t>
      </w:r>
    </w:p>
    <w:p>
      <w:pPr>
        <w:spacing w:after="0" w:line="214"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 non-cash loans and advances to employees, officers, and directors of a Loan Party or any of its Restricted Subsidiaries for the purpose of purchasing Equity Interests in Parent so long as the proceeds of such loans are used in their entirety to purchase such Equity Interests in Parent, and (ii) loans and advances to employees, officers, directors and consultants of a Loan Party or any of its Restricted Subsidiaries in the ordinary course of business for any other business purpose and in an aggregate amount not to exceed $5,000,000 at any time outstanding,</w:t>
      </w:r>
    </w:p>
    <w:p>
      <w:pPr>
        <w:spacing w:after="0" w:line="192" w:lineRule="exact"/>
        <w:rPr>
          <w:rFonts w:ascii="Arial" w:cs="Arial" w:eastAsia="Arial" w:hAnsi="Arial"/>
          <w:sz w:val="20"/>
          <w:szCs w:val="20"/>
          <w:color w:val="auto"/>
        </w:rPr>
      </w:pPr>
    </w:p>
    <w:p>
      <w:pPr>
        <w:ind w:left="1900" w:hanging="395"/>
        <w:spacing w:after="0"/>
        <w:tabs>
          <w:tab w:leader="none" w:pos="19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4"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Investments (other than Permitted Intercompany Advances) by (i) Parent or any of its Restricted Subsidiaries in any Loan Party (other than Parent), and (ii) by and among Restricted Subsidiaries that are not Loan Parties,</w:t>
      </w:r>
    </w:p>
    <w:p>
      <w:pPr>
        <w:spacing w:after="0" w:line="175"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Investments resulting from entering into (i) Bank Product Agreements, or (ii) agreements relative to obligations permitted under clause (j) of the definition of Permitted Indebtedness,</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equity Investments by any Loan Party in any Restricted Subsidiary of such Loan Party which is required by law to maintain a minimum net capital requirement or as may be otherwise required by applicable law,</w:t>
      </w:r>
    </w:p>
    <w:p>
      <w:pPr>
        <w:spacing w:after="0" w:line="175" w:lineRule="exact"/>
        <w:rPr>
          <w:rFonts w:ascii="Arial" w:cs="Arial" w:eastAsia="Arial" w:hAnsi="Arial"/>
          <w:sz w:val="20"/>
          <w:szCs w:val="20"/>
          <w:color w:val="auto"/>
        </w:rPr>
      </w:pPr>
    </w:p>
    <w:p>
      <w:pPr>
        <w:ind w:firstLine="1505"/>
        <w:spacing w:after="0" w:line="315" w:lineRule="auto"/>
        <w:tabs>
          <w:tab w:leader="none" w:pos="18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5" w:name="page166"/>
    <w:bookmarkEnd w:id="165"/>
    <w:p>
      <w:pPr>
        <w:ind w:right="20" w:firstLine="1505"/>
        <w:spacing w:after="0" w:line="260" w:lineRule="auto"/>
        <w:tabs>
          <w:tab w:leader="none" w:pos="18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or would result therefrom, any other Investments in an aggregate amount not to exceed $10,000,000 during the term of this Agreement,</w:t>
      </w:r>
    </w:p>
    <w:p>
      <w:pPr>
        <w:spacing w:after="0" w:line="175" w:lineRule="exact"/>
        <w:rPr>
          <w:rFonts w:ascii="Arial" w:cs="Arial" w:eastAsia="Arial" w:hAnsi="Arial"/>
          <w:sz w:val="20"/>
          <w:szCs w:val="20"/>
          <w:color w:val="auto"/>
        </w:rPr>
      </w:pPr>
    </w:p>
    <w:p>
      <w:pPr>
        <w:jc w:val="both"/>
        <w:ind w:right="20" w:firstLine="1505"/>
        <w:spacing w:after="0" w:line="249" w:lineRule="auto"/>
        <w:tabs>
          <w:tab w:leader="none" w:pos="18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Investments consisting of non-cash consideration received in connection with Permitted Dispositions, so long as the non-cash consideration received in connection with any Permitted Disposition does not exceed 25% of the total consideration received in connection with such Permitted Disposition,</w:t>
      </w:r>
    </w:p>
    <w:p>
      <w:pPr>
        <w:spacing w:after="0" w:line="187"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from the grant of trade credit in the ordinary course of business,</w:t>
      </w:r>
    </w:p>
    <w:p>
      <w:pPr>
        <w:spacing w:after="0" w:line="175" w:lineRule="exact"/>
        <w:rPr>
          <w:rFonts w:ascii="Arial" w:cs="Arial" w:eastAsia="Arial" w:hAnsi="Arial"/>
          <w:sz w:val="20"/>
          <w:szCs w:val="20"/>
          <w:color w:val="auto"/>
        </w:rPr>
      </w:pPr>
    </w:p>
    <w:p>
      <w:pPr>
        <w:ind w:right="60" w:firstLine="1505"/>
        <w:spacing w:after="0" w:line="260" w:lineRule="auto"/>
        <w:tabs>
          <w:tab w:leader="none" w:pos="18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Investments is made solely with Equity Interests (other than Disqualified Equity Interests) of Parent and do not result in a Change of Control,</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14" w:lineRule="exact"/>
        <w:rPr>
          <w:rFonts w:ascii="Arial" w:cs="Arial" w:eastAsia="Arial" w:hAnsi="Arial"/>
          <w:sz w:val="20"/>
          <w:szCs w:val="20"/>
          <w:color w:val="auto"/>
        </w:rPr>
      </w:pPr>
    </w:p>
    <w:p>
      <w:pPr>
        <w:ind w:firstLine="1505"/>
        <w:spacing w:after="0" w:line="286" w:lineRule="auto"/>
        <w:tabs>
          <w:tab w:leader="none" w:pos="189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formation or creation of any new Restricted Subsidiary so long as the applicable Loan Party complies, and causes such new Restricted Subsidiary to comply, with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and such Restricted Subsidiary is a Domestic Subsidiary,</w:t>
      </w:r>
    </w:p>
    <w:p>
      <w:pPr>
        <w:spacing w:after="0" w:line="153" w:lineRule="exact"/>
        <w:rPr>
          <w:rFonts w:ascii="Arial" w:cs="Arial" w:eastAsia="Arial" w:hAnsi="Arial"/>
          <w:sz w:val="19"/>
          <w:szCs w:val="19"/>
          <w:color w:val="auto"/>
        </w:rPr>
      </w:pPr>
    </w:p>
    <w:p>
      <w:pPr>
        <w:jc w:val="both"/>
        <w:ind w:firstLine="1505"/>
        <w:spacing w:after="0" w:line="249" w:lineRule="auto"/>
        <w:tabs>
          <w:tab w:leader="none" w:pos="18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acquisitions of, Investments in, and loans and advances to, joint ventures and Unrestricted Subsidiaries by Parent and its Restricted Subsidiaries, so long as the aggregate amount invested, loaned or advanced does not exceed $5,000,000 at any time outstanding,</w:t>
      </w:r>
    </w:p>
    <w:p>
      <w:pPr>
        <w:spacing w:after="0" w:line="187"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to the extent constituting Investments, (i) the creation or assumption of Permitted Liens, (ii) the incurrence or assumption of Permitted Indebtedness (other than pursuant to clause (n) of the definition thereof), (iii) the acquisition of assets resulting from the consummation of a merger, dissolution, liquidation or consolidation permitted under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(iv) Restricted Payments made in accordance with </w:t>
      </w:r>
      <w:r>
        <w:rPr>
          <w:rFonts w:ascii="Arial" w:cs="Arial" w:eastAsia="Arial" w:hAnsi="Arial"/>
          <w:sz w:val="20"/>
          <w:szCs w:val="20"/>
          <w:u w:val="single" w:color="auto"/>
          <w:color w:val="auto"/>
        </w:rPr>
        <w:t>Section 6.7</w:t>
      </w:r>
      <w:r>
        <w:rPr>
          <w:rFonts w:ascii="Arial" w:cs="Arial" w:eastAsia="Arial" w:hAnsi="Arial"/>
          <w:sz w:val="20"/>
          <w:szCs w:val="20"/>
          <w:color w:val="auto"/>
        </w:rPr>
        <w:t xml:space="preserve">, and loans and advances in lieu of, and not in excess of the amount of, such Restricted Payments, and (v) transactions permitted under </w:t>
      </w:r>
      <w:r>
        <w:rPr>
          <w:rFonts w:ascii="Arial" w:cs="Arial" w:eastAsia="Arial" w:hAnsi="Arial"/>
          <w:sz w:val="20"/>
          <w:szCs w:val="20"/>
          <w:u w:val="single" w:color="auto"/>
          <w:color w:val="auto"/>
        </w:rPr>
        <w:t>Section 6.10</w:t>
      </w:r>
      <w:r>
        <w:rPr>
          <w:rFonts w:ascii="Arial" w:cs="Arial" w:eastAsia="Arial" w:hAnsi="Arial"/>
          <w:sz w:val="20"/>
          <w:szCs w:val="20"/>
          <w:color w:val="auto"/>
        </w:rPr>
        <w:t>, and</w:t>
      </w:r>
    </w:p>
    <w:p>
      <w:pPr>
        <w:spacing w:after="0" w:line="192" w:lineRule="exact"/>
        <w:rPr>
          <w:rFonts w:ascii="Arial" w:cs="Arial" w:eastAsia="Arial" w:hAnsi="Arial"/>
          <w:sz w:val="20"/>
          <w:szCs w:val="20"/>
          <w:color w:val="auto"/>
        </w:rPr>
      </w:pPr>
    </w:p>
    <w:p>
      <w:pPr>
        <w:ind w:left="1900" w:hanging="395"/>
        <w:spacing w:after="0"/>
        <w:tabs>
          <w:tab w:leader="none" w:pos="19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other Investments (other than Acquisitions) so long as the Payment Conditions are satisfied.</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Liens granted to, or for the benefit of, Agent to secure the Obligations,</w:t>
      </w:r>
    </w:p>
    <w:p>
      <w:pPr>
        <w:spacing w:after="0" w:line="214"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Liens for taxes, assessments, or other governmental charges or levies (excluding Liens under ERISA) that either (i) are not yet delinquent or (ii) are the subject of Permitted Protests,</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judgment Liens arising solely as a result of the existence of judgments, orders, or awards that do not constitute an Event of Default under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of this Agreement,</w:t>
      </w:r>
    </w:p>
    <w:p>
      <w:pPr>
        <w:spacing w:after="0" w:line="175"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Liens set forth on </w:t>
      </w:r>
      <w:r>
        <w:rPr>
          <w:rFonts w:ascii="Arial" w:cs="Arial" w:eastAsia="Arial" w:hAnsi="Arial"/>
          <w:sz w:val="20"/>
          <w:szCs w:val="20"/>
          <w:u w:val="single" w:color="auto"/>
          <w:color w:val="auto"/>
        </w:rPr>
        <w:t>Schedule P-2</w:t>
      </w:r>
      <w:r>
        <w:rPr>
          <w:rFonts w:ascii="Arial" w:cs="Arial" w:eastAsia="Arial" w:hAnsi="Arial"/>
          <w:sz w:val="20"/>
          <w:szCs w:val="20"/>
          <w:color w:val="auto"/>
        </w:rPr>
        <w:t xml:space="preserve">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to qualify as a Permitted Lien, any such Lien described on </w:t>
      </w:r>
      <w:r>
        <w:rPr>
          <w:rFonts w:ascii="Arial" w:cs="Arial" w:eastAsia="Arial" w:hAnsi="Arial"/>
          <w:sz w:val="20"/>
          <w:szCs w:val="20"/>
          <w:u w:val="single" w:color="auto"/>
          <w:color w:val="auto"/>
        </w:rPr>
        <w:t>Schedule P-2</w:t>
      </w:r>
      <w:r>
        <w:rPr>
          <w:rFonts w:ascii="Arial" w:cs="Arial" w:eastAsia="Arial" w:hAnsi="Arial"/>
          <w:sz w:val="20"/>
          <w:szCs w:val="20"/>
          <w:color w:val="auto"/>
        </w:rPr>
        <w:t xml:space="preserve"> shall secure only the Indebtedness that it secures on the Sixth Restatement Effective Date and any Refinancing Indebtedness in respect thereof and (ii) if such Lien secures any Permitted Purchase Money Indebtedness, such Lien shall be a Permitted Lien only the extent such Lien is permitted under clause (f) of this definition,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6" w:name="page167"/>
    <w:bookmarkEnd w:id="166"/>
    <w:p>
      <w:pPr>
        <w:ind w:right="20" w:firstLine="1505"/>
        <w:spacing w:after="0" w:line="260" w:lineRule="auto"/>
        <w:tabs>
          <w:tab w:leader="none" w:pos="189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 the interests of lessors under operating leases and non-exclusive licensors under license agreements and (ii) Liens of the counterparty on Real Property and Fixtures, which is subject to any Permitted Sale Leaseback,</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Liens (including the interests of lessors under Capital Leases):</w:t>
      </w:r>
    </w:p>
    <w:p>
      <w:pPr>
        <w:spacing w:after="0" w:line="214" w:lineRule="exact"/>
        <w:rPr>
          <w:rFonts w:ascii="Arial" w:cs="Arial" w:eastAsia="Arial" w:hAnsi="Arial"/>
          <w:sz w:val="20"/>
          <w:szCs w:val="20"/>
          <w:color w:val="auto"/>
        </w:rPr>
      </w:pPr>
    </w:p>
    <w:p>
      <w:pPr>
        <w:jc w:val="both"/>
        <w:ind w:firstLine="2254"/>
        <w:spacing w:after="0" w:line="249" w:lineRule="auto"/>
        <w:tabs>
          <w:tab w:leader="none" w:pos="264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on fixed assets, but only to the extent such Liens (A) secure only the Indebtedness described in clause (a) of the definition of “Permitted Purchase Money Indebtedness” and (B) attach only to the fixed assets purchased or acquired and the proceeds thereof,</w:t>
      </w:r>
    </w:p>
    <w:p>
      <w:pPr>
        <w:spacing w:after="0" w:line="187" w:lineRule="exact"/>
        <w:rPr>
          <w:rFonts w:ascii="Arial" w:cs="Arial" w:eastAsia="Arial" w:hAnsi="Arial"/>
          <w:sz w:val="20"/>
          <w:szCs w:val="20"/>
          <w:color w:val="auto"/>
        </w:rPr>
      </w:pPr>
    </w:p>
    <w:p>
      <w:pPr>
        <w:jc w:val="both"/>
        <w:ind w:right="20" w:firstLine="2254"/>
        <w:spacing w:after="0" w:line="249" w:lineRule="auto"/>
        <w:tabs>
          <w:tab w:leader="none" w:pos="264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subject to the proviso at the end of this clause (f), on Floor Plan Equipment Inventory, but only to the extent such Liens (A) secure only the Indebtedness described in clause (b) of the definition of “Permitted Purchase Money Indebtedness” and (B) attach only to the Equipment Inventory purchased with the proceeds of such Indebtedness, and</w:t>
      </w:r>
    </w:p>
    <w:p>
      <w:pPr>
        <w:spacing w:after="0" w:line="187" w:lineRule="exact"/>
        <w:rPr>
          <w:rFonts w:ascii="Arial" w:cs="Arial" w:eastAsia="Arial" w:hAnsi="Arial"/>
          <w:sz w:val="20"/>
          <w:szCs w:val="20"/>
          <w:color w:val="auto"/>
        </w:rPr>
      </w:pPr>
    </w:p>
    <w:p>
      <w:pPr>
        <w:ind w:right="20" w:firstLine="2254"/>
        <w:spacing w:after="0" w:line="260" w:lineRule="auto"/>
        <w:tabs>
          <w:tab w:leader="none" w:pos="287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subject to the proviso at the end of this clause (f), on rental proceeds of Off Balance Sheet Equipment Inventory, but only to the extent such Liens attach only to such rental proceeds;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the Liens described in the foregoing clauses (ii) and (iii), either a Vendor Intercreditor Agreement between the holder of such Lien or the applicable lessor, on the one hand, and Agent, on the other hand, has been delivered to Agent or, in cases where no such Vendor Intercreditor Agreement has been delivered to Agent, Agent shall have, in its Permitted Discretion, implemented Reserves with respect to the Accounts and Equipment Inventory subject to such Liens or made such Equipment Inventory or Accounts ineligible,</w:t>
      </w:r>
    </w:p>
    <w:p>
      <w:pPr>
        <w:spacing w:after="0" w:line="160" w:lineRule="exact"/>
        <w:rPr>
          <w:sz w:val="20"/>
          <w:szCs w:val="20"/>
          <w:color w:val="auto"/>
        </w:rPr>
      </w:pPr>
    </w:p>
    <w:p>
      <w:pPr>
        <w:jc w:val="both"/>
        <w:ind w:firstLine="1505"/>
        <w:spacing w:after="0" w:line="249" w:lineRule="auto"/>
        <w:tabs>
          <w:tab w:leader="none" w:pos="189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Liens arising by operation of law in favor of warehousemen, landlords, carriers, mechanics, materialmen, laborers, or suppliers, incurred in the ordinary course of business and not in connection with the borrowing of money, and which Liens either (i) are for sums not overdue for a period of more than 60 days, or (ii) are the subject of Permitted Protests,</w:t>
      </w:r>
    </w:p>
    <w:p>
      <w:pPr>
        <w:spacing w:after="0" w:line="187"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Liens on amounts deposited to secure Parent’s and its Restricted Subsidiaries’ obligations in connection with worker’s compensation, unemployment insurance and other social security or public liability legislation (other than ERISA) or in connection with reimbursement or indemnification obligations owing to insurance carriers providing property, casualty or liability insurance to Parent or any of its Restricted Subsidiaries,</w:t>
      </w:r>
    </w:p>
    <w:p>
      <w:pPr>
        <w:spacing w:after="0" w:line="189" w:lineRule="exact"/>
        <w:rPr>
          <w:rFonts w:ascii="Arial" w:cs="Arial" w:eastAsia="Arial" w:hAnsi="Arial"/>
          <w:sz w:val="20"/>
          <w:szCs w:val="20"/>
          <w:color w:val="auto"/>
        </w:rPr>
      </w:pPr>
    </w:p>
    <w:p>
      <w:pPr>
        <w:ind w:right="40" w:firstLine="1505"/>
        <w:spacing w:after="0" w:line="315" w:lineRule="auto"/>
        <w:tabs>
          <w:tab w:leader="none" w:pos="18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on amounts deposited to secure Parent’s and its Restricted Subsidiaries’ obligations in connection with the making or entering into of bids, tenders, or leases in the ordinary course of business and not in connection with the borrowing of money,</w:t>
      </w:r>
    </w:p>
    <w:p>
      <w:pPr>
        <w:spacing w:after="0" w:line="130" w:lineRule="exact"/>
        <w:rPr>
          <w:rFonts w:ascii="Arial" w:cs="Arial" w:eastAsia="Arial" w:hAnsi="Arial"/>
          <w:sz w:val="18"/>
          <w:szCs w:val="18"/>
          <w:color w:val="auto"/>
        </w:rPr>
      </w:pPr>
    </w:p>
    <w:p>
      <w:pPr>
        <w:ind w:firstLine="1505"/>
        <w:spacing w:after="0" w:line="260" w:lineRule="auto"/>
        <w:tabs>
          <w:tab w:leader="none" w:pos="1893" w:val="left"/>
        </w:tabs>
        <w:numPr>
          <w:ilvl w:val="0"/>
          <w:numId w:val="143"/>
        </w:numPr>
        <w:rPr>
          <w:rFonts w:ascii="Arial" w:cs="Arial" w:eastAsia="Arial" w:hAnsi="Arial"/>
          <w:sz w:val="20"/>
          <w:szCs w:val="20"/>
          <w:color w:val="auto"/>
        </w:rPr>
      </w:pPr>
      <w:r>
        <w:rPr>
          <w:rFonts w:ascii="Arial" w:cs="Arial" w:eastAsia="Arial" w:hAnsi="Arial"/>
          <w:sz w:val="20"/>
          <w:szCs w:val="20"/>
          <w:color w:val="auto"/>
        </w:rPr>
        <w:t>Liens on amounts deposited to secure Parent’s and its Restricted Subsidiaries’ reimbursement obligations with respect to surety or appeal bonds obtained in the ordinary course of business,</w:t>
      </w:r>
    </w:p>
    <w:p>
      <w:pPr>
        <w:spacing w:after="0" w:line="175" w:lineRule="exact"/>
        <w:rPr>
          <w:rFonts w:ascii="Arial" w:cs="Arial" w:eastAsia="Arial" w:hAnsi="Arial"/>
          <w:sz w:val="20"/>
          <w:szCs w:val="20"/>
          <w:color w:val="auto"/>
        </w:rPr>
      </w:pPr>
    </w:p>
    <w:p>
      <w:pPr>
        <w:ind w:right="40" w:firstLine="1505"/>
        <w:spacing w:after="0" w:line="315" w:lineRule="auto"/>
        <w:tabs>
          <w:tab w:leader="none" w:pos="189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 respect to any Real Property, easements, restrictions, rights of way, licenses, zoning restrictions, and other similar restrictions (including pursuant to Environmental Law) that do not materially interfere with or impair the use or operation thereof,</w:t>
      </w:r>
    </w:p>
    <w:p>
      <w:pPr>
        <w:spacing w:after="0" w:line="130" w:lineRule="exact"/>
        <w:rPr>
          <w:rFonts w:ascii="Arial" w:cs="Arial" w:eastAsia="Arial" w:hAnsi="Arial"/>
          <w:sz w:val="18"/>
          <w:szCs w:val="18"/>
          <w:color w:val="auto"/>
        </w:rPr>
      </w:pPr>
    </w:p>
    <w:p>
      <w:pPr>
        <w:ind w:left="1900" w:hanging="395"/>
        <w:spacing w:after="0"/>
        <w:tabs>
          <w:tab w:leader="none" w:pos="1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non-exclusive licenses of patents, trademarks, copyrights, and other intellectual property rights in the ordinary course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7" w:name="page168"/>
    <w:bookmarkEnd w:id="167"/>
    <w:p>
      <w:pPr>
        <w:ind w:right="20" w:firstLine="1505"/>
        <w:spacing w:after="0" w:line="315" w:lineRule="auto"/>
        <w:tabs>
          <w:tab w:leader="none" w:pos="189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30" w:lineRule="exact"/>
        <w:rPr>
          <w:rFonts w:ascii="Arial" w:cs="Arial" w:eastAsia="Arial" w:hAnsi="Arial"/>
          <w:sz w:val="18"/>
          <w:szCs w:val="18"/>
          <w:color w:val="auto"/>
        </w:rPr>
      </w:pPr>
    </w:p>
    <w:p>
      <w:pPr>
        <w:jc w:val="both"/>
        <w:ind w:firstLine="1505"/>
        <w:spacing w:after="0" w:line="274" w:lineRule="auto"/>
        <w:tabs>
          <w:tab w:leader="none" w:pos="189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rights of setoff or bankers’ liens upon deposits of funds in favor of banks or other depository institutions, solely to the extent incurred in connection with the maintenance of such Deposit Accounts in the ordinary course of business, (ii) Liens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 and (iii) Liens in favor of escrow agents on amounts deposited into an escrow account pending the application of such amounts to finance any Permitted Acquisition, but only to the extent such Liens secure the payment of fees, costs, expenses, and indemnities owing to or in favor of such escrow agent (in its capacity as such) in connection with such escrow agreement,</w:t>
      </w:r>
    </w:p>
    <w:p>
      <w:pPr>
        <w:spacing w:after="0" w:line="166" w:lineRule="exact"/>
        <w:rPr>
          <w:rFonts w:ascii="Arial" w:cs="Arial" w:eastAsia="Arial" w:hAnsi="Arial"/>
          <w:sz w:val="18"/>
          <w:szCs w:val="18"/>
          <w:color w:val="auto"/>
        </w:rPr>
      </w:pPr>
    </w:p>
    <w:p>
      <w:pPr>
        <w:ind w:right="40" w:firstLine="1505"/>
        <w:spacing w:after="0" w:line="286" w:lineRule="auto"/>
        <w:tabs>
          <w:tab w:leader="none" w:pos="189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53" w:lineRule="exact"/>
        <w:rPr>
          <w:rFonts w:ascii="Arial" w:cs="Arial" w:eastAsia="Arial" w:hAnsi="Arial"/>
          <w:sz w:val="19"/>
          <w:szCs w:val="19"/>
          <w:color w:val="auto"/>
        </w:rPr>
      </w:pPr>
    </w:p>
    <w:p>
      <w:pPr>
        <w:ind w:right="20" w:firstLine="1505"/>
        <w:spacing w:after="0" w:line="260"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5"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Parent or any of its Restricted Subsidiaries in connection with any letter of intent or purchase agreement with respect to a Permitted Acquisition,</w:t>
      </w:r>
    </w:p>
    <w:p>
      <w:pPr>
        <w:spacing w:after="0" w:line="175" w:lineRule="exact"/>
        <w:rPr>
          <w:rFonts w:ascii="Arial" w:cs="Arial" w:eastAsia="Arial" w:hAnsi="Arial"/>
          <w:sz w:val="20"/>
          <w:szCs w:val="20"/>
          <w:color w:val="auto"/>
        </w:rPr>
      </w:pPr>
    </w:p>
    <w:p>
      <w:pPr>
        <w:ind w:right="40" w:firstLine="1505"/>
        <w:spacing w:after="0" w:line="260"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assumed by Parent or its Restricted Subsidiaries in connection with a Permitted Acquisition that secure Acquired Indebtedness that is Permitted Indebtedness,</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right="60" w:firstLine="1505"/>
        <w:spacing w:after="0" w:line="260"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consisting of the rights of a lessee pursuant to any permitted lease of Equipment Inventory in the ordinary course of Parent’s or any of its Restricted Subsidiaries’ business,</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cash security deposits paid to landlords securing leases and subleases permitted hereunder,</w:t>
      </w:r>
    </w:p>
    <w:p>
      <w:pPr>
        <w:spacing w:after="0" w:line="214"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which do not constitute a security interest and which arise solely from precautionary Uniform Commercial Code financing statement filings,</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deposits of money securing statutory obligations of Parent or its Restricted Subsidiaries,</w:t>
      </w:r>
    </w:p>
    <w:p>
      <w:pPr>
        <w:spacing w:after="0" w:line="214" w:lineRule="exact"/>
        <w:rPr>
          <w:rFonts w:ascii="Arial" w:cs="Arial" w:eastAsia="Arial" w:hAnsi="Arial"/>
          <w:sz w:val="20"/>
          <w:szCs w:val="20"/>
          <w:color w:val="auto"/>
        </w:rPr>
      </w:pPr>
    </w:p>
    <w:p>
      <w:pPr>
        <w:jc w:val="both"/>
        <w:ind w:firstLine="1505"/>
        <w:spacing w:after="0" w:line="249"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(other than Liens on Borrowing Base Assets) arising out of conditional sale, title retention, consignment or similar arrangements for the sale of goods entered into by Parent or any Restricted Subsidiary in the ordinary course of business and not prohibited by this Agreement,</w:t>
      </w:r>
    </w:p>
    <w:p>
      <w:pPr>
        <w:spacing w:after="0" w:line="187" w:lineRule="exact"/>
        <w:rPr>
          <w:rFonts w:ascii="Arial" w:cs="Arial" w:eastAsia="Arial" w:hAnsi="Arial"/>
          <w:sz w:val="20"/>
          <w:szCs w:val="20"/>
          <w:color w:val="auto"/>
        </w:rPr>
      </w:pPr>
    </w:p>
    <w:p>
      <w:pPr>
        <w:ind w:right="20" w:firstLine="1505"/>
        <w:spacing w:after="0" w:line="260" w:lineRule="auto"/>
        <w:tabs>
          <w:tab w:leader="none" w:pos="189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on the Equity Interests of any joint venture entity consisting of a transfer restriction, purchase option, call or similar right of a third party joint venture partner,</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8" w:name="page169"/>
    <w:bookmarkEnd w:id="168"/>
    <w:p>
      <w:pPr>
        <w:jc w:val="both"/>
        <w:ind w:firstLine="1505"/>
        <w:spacing w:after="0" w:line="282" w:lineRule="auto"/>
        <w:tabs>
          <w:tab w:leader="none" w:pos="189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other Liens which (i) secure Indebtedness which (A) constitutes Permitted Indebtedness and (B) does not exceed the greater of (i) $10,000,000 and (ii) 4% of EBITDA as of the last day of the most recently ended 12-month period for which financial statements are required to be delivered pursuant to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prior to any date of determination and (ii) to the extent such Liens attach to any Borrowing Base Assets, are subject to a subordination agreement in form and substance satisfactory to Agent.</w:t>
      </w:r>
    </w:p>
    <w:p>
      <w:pPr>
        <w:spacing w:after="0" w:line="160" w:lineRule="exact"/>
        <w:rPr>
          <w:sz w:val="20"/>
          <w:szCs w:val="20"/>
          <w:color w:val="auto"/>
        </w:rPr>
      </w:pPr>
    </w:p>
    <w:p>
      <w:pPr>
        <w:jc w:val="both"/>
        <w:ind w:firstLine="154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Protest</w:t>
      </w:r>
      <w:r>
        <w:rPr>
          <w:rFonts w:ascii="Arial" w:cs="Arial" w:eastAsia="Arial" w:hAnsi="Arial"/>
          <w:sz w:val="20"/>
          <w:szCs w:val="20"/>
          <w:color w:val="auto"/>
        </w:rPr>
        <w:t xml:space="preserve">” means the right of any Loan Party or any of its Restricted Subsidiaries to protest any Lien (other than any Lien that secures the Obligations), Tax, or rental payment; </w:t>
      </w:r>
      <w:r>
        <w:rPr>
          <w:rFonts w:ascii="Arial" w:cs="Arial" w:eastAsia="Arial" w:hAnsi="Arial"/>
          <w:sz w:val="20"/>
          <w:szCs w:val="20"/>
          <w:u w:val="single" w:color="auto"/>
          <w:color w:val="auto"/>
        </w:rPr>
        <w:t>provided</w:t>
      </w:r>
      <w:r>
        <w:rPr>
          <w:rFonts w:ascii="Arial" w:cs="Arial" w:eastAsia="Arial" w:hAnsi="Arial"/>
          <w:sz w:val="20"/>
          <w:szCs w:val="20"/>
          <w:color w:val="auto"/>
        </w:rPr>
        <w:t>, that (a) a reserve with respect to such obligation is established on such Loan Party’s or its Restricted Subsidiaries’ books and records in such amount as is required under GAAP, (b) any such protest is instituted promptly and prosecuted diligently by such Loan Party or its Restricted Subsidiary, as applicable, in good faith, and (c) Agent in its Permitted Discretion is satisfied that, while any such protest is pending, there will be no impairment of the enforceability, validity, or priority of any of Agent’s Liens.</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Purchase Money Indebtedness</w:t>
      </w:r>
      <w:r>
        <w:rPr>
          <w:rFonts w:ascii="Arial" w:cs="Arial" w:eastAsia="Arial" w:hAnsi="Arial"/>
          <w:sz w:val="20"/>
          <w:szCs w:val="20"/>
          <w:color w:val="auto"/>
        </w:rPr>
        <w:t>” means:</w:t>
      </w:r>
    </w:p>
    <w:p>
      <w:pPr>
        <w:spacing w:after="0" w:line="215" w:lineRule="exact"/>
        <w:rPr>
          <w:sz w:val="20"/>
          <w:szCs w:val="20"/>
          <w:color w:val="auto"/>
        </w:rPr>
      </w:pPr>
    </w:p>
    <w:p>
      <w:pPr>
        <w:ind w:right="140" w:firstLine="1505"/>
        <w:spacing w:after="0" w:line="263" w:lineRule="auto"/>
        <w:tabs>
          <w:tab w:leader="none" w:pos="205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as of any date of determination, Indebtedness (other than the Obligations, but including Capitalized Lease Obligations), incurred by Parent or any of its Restricted Subsidiaries in the ordinary course of business after the Sixth Restatement Effective Date and at the time of, or within 90 days after, the acquisition of any fixed assets for the purpose of financing all or any part of the acquisition cost thereof, in an aggregate principal amount outstanding at any one time not in excess of $50,000,000, and</w:t>
      </w:r>
    </w:p>
    <w:p>
      <w:pPr>
        <w:spacing w:after="0" w:line="174" w:lineRule="exact"/>
        <w:rPr>
          <w:rFonts w:ascii="Arial" w:cs="Arial" w:eastAsia="Arial" w:hAnsi="Arial"/>
          <w:sz w:val="19"/>
          <w:szCs w:val="19"/>
          <w:color w:val="auto"/>
        </w:rPr>
      </w:pPr>
    </w:p>
    <w:p>
      <w:pPr>
        <w:ind w:right="60" w:firstLine="1505"/>
        <w:spacing w:after="0" w:line="246" w:lineRule="auto"/>
        <w:tabs>
          <w:tab w:leader="none" w:pos="210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Indebtedness (other than the Obligations, but including Capital Leases) consisting of Indebtedness incurred at the time of, and for the purpose of financing, the acquisition of Equipment Inventory (including Floor Plan Financing) by Parent or any of its Restricted Subsidiaries in the ordinary course of business, so long as the aggregate principal amount of such Indebtedness does not exceed, at any time, $175,000,000.</w:t>
      </w:r>
    </w:p>
    <w:p>
      <w:pPr>
        <w:spacing w:after="0" w:line="190"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Sale Leaseback</w:t>
      </w:r>
      <w:r>
        <w:rPr>
          <w:rFonts w:ascii="Arial" w:cs="Arial" w:eastAsia="Arial" w:hAnsi="Arial"/>
          <w:sz w:val="18"/>
          <w:szCs w:val="18"/>
          <w:color w:val="auto"/>
        </w:rPr>
        <w:t xml:space="preserve">” means any Sale Leaseback consummated by any Borrower or any of its Restricted Subsidiaries after the Sixth Restatement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Sale Leaseback which is not solely between (a) Loan Parties,</w:t>
      </w:r>
    </w:p>
    <w:p>
      <w:pPr>
        <w:jc w:val="both"/>
        <w:ind w:firstLine="8"/>
        <w:spacing w:after="0" w:line="276" w:lineRule="auto"/>
        <w:tabs>
          <w:tab w:leader="none" w:pos="29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Domestic Subsidiaries which are neither Loan Parties nor Unrestricted Subsidiaries, (c) Foreign Subsidiaries which are not Unrestricted Subsidiaries must be, in each case, consummated for fair value as determined at the time of the consummation of such Sale Leaseback in good faith by the applicable Loan Party or Restricted Subsidiary (which such determination may take into account any retained interest or other Investment of such Loan Party in connection with, and any other material economic terms of, such Sale Leaseback).</w:t>
      </w:r>
    </w:p>
    <w:p>
      <w:pPr>
        <w:spacing w:after="0" w:line="16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8" w:lineRule="exact"/>
        <w:rPr>
          <w:sz w:val="20"/>
          <w:szCs w:val="20"/>
          <w:color w:val="auto"/>
        </w:rPr>
      </w:pPr>
    </w:p>
    <w:p>
      <w:pPr>
        <w:jc w:val="both"/>
        <w:ind w:firstLine="149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9" w:name="page170"/>
    <w:bookmarkEnd w:id="169"/>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Post-Increase Revolver Lenders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Pre-Increase Revolver Lenders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means, as of any date of determination:</w:t>
      </w:r>
    </w:p>
    <w:p>
      <w:pPr>
        <w:spacing w:after="0" w:line="215" w:lineRule="exact"/>
        <w:rPr>
          <w:sz w:val="20"/>
          <w:szCs w:val="20"/>
          <w:color w:val="auto"/>
        </w:rPr>
      </w:pPr>
    </w:p>
    <w:p>
      <w:pPr>
        <w:jc w:val="both"/>
        <w:ind w:firstLine="1505"/>
        <w:spacing w:after="0" w:line="246" w:lineRule="auto"/>
        <w:tabs>
          <w:tab w:leader="none" w:pos="1893" w:val="left"/>
        </w:tabs>
        <w:numPr>
          <w:ilvl w:val="1"/>
          <w:numId w:val="148"/>
        </w:numPr>
        <w:rPr>
          <w:rFonts w:ascii="Arial" w:cs="Arial" w:eastAsia="Arial" w:hAnsi="Arial"/>
          <w:sz w:val="20"/>
          <w:szCs w:val="20"/>
          <w:color w:val="auto"/>
        </w:rPr>
      </w:pPr>
      <w:r>
        <w:rPr>
          <w:rFonts w:ascii="Arial" w:cs="Arial" w:eastAsia="Arial" w:hAnsi="Arial"/>
          <w:sz w:val="20"/>
          <w:szCs w:val="20"/>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89" w:lineRule="exact"/>
        <w:rPr>
          <w:rFonts w:ascii="Arial" w:cs="Arial" w:eastAsia="Arial" w:hAnsi="Arial"/>
          <w:sz w:val="20"/>
          <w:szCs w:val="20"/>
          <w:color w:val="auto"/>
        </w:rPr>
      </w:pPr>
    </w:p>
    <w:p>
      <w:pPr>
        <w:jc w:val="both"/>
        <w:ind w:firstLine="1505"/>
        <w:spacing w:after="0" w:line="275" w:lineRule="auto"/>
        <w:tabs>
          <w:tab w:leader="none" w:pos="189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with respect to a Lender’s obligation to participate in the Letters of Credit, with respect to such Lender’s obligation to reimburse each Issuing Bank, and with respect to such Lender’s right to receive payments of Letter of Credit Fees, and with respect to all other computations and other matters related to the Letters of Credit, the percentage obtained by dividing (i) the Revolving Loan Exposure of such Lender, by (ii) the aggregate Revolving Loan Exposure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if all of the Revolving Loans have been repaid in full and all Revolver Commitments have been terminated, but Letters of Credit remain outstanding, Pro Rata Share under this clause shall be the percentage obtained by dividing (a) the Letter of Credit Exposure of such Lender, by (b) the Letter of Credit Exposure of all Lenders, and</w:t>
      </w:r>
    </w:p>
    <w:p>
      <w:pPr>
        <w:spacing w:after="0" w:line="168" w:lineRule="exact"/>
        <w:rPr>
          <w:rFonts w:ascii="Arial" w:cs="Arial" w:eastAsia="Arial" w:hAnsi="Arial"/>
          <w:sz w:val="18"/>
          <w:szCs w:val="18"/>
          <w:color w:val="auto"/>
        </w:rPr>
      </w:pPr>
    </w:p>
    <w:p>
      <w:pPr>
        <w:jc w:val="both"/>
        <w:ind w:firstLine="1505"/>
        <w:spacing w:after="0" w:line="303" w:lineRule="auto"/>
        <w:tabs>
          <w:tab w:leader="none" w:pos="189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and for all other matters as to a particular Lender (including the indemnification obligations arising under </w:t>
      </w:r>
      <w:r>
        <w:rPr>
          <w:rFonts w:ascii="Arial" w:cs="Arial" w:eastAsia="Arial" w:hAnsi="Arial"/>
          <w:sz w:val="16"/>
          <w:szCs w:val="16"/>
          <w:u w:val="single" w:color="auto"/>
          <w:color w:val="auto"/>
        </w:rPr>
        <w:t>Section 15.7</w:t>
      </w:r>
      <w:r>
        <w:rPr>
          <w:rFonts w:ascii="Arial" w:cs="Arial" w:eastAsia="Arial" w:hAnsi="Arial"/>
          <w:sz w:val="16"/>
          <w:szCs w:val="16"/>
          <w:color w:val="auto"/>
        </w:rPr>
        <w:t xml:space="preserve"> 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Loans have been repaid in full and all Commitments have been terminated, Pro Rata Share under this clause shall be the percentage obtained by dividing (a) the Letter of Credit Exposure of such Lender, by</w:t>
      </w:r>
    </w:p>
    <w:p>
      <w:pPr>
        <w:ind w:left="280" w:hanging="272"/>
        <w:spacing w:after="0"/>
        <w:tabs>
          <w:tab w:leader="none" w:pos="2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Letter of Credit Exposure of all Lenders.</w:t>
      </w:r>
    </w:p>
    <w:p>
      <w:pPr>
        <w:spacing w:after="0" w:line="199"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Projections</w:t>
      </w:r>
      <w:r>
        <w:rPr>
          <w:rFonts w:ascii="Arial" w:cs="Arial" w:eastAsia="Arial" w:hAnsi="Arial"/>
          <w:sz w:val="19"/>
          <w:szCs w:val="19"/>
          <w:color w:val="auto"/>
        </w:rPr>
        <w:t xml:space="preserve">” means Parent’s forecasted (a) balance sheets, (b) profit and loss statements, and (c) cash flow statements, all prepared on a basis consistent with Parent’s historical financial statements (except to the extent of any amendment permitted by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this Agreement), together with appropriate supporting details and a statement of underlying assumptions.</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Protective Advances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2.3(d)(i)</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means, with respect to any Acquisition, an amount equal to the aggregate consideration, whether cash, property or securities (including the fair market value of any Equity Interests of Parent issued in connection with such Acquisition and including the amount of Earn-Outs (valued in accordance with GAAP as the estimated amount thereof), paid or delivered by a Loan Party or one of its Restricted Subsidiaries in connection with such Acquisition (whether paid at the closing thereof or payable thereafter and whether fixed or contingent), but excluding therefrom (a) any cash of the seller and its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0" w:name="page171"/>
    <w:bookmarkEnd w:id="170"/>
    <w:p>
      <w:pPr>
        <w:jc w:val="both"/>
        <w:spacing w:after="0" w:line="249" w:lineRule="auto"/>
        <w:rPr>
          <w:sz w:val="20"/>
          <w:szCs w:val="20"/>
          <w:color w:val="auto"/>
        </w:rPr>
      </w:pPr>
      <w:r>
        <w:rPr>
          <w:rFonts w:ascii="Arial" w:cs="Arial" w:eastAsia="Arial" w:hAnsi="Arial"/>
          <w:sz w:val="20"/>
          <w:szCs w:val="20"/>
          <w:color w:val="auto"/>
        </w:rPr>
        <w:t>Affiliates used to fund any portion of such consideration and (b) any cash or Cash Equivalents acquired in connection with such Acquisition and (c) all fees, costs and expenses paid or payable in connection with the structuring, negotiation, documentation or consummation of such Acquisition (other than to the seller or sellers under such Acquisition).</w:t>
      </w:r>
    </w:p>
    <w:p>
      <w:pPr>
        <w:spacing w:after="0" w:line="188"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 5390(c)(8)(D).</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17.17</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and refers to any Equity Interests issued by Parent (and not by one or more of its Restricted Subsidiaries) that is not a Disqualified Equity Interest.</w:t>
      </w:r>
    </w:p>
    <w:p>
      <w:pPr>
        <w:spacing w:after="0" w:line="17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any estates or interests in real property now owned or hereafter acquired by any Loan Party or any of its Restricted Subsidiaries and the improvements thereto.</w:t>
      </w:r>
    </w:p>
    <w:p>
      <w:pPr>
        <w:spacing w:after="0" w:line="17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w:t>
      </w:r>
      <w:r>
        <w:rPr>
          <w:rFonts w:ascii="Arial" w:cs="Arial" w:eastAsia="Arial" w:hAnsi="Arial"/>
          <w:sz w:val="20"/>
          <w:szCs w:val="20"/>
          <w:color w:val="auto"/>
        </w:rPr>
        <w:t>” means information that is inscribed on a tangible medium or that is stored in an electronic or other medium and is retrievable in perceivable form.</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Period</w:t>
      </w:r>
      <w:r>
        <w:rPr>
          <w:rFonts w:ascii="Arial" w:cs="Arial" w:eastAsia="Arial" w:hAnsi="Arial"/>
          <w:sz w:val="20"/>
          <w:szCs w:val="20"/>
          <w:color w:val="auto"/>
        </w:rPr>
        <w:t>” has the meaning set forth in the definition of EBITDA.</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Indebtedness</w:t>
      </w:r>
      <w:r>
        <w:rPr>
          <w:rFonts w:ascii="Arial" w:cs="Arial" w:eastAsia="Arial" w:hAnsi="Arial"/>
          <w:sz w:val="20"/>
          <w:szCs w:val="20"/>
          <w:color w:val="auto"/>
        </w:rPr>
        <w:t>” means refinancings, renewals, or extensions of Indebtedness so long as:</w:t>
      </w:r>
    </w:p>
    <w:p>
      <w:pPr>
        <w:spacing w:after="0" w:line="215" w:lineRule="exact"/>
        <w:rPr>
          <w:sz w:val="20"/>
          <w:szCs w:val="20"/>
          <w:color w:val="auto"/>
        </w:rPr>
      </w:pPr>
    </w:p>
    <w:p>
      <w:pPr>
        <w:jc w:val="both"/>
        <w:ind w:firstLine="1505"/>
        <w:spacing w:after="0" w:line="249" w:lineRule="auto"/>
        <w:tabs>
          <w:tab w:leader="none" w:pos="189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such refinancings, renewals, or extensions do not result in an increase in the principal amount of the Indebtedness so refinanced, renewed, or extended, other than by the amount of accrued interest and premiums paid thereon and the fees and expenses incurred in connection therewith and by the amount of unfunded commitments with respect thereto,</w:t>
      </w:r>
    </w:p>
    <w:p>
      <w:pPr>
        <w:spacing w:after="0" w:line="187"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89" w:lineRule="exact"/>
        <w:rPr>
          <w:rFonts w:ascii="Arial" w:cs="Arial" w:eastAsia="Arial" w:hAnsi="Arial"/>
          <w:sz w:val="20"/>
          <w:szCs w:val="20"/>
          <w:color w:val="auto"/>
        </w:rPr>
      </w:pPr>
    </w:p>
    <w:p>
      <w:pPr>
        <w:jc w:val="both"/>
        <w:ind w:firstLine="1505"/>
        <w:spacing w:after="0" w:line="290" w:lineRule="auto"/>
        <w:tabs>
          <w:tab w:leader="none" w:pos="189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spacing w:after="0" w:line="153" w:lineRule="exact"/>
        <w:rPr>
          <w:rFonts w:ascii="Arial" w:cs="Arial" w:eastAsia="Arial" w:hAnsi="Arial"/>
          <w:sz w:val="18"/>
          <w:szCs w:val="18"/>
          <w:color w:val="auto"/>
        </w:rPr>
      </w:pPr>
    </w:p>
    <w:p>
      <w:pPr>
        <w:ind w:firstLine="1505"/>
        <w:spacing w:after="0" w:line="315" w:lineRule="auto"/>
        <w:tabs>
          <w:tab w:leader="none" w:pos="189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30" w:lineRule="exact"/>
        <w:rPr>
          <w:rFonts w:ascii="Arial" w:cs="Arial" w:eastAsia="Arial" w:hAnsi="Arial"/>
          <w:sz w:val="18"/>
          <w:szCs w:val="18"/>
          <w:color w:val="auto"/>
        </w:rPr>
      </w:pPr>
    </w:p>
    <w:p>
      <w:pPr>
        <w:ind w:left="1900" w:hanging="395"/>
        <w:spacing w:after="0"/>
        <w:tabs>
          <w:tab w:leader="none" w:pos="1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Indebtedness that is refinanced, renewed or extended was unsecured, such refinancing, renewal or extension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shall be unsecured, and</w:t>
      </w:r>
    </w:p>
    <w:p>
      <w:pPr>
        <w:spacing w:after="0" w:line="198" w:lineRule="exact"/>
        <w:rPr>
          <w:rFonts w:ascii="Arial" w:cs="Arial" w:eastAsia="Arial" w:hAnsi="Arial"/>
          <w:sz w:val="18"/>
          <w:szCs w:val="18"/>
          <w:color w:val="auto"/>
        </w:rPr>
      </w:pPr>
    </w:p>
    <w:p>
      <w:pPr>
        <w:jc w:val="both"/>
        <w:ind w:right="20" w:firstLine="1505"/>
        <w:spacing w:after="0" w:line="249" w:lineRule="auto"/>
        <w:tabs>
          <w:tab w:leader="none" w:pos="189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the Indebtedness that is refinanced, renewed, or extended was secured (i) such refinancing, renewal, or extension shall be secured by substantially the same or less collateral as secured such refinanced, renewed or extended Indebtedness on terms no less favorable to Agent or the Lender Group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1" w:name="page172"/>
    <w:bookmarkEnd w:id="171"/>
    <w:p>
      <w:pPr>
        <w:spacing w:after="0" w:line="260" w:lineRule="auto"/>
        <w:rPr>
          <w:sz w:val="20"/>
          <w:szCs w:val="20"/>
          <w:color w:val="auto"/>
        </w:rPr>
      </w:pPr>
      <w:r>
        <w:rPr>
          <w:rFonts w:ascii="Arial" w:cs="Arial" w:eastAsia="Arial" w:hAnsi="Arial"/>
          <w:sz w:val="20"/>
          <w:szCs w:val="20"/>
          <w:color w:val="auto"/>
        </w:rPr>
        <w:t>in any material respect and (ii) the Liens securing such refinancing, renewal or extension shall not have a priority more senior than the Liens securing such Indebtedness that is refinanced, renewed or extended.</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2.3(f)</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and that is administered, advised or managed by (a) a Lender,</w:t>
      </w:r>
    </w:p>
    <w:p>
      <w:pPr>
        <w:ind w:left="1500" w:right="1980" w:hanging="1492"/>
        <w:spacing w:after="0" w:line="456" w:lineRule="auto"/>
        <w:tabs>
          <w:tab w:leader="none" w:pos="282"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 Affiliate of a Lender, or (c) an entity or an Affiliate of an entity that administers, advises or manages a Lender. “</w:t>
      </w:r>
      <w:r>
        <w:rPr>
          <w:rFonts w:ascii="Arial" w:cs="Arial" w:eastAsia="Arial" w:hAnsi="Arial"/>
          <w:sz w:val="20"/>
          <w:szCs w:val="20"/>
          <w:u w:val="single" w:color="auto"/>
          <w:color w:val="auto"/>
        </w:rPr>
        <w:t>Related Party</w:t>
      </w:r>
      <w:r>
        <w:rPr>
          <w:rFonts w:ascii="Arial" w:cs="Arial" w:eastAsia="Arial" w:hAnsi="Arial"/>
          <w:sz w:val="20"/>
          <w:szCs w:val="20"/>
          <w:color w:val="auto"/>
        </w:rPr>
        <w:t>” means:</w:t>
      </w:r>
    </w:p>
    <w:p>
      <w:pPr>
        <w:ind w:right="80" w:firstLine="1505"/>
        <w:spacing w:after="0" w:line="286" w:lineRule="auto"/>
        <w:tabs>
          <w:tab w:leader="none" w:pos="1893"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any controlling stockholder, general partner or managing member of any Permitted Holder, any majority owned Subsidiary of any Permitted Holder, or any immediate family member (in the case of an individual) of any Permitted Holder; or</w:t>
      </w:r>
    </w:p>
    <w:p>
      <w:pPr>
        <w:spacing w:after="0" w:line="153" w:lineRule="exact"/>
        <w:rPr>
          <w:rFonts w:ascii="Arial" w:cs="Arial" w:eastAsia="Arial" w:hAnsi="Arial"/>
          <w:sz w:val="19"/>
          <w:szCs w:val="19"/>
          <w:color w:val="auto"/>
        </w:rPr>
      </w:pPr>
    </w:p>
    <w:p>
      <w:pPr>
        <w:jc w:val="both"/>
        <w:ind w:firstLine="1505"/>
        <w:spacing w:after="0" w:line="249" w:lineRule="auto"/>
        <w:tabs>
          <w:tab w:leader="none" w:pos="1893"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any trust, corporation, partnership, limited liability company or other entity, the beneficiaries, stockholders, partners, members, owners or Persons beneficially holding a majority interest of which consist of any one or more Permitted Holder and/or such other Persons referred to in the immediately preceding clause (a).</w:t>
      </w:r>
    </w:p>
    <w:p>
      <w:pPr>
        <w:spacing w:after="0" w:line="18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88"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Remedial Action</w:t>
      </w:r>
      <w:r>
        <w:rPr>
          <w:rFonts w:ascii="Arial" w:cs="Arial" w:eastAsia="Arial" w:hAnsi="Arial"/>
          <w:sz w:val="20"/>
          <w:szCs w:val="20"/>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15.16</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on any date of determination, (a) those Lenders who collectively hold more than 50% of the Commitments, or (b) if the Commitments have been terminated, those Lenders who collectively hold more than 50% of the Revolving Loan Exposure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Commitments and Revolving Loan Exposure of any Defaulting Lender shall be disregarded in the determination of the Required Lenders and (ii) at any time there are two or more Lenders (who are not Affiliates of one another or Defaulting Lenders), “Required Lenders” must include at least two Lenders (who are not Affiliates of one another).</w:t>
      </w:r>
    </w:p>
    <w:p>
      <w:pPr>
        <w:spacing w:after="0" w:line="163"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Reserves</w:t>
      </w:r>
      <w:r>
        <w:rPr>
          <w:rFonts w:ascii="Arial" w:cs="Arial" w:eastAsia="Arial" w:hAnsi="Arial"/>
          <w:sz w:val="18"/>
          <w:szCs w:val="18"/>
          <w:color w:val="auto"/>
        </w:rPr>
        <w:t xml:space="preserve">” means, as of any date of determination, without duplication, reserves that Agent deems necessary or appropriate, in its Permitted Discretion and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to establish and maintain against the Borrowing Base or the Maximum Revolver Amount which may be instituted by Agent upon three Business Days’ prior notice to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such three-Business-Day period, Borrowers will not be permitted to request any Borrowing or the issuance of any Letter of Credit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2" w:name="page173"/>
    <w:bookmarkEnd w:id="172"/>
    <w:p>
      <w:pPr>
        <w:jc w:val="both"/>
        <w:spacing w:after="0" w:line="253" w:lineRule="auto"/>
        <w:rPr>
          <w:sz w:val="20"/>
          <w:szCs w:val="20"/>
          <w:color w:val="auto"/>
        </w:rPr>
      </w:pPr>
      <w:r>
        <w:rPr>
          <w:rFonts w:ascii="Arial" w:cs="Arial" w:eastAsia="Arial" w:hAnsi="Arial"/>
          <w:sz w:val="19"/>
          <w:szCs w:val="19"/>
          <w:color w:val="auto"/>
        </w:rPr>
        <w:t xml:space="preserve">the extent the making of such Borrowing or the issuance of such Letter of Credit would cause Revolver Usage to exceed Availability (calculated as if such Reserve had been implemented)), including, without limitation, (a) landlord, bailee, and similar reserves with respect to each location at which any Borrowing Base Assets, other Collateral, or books and records are located but for which such Loan Party has not obtained a Collateral Access Agreement in accordance with </w:t>
      </w:r>
      <w:r>
        <w:rPr>
          <w:rFonts w:ascii="Arial" w:cs="Arial" w:eastAsia="Arial" w:hAnsi="Arial"/>
          <w:sz w:val="19"/>
          <w:szCs w:val="19"/>
          <w:u w:val="single" w:color="auto"/>
          <w:color w:val="auto"/>
        </w:rPr>
        <w:t>Section 5.15</w:t>
      </w:r>
      <w:r>
        <w:rPr>
          <w:rFonts w:ascii="Arial" w:cs="Arial" w:eastAsia="Arial" w:hAnsi="Arial"/>
          <w:sz w:val="19"/>
          <w:szCs w:val="19"/>
          <w:color w:val="auto"/>
        </w:rPr>
        <w:t>, which reserve may be in an amount equal to up to three months’ rent, storage charges, fees or other amounts owing by such Loan Party to such landlord or bailee under the lease or other applicable agreements relative to such location; (b) with respect to Accounts and other rights to payment, Dilution Reserves and other reserves for rebates, discounts, warranty claims, and returns; (c) with respect to Inventory and Equipment, reserves for Inventory shrinkage, condition, or merchantability, whether or not based on appraisals; (d) Bank Products Reserves; and (e) reserves with respect to (i) sums that Parent or any of its Restricted Subsidiaries are required to pay under this Agreement or any other Loan Document (such as taxes, assessments, insurance premiums, or, in the case of leased assets, rents or other amounts payable under such leases) and has failed to pay and (ii) amounts owing by Parent or any of its Restricted Subsidiaries to any Person to the extent secured by a Lien on, or trust over, any of the Collateral, which Lien or trust, in the Permitted Discretion of Agent likely would have a priority superior to the Agent’s Liens (such as Liens or trusts in favor of landlords, warehousemen, carriers, mechanics, materialmen, laborers, or suppliers, or Liens or trusts for ad valorem, excise, sales, or other taxes where given priority under applicable law) in and to such item of the Collateral). Notwithstanding anything herein or in any other Loan Document to the contrary, Reserves shall not be established to the extent that such Reserves would be duplicative of any specific item excluded as ineligible in the definitions of “Eligible Accounts,” “Eligible Equipment Inventory,” “Eligible Parts and Tools Inventory,” and “Eligible Rolling Stock.”</w:t>
      </w:r>
    </w:p>
    <w:p>
      <w:pPr>
        <w:spacing w:after="0" w:line="197"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6"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declaration or payment of any dividend or the making of any other payment or distribution, directly or indirectly, on account of Equity Interests issued by Parent or any of its Restricted Subsidiaries (including any payment in connection with any merger or consolidation involving Parent) or to the direct or indirect holders of Equity Interests issued by Parent or any of its Restricted Subsidiaries in their capacity as such (other than dividends or distributions payable in Qualified Equity Interests issued by Parent or any of its Restricted Subsidiaries), or (b) any purchase, redemption, making of any sinking fund or similar payment, or other acquisition or retirement for value (including in connection with any merger or consolidation involving Parent) any Equity Interests issued by Parent or any of its Restricted Subsidiaries, or (c) any making of any payment to retire, or to obtain the surrender of, any outstanding warrants, options, or other rights to acquire Equity Interests of Parent or any Restricted Subsidiary now or hereafter outstanding.</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any Subsidiary of the Parent other than an Unrestricted Subsidiary.</w:t>
      </w:r>
    </w:p>
    <w:p>
      <w:pPr>
        <w:spacing w:after="0" w:line="215"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Commitment</w:t>
      </w:r>
      <w:r>
        <w:rPr>
          <w:rFonts w:ascii="Arial" w:cs="Arial" w:eastAsia="Arial" w:hAnsi="Arial"/>
          <w:sz w:val="18"/>
          <w:szCs w:val="18"/>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this Agreement or in the Assignment and Acceptance or Increase Joinder pursuant to which such Revolving Lender became a Revolving Lender under this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 and as such amounts may be decreased by the amount of reductions in the Revolver Commitments made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3" w:name="page174"/>
    <w:bookmarkEnd w:id="173"/>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Usage</w:t>
      </w:r>
      <w:r>
        <w:rPr>
          <w:rFonts w:ascii="Arial" w:cs="Arial" w:eastAsia="Arial" w:hAnsi="Arial"/>
          <w:sz w:val="20"/>
          <w:szCs w:val="20"/>
          <w:color w:val="auto"/>
        </w:rPr>
        <w:t xml:space="preserve">” means, as of any date of determination, the sum of (a) the principal amount of outstanding Revolving Loans (inclusive of Swing Loans and Protective Advances),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amount of the Letter of Credit Usage.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 Lender that has a Revolving Loan Exposure or Letter of Credit Exposure.</w:t>
      </w:r>
    </w:p>
    <w:p>
      <w:pPr>
        <w:spacing w:after="0" w:line="215" w:lineRule="exact"/>
        <w:rPr>
          <w:sz w:val="20"/>
          <w:szCs w:val="20"/>
          <w:color w:val="auto"/>
        </w:rPr>
      </w:pPr>
    </w:p>
    <w:p>
      <w:pPr>
        <w:jc w:val="both"/>
        <w:ind w:firstLine="1547"/>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Exposure</w:t>
      </w:r>
      <w:r>
        <w:rPr>
          <w:rFonts w:ascii="Arial" w:cs="Arial" w:eastAsia="Arial" w:hAnsi="Arial"/>
          <w:sz w:val="20"/>
          <w:szCs w:val="20"/>
          <w:color w:val="auto"/>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Stock</w:t>
      </w:r>
      <w:r>
        <w:rPr>
          <w:rFonts w:ascii="Arial" w:cs="Arial" w:eastAsia="Arial" w:hAnsi="Arial"/>
          <w:sz w:val="18"/>
          <w:szCs w:val="18"/>
          <w:color w:val="auto"/>
        </w:rPr>
        <w:t>” means M&amp;E which is automobile equipment, a trailer, a truck, a forklift, a motor vehicle or other rolling</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stock.</w:t>
      </w:r>
    </w:p>
    <w:p>
      <w:pPr>
        <w:spacing w:after="0" w:line="199"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Leaseback</w:t>
      </w:r>
      <w:r>
        <w:rPr>
          <w:rFonts w:ascii="Arial" w:cs="Arial" w:eastAsia="Arial" w:hAnsi="Arial"/>
          <w:sz w:val="18"/>
          <w:szCs w:val="18"/>
          <w:color w:val="auto"/>
        </w:rPr>
        <w:t>” means any transaction or series of related transactions pursuant to which any Borrower or any of its Restricted Subsidiaries (a) sells, transfers or otherwise disposes of any owned Real Property, whether now owned or hereafter acquired, and</w:t>
      </w:r>
    </w:p>
    <w:p>
      <w:pPr>
        <w:ind w:firstLine="8"/>
        <w:spacing w:after="0" w:line="243" w:lineRule="auto"/>
        <w:tabs>
          <w:tab w:leader="none" w:pos="287"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as part of such transaction, thereafter rents or leases such property that it intends to use for substantially the same purpose or purposes as the property being sold, transferred or disposed.</w:t>
      </w:r>
    </w:p>
    <w:p>
      <w:pPr>
        <w:spacing w:after="0" w:line="193"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Entity</w:t>
      </w:r>
      <w:r>
        <w:rPr>
          <w:rFonts w:ascii="Arial" w:cs="Arial" w:eastAsia="Arial" w:hAnsi="Arial"/>
          <w:sz w:val="19"/>
          <w:szCs w:val="19"/>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sanctions program administered and enforced by OFAC.</w:t>
      </w:r>
    </w:p>
    <w:p>
      <w:pPr>
        <w:spacing w:after="0" w:line="175"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w:t>
      </w:r>
    </w:p>
    <w:p>
      <w:pPr>
        <w:spacing w:after="0" w:line="3" w:lineRule="exact"/>
        <w:rPr>
          <w:sz w:val="20"/>
          <w:szCs w:val="20"/>
          <w:color w:val="auto"/>
        </w:rPr>
      </w:pPr>
    </w:p>
    <w:p>
      <w:pPr>
        <w:ind w:firstLine="8"/>
        <w:spacing w:after="0" w:line="243" w:lineRule="auto"/>
        <w:tabs>
          <w:tab w:leader="none" w:pos="30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any Person directly or indirectly owned or controlled (individually or in the aggregate) by or acting on behalf of any such Person or Persons described in clauses (a) through (c) above.</w:t>
      </w:r>
    </w:p>
    <w:p>
      <w:pPr>
        <w:spacing w:after="0" w:line="192"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(e) any other Governmental Authority with jurisdiction over any member of Lender Group or any Loan Party or any of their respective Subsidiaries or Affiliates.</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has the meaning specified therefor in the definition of Cash Equivalents.</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 and any successor thereto.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4" w:name="page175"/>
    <w:bookmarkEnd w:id="174"/>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w:t>
      </w:r>
      <w:r>
        <w:rPr>
          <w:rFonts w:ascii="Arial" w:cs="Arial" w:eastAsia="Arial" w:hAnsi="Arial"/>
          <w:sz w:val="20"/>
          <w:szCs w:val="20"/>
          <w:color w:val="auto"/>
        </w:rPr>
        <w:t>” means a securities account (as that term is defined in the Code).</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from time to time, and any successor statute.</w:t>
      </w:r>
    </w:p>
    <w:p>
      <w:pPr>
        <w:spacing w:after="0" w:line="215" w:lineRule="exact"/>
        <w:rPr>
          <w:sz w:val="20"/>
          <w:szCs w:val="20"/>
          <w:color w:val="auto"/>
        </w:rPr>
      </w:pPr>
    </w:p>
    <w:p>
      <w:pPr>
        <w:jc w:val="both"/>
        <w:ind w:firstLine="149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means the Guaranty and Security Agreement and each other security document executed and delivered by a Loan Party to the Agent granting or purporting to grant a Lien on such Loan Party’s assets to secure any of the Obligations, in each case, as the same may be amended, restated, supplemented, or otherwise modified from time to time.</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2.3(e)(i)</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2.3(e)(i)</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Sixth Restatement Effective Date</w:t>
      </w:r>
      <w:r>
        <w:rPr>
          <w:rFonts w:ascii="Arial" w:cs="Arial" w:eastAsia="Arial" w:hAnsi="Arial"/>
          <w:sz w:val="20"/>
          <w:szCs w:val="20"/>
          <w:color w:val="auto"/>
        </w:rPr>
        <w:t>” means February 2, 2023.</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a rate equal to the secured overnight financing rate as administered by the SOFR Administrator.</w:t>
      </w:r>
    </w:p>
    <w:p>
      <w:pPr>
        <w:spacing w:after="0" w:line="22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Deadline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2.12(b)(i)</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means each portion of a Revolving Loan that bears interest at a rate determined by reference to Adjusted Term SOFR (other than pursuant to clause (c) of the definition of “Base Rate”).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Margin</w:t>
      </w:r>
      <w:r>
        <w:rPr>
          <w:rFonts w:ascii="Arial" w:cs="Arial" w:eastAsia="Arial" w:hAnsi="Arial"/>
          <w:sz w:val="20"/>
          <w:szCs w:val="20"/>
          <w:color w:val="auto"/>
        </w:rPr>
        <w:t>” has the meaning specified therefor in the definition of “Applicable Margin”.</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Notice</w:t>
      </w:r>
      <w:r>
        <w:rPr>
          <w:rFonts w:ascii="Arial" w:cs="Arial" w:eastAsia="Arial" w:hAnsi="Arial"/>
          <w:sz w:val="20"/>
          <w:szCs w:val="20"/>
          <w:color w:val="auto"/>
        </w:rPr>
        <w:t xml:space="preserve">” means a written notice in the form of </w:t>
      </w:r>
      <w:r>
        <w:rPr>
          <w:rFonts w:ascii="Arial" w:cs="Arial" w:eastAsia="Arial" w:hAnsi="Arial"/>
          <w:sz w:val="20"/>
          <w:szCs w:val="20"/>
          <w:u w:val="single" w:color="auto"/>
          <w:color w:val="auto"/>
        </w:rPr>
        <w:t>Exhibit L-1</w:t>
      </w:r>
      <w:r>
        <w:rPr>
          <w:rFonts w:ascii="Arial" w:cs="Arial" w:eastAsia="Arial" w:hAnsi="Arial"/>
          <w:sz w:val="20"/>
          <w:szCs w:val="20"/>
          <w:color w:val="auto"/>
        </w:rPr>
        <w:t xml:space="preserve"> to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Option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as of any date of determination, that (a) the fair value of the assets of such Person exceeds its debts and liabilities, subordinated, contingent or otherwise as they become due in the ordinary course of business, (b) the present fair saleable value of the property of such Person is greater than the amount that will be required to pay the liability of its debts and other liabilities, subordinated, contingent or otherwise, as such debts and other liabilities become absolute and matured in the ordinary course of business, (c) such Person is able to pay its debts and liabilities, subordinated, contingent or otherwise, as such liabilities become absolute and matured in the ordinary course of business and (d) such Person is not engaged in and is not about to engage in business contemplated as of such date of determination for which it has unreasonably small capital. For purposes of this definition, the amount of any contingent liability at any time shall be computed as the amount that would reasonably be expected to become an actual and matured liability in the ordinary course of business.</w:t>
      </w:r>
    </w:p>
    <w:p>
      <w:pPr>
        <w:spacing w:after="0" w:line="181"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Acquisition Agreement Representations</w:t>
      </w:r>
      <w:r>
        <w:rPr>
          <w:rFonts w:ascii="Arial" w:cs="Arial" w:eastAsia="Arial" w:hAnsi="Arial"/>
          <w:sz w:val="20"/>
          <w:szCs w:val="20"/>
          <w:color w:val="auto"/>
        </w:rPr>
        <w:t>” means, with respect to any Permitted Acquisition, those representations and warranties made by the applicable sellers or a seller representative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5" w:name="page176"/>
    <w:bookmarkEnd w:id="175"/>
    <w:p>
      <w:pPr>
        <w:jc w:val="both"/>
        <w:spacing w:after="0" w:line="257" w:lineRule="auto"/>
        <w:rPr>
          <w:sz w:val="20"/>
          <w:szCs w:val="20"/>
          <w:color w:val="auto"/>
        </w:rPr>
      </w:pPr>
      <w:r>
        <w:rPr>
          <w:rFonts w:ascii="Arial" w:cs="Arial" w:eastAsia="Arial" w:hAnsi="Arial"/>
          <w:sz w:val="19"/>
          <w:szCs w:val="19"/>
          <w:color w:val="auto"/>
        </w:rPr>
        <w:t>on their behalf or the target of such Permitted Acquisition or its Subsidiaries or Affiliates in the acquisition agreement relating to such Permitted Acquisition with respect to the target of such Permitted Acquisition, the Subsidiaries of such target or such target’s business, and which representations and warranties are material to the interests of the Lenders, but only to the extent Parent or the applicable Restricted Subsidiary has a right under such acquisition agreement (a) not to consummate the transactions contemplated by such acquisition agreement or (b) to terminate Parent’s or such Restricted Subsidiaries’ obligations under such acquisition agreement, in each case, as a result of a breach of such representation or any such representation not being accurate (in each case, determined without regard to any notice requirement but taking into account applicable cure provisions).</w:t>
      </w:r>
    </w:p>
    <w:p>
      <w:pPr>
        <w:spacing w:after="0" w:line="183"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any Event of Default described in any of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(but only with respect to defaults under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(but only to the extent arising under clauses (a) through (e) of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(but only to the extent arising under clauses (a) through (j) of </w:t>
      </w:r>
      <w:r>
        <w:rPr>
          <w:rFonts w:ascii="Arial" w:cs="Arial" w:eastAsia="Arial" w:hAnsi="Arial"/>
          <w:sz w:val="18"/>
          <w:szCs w:val="18"/>
          <w:u w:val="single" w:color="auto"/>
          <w:color w:val="auto"/>
        </w:rPr>
        <w:t>Schedule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(but only with respect to representations in </w:t>
      </w:r>
      <w:r>
        <w:rPr>
          <w:rFonts w:ascii="Arial" w:cs="Arial" w:eastAsia="Arial" w:hAnsi="Arial"/>
          <w:sz w:val="18"/>
          <w:szCs w:val="18"/>
          <w:u w:val="single" w:color="auto"/>
          <w:color w:val="auto"/>
        </w:rPr>
        <w:t>Sections 4.22</w:t>
      </w:r>
      <w:r>
        <w:rPr>
          <w:rFonts w:ascii="Arial" w:cs="Arial" w:eastAsia="Arial" w:hAnsi="Arial"/>
          <w:sz w:val="18"/>
          <w:szCs w:val="18"/>
          <w:color w:val="auto"/>
        </w:rPr>
        <w:t xml:space="preserve">, </w:t>
      </w:r>
      <w:r>
        <w:rPr>
          <w:rFonts w:ascii="Arial" w:cs="Arial" w:eastAsia="Arial" w:hAnsi="Arial"/>
          <w:sz w:val="18"/>
          <w:szCs w:val="18"/>
          <w:u w:val="single" w:color="auto"/>
          <w:color w:val="auto"/>
        </w:rPr>
        <w:t>4.23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4.24</w:t>
      </w:r>
      <w:r>
        <w:rPr>
          <w:rFonts w:ascii="Arial" w:cs="Arial" w:eastAsia="Arial" w:hAnsi="Arial"/>
          <w:sz w:val="18"/>
          <w:szCs w:val="18"/>
          <w:color w:val="auto"/>
        </w:rPr>
        <w:t xml:space="preserve"> or in any Borrowing Base Certificate) of this Agreement or, subject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6, </w:t>
      </w:r>
      <w:r>
        <w:rPr>
          <w:rFonts w:ascii="Arial" w:cs="Arial" w:eastAsia="Arial" w:hAnsi="Arial"/>
          <w:sz w:val="18"/>
          <w:szCs w:val="18"/>
          <w:u w:val="single" w:color="auto"/>
          <w:color w:val="auto"/>
        </w:rPr>
        <w:t>Section 7(k)</w:t>
      </w:r>
      <w:r>
        <w:rPr>
          <w:rFonts w:ascii="Arial" w:cs="Arial" w:eastAsia="Arial" w:hAnsi="Arial"/>
          <w:sz w:val="18"/>
          <w:szCs w:val="18"/>
          <w:color w:val="auto"/>
        </w:rPr>
        <w:t xml:space="preserve"> of the Guaranty and Security Agreement.</w:t>
      </w:r>
    </w:p>
    <w:p>
      <w:pPr>
        <w:spacing w:after="0" w:line="160" w:lineRule="exact"/>
        <w:rPr>
          <w:sz w:val="20"/>
          <w:szCs w:val="20"/>
          <w:color w:val="auto"/>
        </w:rPr>
      </w:pPr>
    </w:p>
    <w:p>
      <w:pPr>
        <w:jc w:val="both"/>
        <w:ind w:firstLine="149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xml:space="preserve">” means, with respect to any Permitted Acquisition, the representations and warranties set forth in </w:t>
      </w:r>
      <w:r>
        <w:rPr>
          <w:rFonts w:ascii="Arial" w:cs="Arial" w:eastAsia="Arial" w:hAnsi="Arial"/>
          <w:sz w:val="19"/>
          <w:szCs w:val="19"/>
          <w:u w:val="single" w:color="auto"/>
          <w:color w:val="auto"/>
        </w:rPr>
        <w:t>Sections 4.1(a)(i)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4.2(a)</w:t>
      </w:r>
      <w:r>
        <w:rPr>
          <w:rFonts w:ascii="Arial" w:cs="Arial" w:eastAsia="Arial" w:hAnsi="Arial"/>
          <w:sz w:val="19"/>
          <w:szCs w:val="19"/>
          <w:color w:val="auto"/>
        </w:rPr>
        <w:t xml:space="preserve">, </w:t>
      </w:r>
      <w:r>
        <w:rPr>
          <w:rFonts w:ascii="Arial" w:cs="Arial" w:eastAsia="Arial" w:hAnsi="Arial"/>
          <w:sz w:val="19"/>
          <w:szCs w:val="19"/>
          <w:u w:val="single" w:color="auto"/>
          <w:color w:val="auto"/>
        </w:rPr>
        <w:t>4.2(b)(i)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4.4(a)</w:t>
      </w:r>
      <w:r>
        <w:rPr>
          <w:rFonts w:ascii="Arial" w:cs="Arial" w:eastAsia="Arial" w:hAnsi="Arial"/>
          <w:sz w:val="19"/>
          <w:szCs w:val="19"/>
          <w:color w:val="auto"/>
        </w:rPr>
        <w:t xml:space="preserve">, </w:t>
      </w:r>
      <w:r>
        <w:rPr>
          <w:rFonts w:ascii="Arial" w:cs="Arial" w:eastAsia="Arial" w:hAnsi="Arial"/>
          <w:sz w:val="19"/>
          <w:szCs w:val="19"/>
          <w:u w:val="single" w:color="auto"/>
          <w:color w:val="auto"/>
        </w:rPr>
        <w:t>4.4(b)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perfection of any assets to be acquired in connection with such Permitted Acquisition, only to the extent perfection is achieved by the filing of Uniform Commercial Code financing statements, delivery of Equity Interest certificates and undated Equity Interest powers, the filing of a Trademark Security Agreement, Patent Security Agreement, and Copyright Security Agreement with the United States Patent and Trademark Office or the United States Copyright Office, as applicable), </w:t>
      </w:r>
      <w:r>
        <w:rPr>
          <w:rFonts w:ascii="Arial" w:cs="Arial" w:eastAsia="Arial" w:hAnsi="Arial"/>
          <w:sz w:val="19"/>
          <w:szCs w:val="19"/>
          <w:u w:val="single" w:color="auto"/>
          <w:color w:val="auto"/>
        </w:rPr>
        <w:t>4.9(a)</w:t>
      </w:r>
      <w:r>
        <w:rPr>
          <w:rFonts w:ascii="Arial" w:cs="Arial" w:eastAsia="Arial" w:hAnsi="Arial"/>
          <w:sz w:val="19"/>
          <w:szCs w:val="19"/>
          <w:color w:val="auto"/>
        </w:rPr>
        <w:t xml:space="preserve">, </w:t>
      </w:r>
      <w:r>
        <w:rPr>
          <w:rFonts w:ascii="Arial" w:cs="Arial" w:eastAsia="Arial" w:hAnsi="Arial"/>
          <w:sz w:val="19"/>
          <w:szCs w:val="19"/>
          <w:u w:val="single" w:color="auto"/>
          <w:color w:val="auto"/>
        </w:rPr>
        <w:t>4.13</w:t>
      </w:r>
      <w:r>
        <w:rPr>
          <w:rFonts w:ascii="Arial" w:cs="Arial" w:eastAsia="Arial" w:hAnsi="Arial"/>
          <w:sz w:val="19"/>
          <w:szCs w:val="19"/>
          <w:color w:val="auto"/>
        </w:rPr>
        <w:t xml:space="preserve">, </w:t>
      </w:r>
      <w:r>
        <w:rPr>
          <w:rFonts w:ascii="Arial" w:cs="Arial" w:eastAsia="Arial" w:hAnsi="Arial"/>
          <w:sz w:val="19"/>
          <w:szCs w:val="19"/>
          <w:u w:val="single" w:color="auto"/>
          <w:color w:val="auto"/>
        </w:rPr>
        <w:t>4.16</w:t>
      </w:r>
      <w:r>
        <w:rPr>
          <w:rFonts w:ascii="Arial" w:cs="Arial" w:eastAsia="Arial" w:hAnsi="Arial"/>
          <w:sz w:val="19"/>
          <w:szCs w:val="19"/>
          <w:color w:val="auto"/>
        </w:rPr>
        <w:t xml:space="preserve">, </w:t>
      </w:r>
      <w:r>
        <w:rPr>
          <w:rFonts w:ascii="Arial" w:cs="Arial" w:eastAsia="Arial" w:hAnsi="Arial"/>
          <w:sz w:val="19"/>
          <w:szCs w:val="19"/>
          <w:u w:val="single" w:color="auto"/>
          <w:color w:val="auto"/>
        </w:rPr>
        <w:t>4.17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4.18</w:t>
      </w:r>
      <w:r>
        <w:rPr>
          <w:rFonts w:ascii="Arial" w:cs="Arial" w:eastAsia="Arial" w:hAnsi="Arial"/>
          <w:sz w:val="19"/>
          <w:szCs w:val="19"/>
          <w:color w:val="auto"/>
        </w:rPr>
        <w:t xml:space="preserve"> of this Agreement.</w:t>
      </w:r>
    </w:p>
    <w:p>
      <w:pPr>
        <w:spacing w:after="0" w:line="18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any disposition of assets, Investment, prepayment of Indebtedness or Restricted Payment.</w:t>
      </w:r>
    </w:p>
    <w:p>
      <w:pPr>
        <w:spacing w:after="0" w:line="261" w:lineRule="exact"/>
        <w:rPr>
          <w:sz w:val="20"/>
          <w:szCs w:val="20"/>
          <w:color w:val="auto"/>
        </w:rPr>
      </w:pPr>
    </w:p>
    <w:p>
      <w:pPr>
        <w:jc w:val="both"/>
        <w:ind w:firstLine="154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Letter of Credit Practice</w:t>
      </w:r>
      <w:r>
        <w:rPr>
          <w:rFonts w:ascii="Arial" w:cs="Arial" w:eastAsia="Arial" w:hAnsi="Arial"/>
          <w:sz w:val="19"/>
          <w:szCs w:val="19"/>
          <w:color w:val="auto"/>
        </w:rPr>
        <w:t>” means, for any Issuing Bank, any domestic or foreign law or letter of credit practices applicable in the city in which such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78"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88" w:lineRule="exact"/>
        <w:rPr>
          <w:sz w:val="20"/>
          <w:szCs w:val="20"/>
          <w:color w:val="auto"/>
        </w:rPr>
      </w:pPr>
    </w:p>
    <w:p>
      <w:pPr>
        <w:jc w:val="both"/>
        <w:ind w:firstLine="149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Supermajority Lenders</w:t>
      </w:r>
      <w:r>
        <w:rPr>
          <w:rFonts w:ascii="Arial" w:cs="Arial" w:eastAsia="Arial" w:hAnsi="Arial"/>
          <w:sz w:val="18"/>
          <w:szCs w:val="18"/>
          <w:color w:val="auto"/>
        </w:rPr>
        <w:t xml:space="preserve">” means, on any date of determination, (a) those Lenders who collectively hold more than 66-2/3% of the Commitments, or (b) if the Commitments have been terminated, those Lenders who collectively hold more than 66-2/3% of the Revolving Loan Exposure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Commitments and Revolving Loan Exposure of any Defaulting Lender shall be disregarded in the determination of the Supermajority Lenders and (ii) at any time there are two or more Lenders (who are not Affiliates of one another or Defaulting Lenders), “Supermajority Lenders” must include at least two Lenders (who are not Affiliates of one another).</w:t>
      </w:r>
    </w:p>
    <w:p>
      <w:pPr>
        <w:spacing w:after="0" w:line="16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17.17</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6" w:name="page177"/>
    <w:bookmarkEnd w:id="176"/>
    <w:p>
      <w:pPr>
        <w:jc w:val="both"/>
        <w:ind w:firstLine="1498"/>
        <w:spacing w:after="0" w:line="31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Loan Party or any Restricted Subsidiary, any obligation to pay or perform under any agreement, contract or transaction that constitutes a “swap” within the meaning of section 1a(47) of the Commodity Exchange Act.</w:t>
      </w:r>
    </w:p>
    <w:p>
      <w:pPr>
        <w:spacing w:after="0" w:line="131" w:lineRule="exact"/>
        <w:rPr>
          <w:sz w:val="20"/>
          <w:szCs w:val="20"/>
          <w:color w:val="auto"/>
        </w:rPr>
      </w:pPr>
    </w:p>
    <w:p>
      <w:pPr>
        <w:jc w:val="both"/>
        <w:ind w:right="20" w:firstLine="149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Lender</w:t>
      </w:r>
      <w:r>
        <w:rPr>
          <w:rFonts w:ascii="Arial" w:cs="Arial" w:eastAsia="Arial" w:hAnsi="Arial"/>
          <w:sz w:val="19"/>
          <w:szCs w:val="19"/>
          <w:color w:val="auto"/>
        </w:rPr>
        <w:t xml:space="preserve">” means Wells Fargo or any other Lender that, at the request of Borrowers and with the consent of Agent agrees, in such Lender’s sole discretion, to become the Swing Lender under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of this Agreement.</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Loan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Loan Exposure</w:t>
      </w:r>
      <w:r>
        <w:rPr>
          <w:rFonts w:ascii="Arial" w:cs="Arial" w:eastAsia="Arial" w:hAnsi="Arial"/>
          <w:sz w:val="20"/>
          <w:szCs w:val="20"/>
          <w:color w:val="auto"/>
        </w:rPr>
        <w:t>” means, as of any date of determination with respect to any Lender, such Lender’s Pro Rata Share of the Swing Loans on such date.</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14.2(a)</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taxes, levies, imposts, duties, deductions, withholdings (including backup withholding), fees, assessments or other charges imposed by any jurisdiction or by any political subdivision or taxing authority thereof or therein, and all interest, penalties or similar liabilities with respect thereto.</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215" w:lineRule="exact"/>
        <w:rPr>
          <w:sz w:val="20"/>
          <w:szCs w:val="20"/>
          <w:color w:val="auto"/>
        </w:rPr>
      </w:pPr>
    </w:p>
    <w:p>
      <w:pPr>
        <w:jc w:val="both"/>
        <w:ind w:firstLine="1505"/>
        <w:spacing w:after="0" w:line="272" w:lineRule="auto"/>
        <w:tabs>
          <w:tab w:leader="none" w:pos="18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any calculation with respect to a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xml:space="preserve">”) that is two U.S. Government Securities Business Days prior to the first day of such Interest Period,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67" w:lineRule="exact"/>
        <w:rPr>
          <w:rFonts w:ascii="Arial" w:cs="Arial" w:eastAsia="Arial" w:hAnsi="Arial"/>
          <w:sz w:val="18"/>
          <w:szCs w:val="18"/>
          <w:color w:val="auto"/>
        </w:rPr>
      </w:pPr>
    </w:p>
    <w:p>
      <w:pPr>
        <w:jc w:val="both"/>
        <w:ind w:firstLine="1505"/>
        <w:spacing w:after="0" w:line="256" w:lineRule="auto"/>
        <w:tabs>
          <w:tab w:leader="none" w:pos="189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for any calculation with respect to a Base Rate Loan on any day, the Term SOFR Reference Rate for a tenor of one month on the day (such day, the “</w:t>
      </w:r>
      <w:r>
        <w:rPr>
          <w:rFonts w:ascii="Arial" w:cs="Arial" w:eastAsia="Arial" w:hAnsi="Arial"/>
          <w:sz w:val="19"/>
          <w:szCs w:val="19"/>
          <w:u w:val="single" w:color="auto"/>
          <w:color w:val="auto"/>
        </w:rPr>
        <w:t>Base Rate Term SOFR Determination Day</w:t>
      </w:r>
      <w:r>
        <w:rPr>
          <w:rFonts w:ascii="Arial" w:cs="Arial" w:eastAsia="Arial" w:hAnsi="Arial"/>
          <w:sz w:val="19"/>
          <w:szCs w:val="19"/>
          <w:color w:val="auto"/>
        </w:rPr>
        <w:t xml:space="preserve">”) that is two U.S. Government Securities Business Days prior to such day,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Base Rate Term SOFR Determination Day.</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Adjustment</w:t>
      </w:r>
      <w:r>
        <w:rPr>
          <w:rFonts w:ascii="Arial" w:cs="Arial" w:eastAsia="Arial" w:hAnsi="Arial"/>
          <w:sz w:val="20"/>
          <w:szCs w:val="20"/>
          <w:color w:val="auto"/>
        </w:rPr>
        <w:t xml:space="preserve">” means a percentage equal to 0.10% </w:t>
      </w:r>
      <w:r>
        <w:rPr>
          <w:rFonts w:ascii="Arial" w:cs="Arial" w:eastAsia="Arial" w:hAnsi="Arial"/>
          <w:sz w:val="20"/>
          <w:szCs w:val="20"/>
          <w:i w:val="1"/>
          <w:iCs w:val="1"/>
          <w:color w:val="auto"/>
        </w:rPr>
        <w:t>per annum</w:t>
      </w:r>
      <w:r>
        <w:rPr>
          <w:rFonts w:ascii="Arial" w:cs="Arial" w:eastAsia="Arial" w:hAnsi="Arial"/>
          <w:sz w:val="20"/>
          <w:szCs w:val="20"/>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7" w:name="page178"/>
    <w:bookmarkEnd w:id="177"/>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means CME Group Benchmark Administration Limited (CBA) (or a successor administrator of the Term SOFR Reference Rate selected by Agent in its reasonable discretion).</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means the forward-looking term rate based on SOFR.</w:t>
      </w:r>
    </w:p>
    <w:p>
      <w:pPr>
        <w:spacing w:after="0" w:line="215"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Titled Vehicles</w:t>
      </w:r>
      <w:r>
        <w:rPr>
          <w:rFonts w:ascii="Arial" w:cs="Arial" w:eastAsia="Arial" w:hAnsi="Arial"/>
          <w:sz w:val="20"/>
          <w:szCs w:val="20"/>
          <w:color w:val="auto"/>
        </w:rPr>
        <w:t>” means vehicles for which a certificate of title has been issued in any jurisdiction pursuant to a statute described in section 9-311(a)(2) or 9-311(a)(3) of the Code.</w:t>
      </w:r>
    </w:p>
    <w:p>
      <w:pPr>
        <w:spacing w:after="0" w:line="17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means, as determined at the end of any fiscal period, the ratio of (a) Consolidated Funded Debt of Parent and its Restricted Subsidiaries to (b) EBITDA of Parent and its Restricted Subsidiaries for such period.</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Security Agreement</w:t>
      </w:r>
      <w:r>
        <w:rPr>
          <w:rFonts w:ascii="Arial" w:cs="Arial" w:eastAsia="Arial" w:hAnsi="Arial"/>
          <w:sz w:val="20"/>
          <w:szCs w:val="20"/>
          <w:color w:val="auto"/>
        </w:rPr>
        <w:t>” has the meaning specified therefor in the Guaranty and Security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with respect to any Letter of Credit, the Uniform Customs and Practice for Documentary Credits 2007 Revision, International Chamber of Commerce Publication No. 600 and any version or revision thereof accepted by the applicable Issuing Bank for use.</w:t>
      </w:r>
    </w:p>
    <w:p>
      <w:pPr>
        <w:spacing w:after="0" w:line="188" w:lineRule="exact"/>
        <w:rPr>
          <w:sz w:val="20"/>
          <w:szCs w:val="20"/>
          <w:color w:val="auto"/>
        </w:rPr>
      </w:pPr>
    </w:p>
    <w:p>
      <w:pPr>
        <w:jc w:val="both"/>
        <w:ind w:firstLine="149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6"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6"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Unfinanced Capital Expenditures</w:t>
      </w:r>
      <w:r>
        <w:rPr>
          <w:rFonts w:ascii="Arial" w:cs="Arial" w:eastAsia="Arial" w:hAnsi="Arial"/>
          <w:sz w:val="20"/>
          <w:szCs w:val="20"/>
          <w:color w:val="auto"/>
        </w:rPr>
        <w:t>” means Capital Expenditures (excluding any like kind exchanges but including any cash paid by Parent or any Restricted Subsidiary as boot in connection with such exchange) (a) not financed with the proceeds of any incurrence of Indebtedness, the proceeds of any sale or issuance of Equity Interests or equity contributions, the proceeds of any asset sale (other than the sale of Inventory in the ordinary course of business) or any insurance or condemnation proceeds, and (b) that are not reimbursed by a third person (excluding any Loan Party or any of its Affiliates) in the period such expenditures are made pursuant to a binding written agreement.</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means (a) any Subsidiary of Parent designated by Parent as an Unrestricted Subsidiary pursuant to </w:t>
      </w:r>
      <w:r>
        <w:rPr>
          <w:rFonts w:ascii="Arial" w:cs="Arial" w:eastAsia="Arial" w:hAnsi="Arial"/>
          <w:sz w:val="20"/>
          <w:szCs w:val="20"/>
          <w:u w:val="single" w:color="auto"/>
          <w:color w:val="auto"/>
        </w:rPr>
        <w:t>Section 5.18</w:t>
      </w:r>
      <w:r>
        <w:rPr>
          <w:rFonts w:ascii="Arial" w:cs="Arial" w:eastAsia="Arial" w:hAnsi="Arial"/>
          <w:sz w:val="20"/>
          <w:szCs w:val="20"/>
          <w:color w:val="auto"/>
        </w:rPr>
        <w:t xml:space="preserve"> and (b) any Subsidiary of an Unrestricted Subsidiary.</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Line Fee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day except for (a) a Saturday, (b) a Sunday or (c) a day on which the Securities Industry and Financial Markets Association, or any successor thereto, recommends that the fixed income departments of its members be closed for the entire day for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8" w:name="page179"/>
    <w:bookmarkEnd w:id="178"/>
    <w:p>
      <w:pPr>
        <w:jc w:val="both"/>
        <w:spacing w:after="0" w:line="260" w:lineRule="auto"/>
        <w:rPr>
          <w:sz w:val="20"/>
          <w:szCs w:val="20"/>
          <w:color w:val="auto"/>
        </w:rPr>
      </w:pPr>
      <w:r>
        <w:rPr>
          <w:rFonts w:ascii="Arial" w:cs="Arial" w:eastAsia="Arial" w:hAnsi="Arial"/>
          <w:sz w:val="20"/>
          <w:szCs w:val="20"/>
          <w:color w:val="auto"/>
        </w:rPr>
        <w:t xml:space="preserve">purposes of trading in United States government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notice requirements in </w:t>
      </w:r>
      <w:r>
        <w:rPr>
          <w:rFonts w:ascii="Arial" w:cs="Arial" w:eastAsia="Arial" w:hAnsi="Arial"/>
          <w:sz w:val="20"/>
          <w:szCs w:val="20"/>
          <w:u w:val="single" w:color="auto"/>
          <w:color w:val="auto"/>
        </w:rPr>
        <w:t>Sections 2.3(a)</w:t>
      </w:r>
      <w:r>
        <w:rPr>
          <w:rFonts w:ascii="Arial" w:cs="Arial" w:eastAsia="Arial" w:hAnsi="Arial"/>
          <w:sz w:val="20"/>
          <w:szCs w:val="20"/>
          <w:color w:val="auto"/>
        </w:rPr>
        <w:t xml:space="preserve">, </w:t>
      </w:r>
      <w:r>
        <w:rPr>
          <w:rFonts w:ascii="Arial" w:cs="Arial" w:eastAsia="Arial" w:hAnsi="Arial"/>
          <w:sz w:val="20"/>
          <w:szCs w:val="20"/>
          <w:u w:val="single" w:color="auto"/>
          <w:color w:val="auto"/>
        </w:rPr>
        <w:t>2.3(c)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2.12(b)</w:t>
      </w:r>
      <w:r>
        <w:rPr>
          <w:rFonts w:ascii="Arial" w:cs="Arial" w:eastAsia="Arial" w:hAnsi="Arial"/>
          <w:sz w:val="20"/>
          <w:szCs w:val="20"/>
          <w:color w:val="auto"/>
        </w:rPr>
        <w:t>, in each case, such day is also a Business Day.</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17.17</w:t>
      </w:r>
      <w:r>
        <w:rPr>
          <w:rFonts w:ascii="Arial" w:cs="Arial" w:eastAsia="Arial" w:hAnsi="Arial"/>
          <w:sz w:val="20"/>
          <w:szCs w:val="20"/>
          <w:color w:val="auto"/>
        </w:rPr>
        <w:t xml:space="preserve"> of this Agreement.</w:t>
      </w:r>
    </w:p>
    <w:p>
      <w:pPr>
        <w:spacing w:after="0" w:line="215" w:lineRule="exact"/>
        <w:rPr>
          <w:sz w:val="20"/>
          <w:szCs w:val="20"/>
          <w:color w:val="auto"/>
        </w:rPr>
      </w:pPr>
    </w:p>
    <w:p>
      <w:pPr>
        <w:jc w:val="both"/>
        <w:ind w:firstLine="14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 Intercreditor Agreement</w:t>
      </w:r>
      <w:r>
        <w:rPr>
          <w:rFonts w:ascii="Arial" w:cs="Arial" w:eastAsia="Arial" w:hAnsi="Arial"/>
          <w:sz w:val="18"/>
          <w:szCs w:val="18"/>
          <w:color w:val="auto"/>
        </w:rPr>
        <w:t xml:space="preserve">” means an agreement between the lessor of Equipment Inventory leased by a Borrower or Restricted Subsidiary or the holder of a purchase money Lien in and to any Equipment Inventory, on the one hand, and Agent, on the other hand, in the form of </w:t>
      </w:r>
      <w:r>
        <w:rPr>
          <w:rFonts w:ascii="Arial" w:cs="Arial" w:eastAsia="Arial" w:hAnsi="Arial"/>
          <w:sz w:val="18"/>
          <w:szCs w:val="18"/>
          <w:u w:val="single" w:color="auto"/>
          <w:color w:val="auto"/>
        </w:rPr>
        <w:t>Exhibit P-2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P-3</w:t>
      </w:r>
      <w:r>
        <w:rPr>
          <w:rFonts w:ascii="Arial" w:cs="Arial" w:eastAsia="Arial" w:hAnsi="Arial"/>
          <w:sz w:val="18"/>
          <w:szCs w:val="18"/>
          <w:color w:val="auto"/>
        </w:rPr>
        <w:t>, as applicable, or in such other form as may be satisfactory to Agent from time to time in its Permitted Discretion, in each case, as the same may be amended, restated, supplemented, or otherwise modified from time to time.</w:t>
      </w:r>
    </w:p>
    <w:p>
      <w:pPr>
        <w:spacing w:after="0" w:line="16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Voidable Transfer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17.8</w:t>
      </w:r>
      <w:r>
        <w:rPr>
          <w:rFonts w:ascii="Arial" w:cs="Arial" w:eastAsia="Arial" w:hAnsi="Arial"/>
          <w:sz w:val="20"/>
          <w:szCs w:val="20"/>
          <w:color w:val="auto"/>
        </w:rPr>
        <w:t xml:space="preserve"> of this Agreement.</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15" w:lineRule="exact"/>
        <w:rPr>
          <w:sz w:val="20"/>
          <w:szCs w:val="20"/>
          <w:color w:val="auto"/>
        </w:rPr>
      </w:pPr>
    </w:p>
    <w:p>
      <w:pPr>
        <w:jc w:val="both"/>
        <w:ind w:firstLine="149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with respect to a Multiemployer Plan as a result of a complete or partial withdrawal from such Multiemployer Plan, as such terms are defined in Part I of Subtitle E of Title IV of ERISA.</w:t>
      </w:r>
    </w:p>
    <w:p>
      <w:pPr>
        <w:spacing w:after="0" w:line="176"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u w:val="single" w:color="auto"/>
          <w:color w:val="auto"/>
        </w:rPr>
        <w:t>1.2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Accounting Terms</w:t>
      </w:r>
      <w:r>
        <w:rPr>
          <w:rFonts w:ascii="Arial" w:cs="Arial" w:eastAsia="Arial" w:hAnsi="Arial"/>
          <w:sz w:val="18"/>
          <w:szCs w:val="18"/>
          <w:color w:val="auto"/>
        </w:rPr>
        <w:t xml:space="preserve">. All accounting terms not specifically defined herein shall be construed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if Parent notifies Agent that it requests an amendment to any provision hereof to eliminate the effect of any Accounting Change occurring after the Sixth Restatement Effective Date or in the application thereof on the operation of such provision (or if Agent notifies Parent that the Required Lenders request an amendment to any provision hereof for such purpose), regardless of whether any such notice is given before or after such Accounting Change or in the application thereof, then Agent, Parent, and Borrowers agree that they will negotiate in good faith amendments to the provisions of this Agreement that are directly affected by such Accounting Change with the intent of having the respective positions of the Lenders and the Loan Parties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“Parent” is used in respect of a financial covenant or a related definition, it shall be understood to mean the Parent and its Restricted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9" w:name="page180"/>
    <w:bookmarkEnd w:id="179"/>
    <w:p>
      <w:pPr>
        <w:jc w:val="both"/>
        <w:spacing w:after="0" w:line="243" w:lineRule="auto"/>
        <w:rPr>
          <w:sz w:val="20"/>
          <w:szCs w:val="20"/>
          <w:color w:val="auto"/>
        </w:rPr>
      </w:pPr>
      <w:r>
        <w:rPr>
          <w:rFonts w:ascii="Arial" w:cs="Arial" w:eastAsia="Arial" w:hAnsi="Arial"/>
          <w:sz w:val="20"/>
          <w:szCs w:val="20"/>
          <w:color w:val="auto"/>
        </w:rPr>
        <w:t>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(except as set forth in clause (ii) below), and (ii) does not include any explanation, supplemental comment, or other comment concerning the ability of the applicable Person to continue as a going concern or concerning the scope of the audit (except to the extent of any “going concern” qualifications or statement as a result of the impending Maturity Date occurring within one year from the time the report is delivered).</w:t>
      </w:r>
    </w:p>
    <w:p>
      <w:pPr>
        <w:spacing w:after="0" w:line="18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u w:val="single" w:color="auto"/>
          <w:color w:val="auto"/>
        </w:rPr>
        <w:t>1.3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xml:space="preserve">. Any terms used in this Agreement that are defined in the Code shall be construed and defined as set forth in the Code unless otherwise defined herein;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that the Code is used to define any term herein and such term is defined differently in different Articles of the Code, the definition of such term contained in Article 9 of the Code shall govern.</w:t>
      </w:r>
    </w:p>
    <w:p>
      <w:pPr>
        <w:spacing w:after="0" w:line="16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or expense reimbursement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0" w:name="page181"/>
    <w:bookmarkEnd w:id="180"/>
    <w:p>
      <w:pPr>
        <w:jc w:val="both"/>
        <w:spacing w:after="0" w:line="260" w:lineRule="auto"/>
        <w:rPr>
          <w:sz w:val="20"/>
          <w:szCs w:val="20"/>
          <w:color w:val="auto"/>
        </w:rPr>
      </w:pPr>
      <w:r>
        <w:rPr>
          <w:rFonts w:ascii="Arial" w:cs="Arial" w:eastAsia="Arial" w:hAnsi="Arial"/>
          <w:sz w:val="20"/>
          <w:szCs w:val="20"/>
          <w:color w:val="auto"/>
        </w:rPr>
        <w:t>transmission of a Record. All references to “knowledge” of any Loan Party or a Restricted Subsidiary thereof means the actual knowledge of an Authorized Officer of such Person.</w:t>
      </w:r>
    </w:p>
    <w:p>
      <w:pPr>
        <w:spacing w:after="0" w:line="17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1.5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Time References</w:t>
      </w:r>
      <w:r>
        <w:rPr>
          <w:rFonts w:ascii="Arial" w:cs="Arial" w:eastAsia="Arial" w:hAnsi="Arial"/>
          <w:sz w:val="20"/>
          <w:szCs w:val="20"/>
          <w:color w:val="auto"/>
        </w:rPr>
        <w:t xml:space="preserve">. Unless the context of this Agreement or any other Loan Document clearly requires otherwise, all references to time of day refer to Eastern standard time or Eastern daylight saving time, as in effect in Atlanta, Georgia, on such day. For purposes of the computation of a period of time from a specified date to a later specified date, unless otherwise expressly provided, the word “from” means “from and including”, the words “to” and “until” each means “to but excluding” and the word “through” means “to and including”; </w:t>
      </w:r>
      <w:r>
        <w:rPr>
          <w:rFonts w:ascii="Arial" w:cs="Arial" w:eastAsia="Arial" w:hAnsi="Arial"/>
          <w:sz w:val="20"/>
          <w:szCs w:val="20"/>
          <w:u w:val="single" w:color="auto"/>
          <w:color w:val="auto"/>
        </w:rPr>
        <w:t>provided</w:t>
      </w:r>
      <w:r>
        <w:rPr>
          <w:rFonts w:ascii="Arial" w:cs="Arial" w:eastAsia="Arial" w:hAnsi="Arial"/>
          <w:sz w:val="20"/>
          <w:szCs w:val="20"/>
          <w:color w:val="auto"/>
        </w:rPr>
        <w:t>, that with respect to a computation of fees or interest payable to Agent or any Lender, such period shall in any event consist of at least one full day.</w:t>
      </w:r>
    </w:p>
    <w:p>
      <w:pPr>
        <w:spacing w:after="0" w:line="188"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20"/>
          <w:szCs w:val="20"/>
          <w:u w:val="single" w:color="auto"/>
          <w:color w:val="auto"/>
        </w:rPr>
        <w:t>1.6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Schedules and Exhibits</w:t>
      </w:r>
      <w:r>
        <w:rPr>
          <w:rFonts w:ascii="Arial" w:cs="Arial" w:eastAsia="Arial" w:hAnsi="Arial"/>
          <w:sz w:val="20"/>
          <w:szCs w:val="20"/>
          <w:color w:val="auto"/>
        </w:rPr>
        <w:t>. All of the schedules and exhibits attached to this Agreement shall be deemed incorporated herein by reference.</w:t>
      </w:r>
    </w:p>
    <w:p>
      <w:pPr>
        <w:spacing w:after="0" w:line="16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u w:val="single" w:color="auto"/>
          <w:color w:val="auto"/>
        </w:rPr>
        <w:t>1.7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Limited Condition Acquisitions</w:t>
      </w:r>
      <w:r>
        <w:rPr>
          <w:rFonts w:ascii="Arial" w:cs="Arial" w:eastAsia="Arial" w:hAnsi="Arial"/>
          <w:sz w:val="18"/>
          <w:szCs w:val="18"/>
          <w:color w:val="auto"/>
        </w:rPr>
        <w:t>. In connection with any action being taken in connection with a Limited Condition Acquisition for purposes of (a) determining compliance with any provision of this Agreement which requires the calculation of the Fixed Charge Coverage Ratio or any other financial ratio hereunder or any testing of baskets set forth in this Agreement, in each case, at the option of the Administrative Borrower (the Administrative Borrower’s election to exercise such option in connection with any Limited Condition Acquisition, an “</w:t>
      </w:r>
      <w:r>
        <w:rPr>
          <w:rFonts w:ascii="Arial" w:cs="Arial" w:eastAsia="Arial" w:hAnsi="Arial"/>
          <w:sz w:val="18"/>
          <w:szCs w:val="18"/>
          <w:u w:val="single" w:color="auto"/>
          <w:color w:val="auto"/>
        </w:rPr>
        <w:t>LCA Election</w:t>
      </w:r>
      <w:r>
        <w:rPr>
          <w:rFonts w:ascii="Arial" w:cs="Arial" w:eastAsia="Arial" w:hAnsi="Arial"/>
          <w:sz w:val="18"/>
          <w:szCs w:val="18"/>
          <w:color w:val="auto"/>
        </w:rPr>
        <w:t>”), the date of determination of whether any such action is permitted hereunder (including the incurrence of any Indebtedness and the making of any Investment), shall be the date on which the definitive agreements for such Limited Condition Acquisition are entered into (the “</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on a pro forma basis as if such action and other pro forma events in connection therewith were consummated or taken on the first day of the most recently ended period of 12 fiscal months which ended before the LCA Test Date and for which financial statements have been delivered in accordance with this Agreement, (b) determining compliance with any provisions of this Agreement which requires that no Default or Event of Default, as applicable, has occurred, is continuing or would result from any such action, as applicable, such condition shall be deemed satisfied so long as (i) no Event of Default exists on the LCA Test Date and (ii) no Event of Default under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exists immediately after giving effect to the consummation of such Limited Condition Acquisition, (c) determining compliance with any provision of this Agreement which requires that any of the representations and warranties made by any Loan Party set forth in this Agreement or in any other Loan Document be true and correct, such condition shall be deemed satisfied so long as (i) the representations and warranties in this Agreement and the other Loan Documents are true and correct in all material respects (without duplication of any materiality qualifier therein) as of the LCA Test Date and (ii) the Specified Acquisition Agreement Representations and the Specified Representations (in each case, modified solely to the extent necessary to reflect the applicable terms of such Limited Condition Acquisition as set forth in the definitive agreement(s) governing such transaction) are true and correct in all material respects (without duplication of any materiality qualifier therein) immediately after giving effect to the consummation of such Limited Condition Acquisition, and (d) determining whether any condition or test (or any component of any condition or test) which is based on or derived from a calculation of Excess Availability is satisfied in connection with such Limited Condition Acquisition (but only in cases where any of the consideration payable with respect to the consummation of such Limited Condition Acquisition will be funded with the proceeds of any borrowing of Loans or the issuance of any Letter of Credit), such condition or test (or such component thereof) shall be determined on the date on which such Limited Condition Acquisition is consummated and on a pro forma basis by giving effect to any such Loans or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all cases, such Limited Condition Acquisition shall be consummated on or before the date which is 180 days after the LCA Test Date. If the Administrative Borrower has made an LCA Election for any Limited Condition Acquisition, then in connection with any calculation of any ratio, test or basket with respect to any transaction permitted hereunder (each, a “</w:t>
      </w:r>
      <w:r>
        <w:rPr>
          <w:rFonts w:ascii="Arial" w:cs="Arial" w:eastAsia="Arial" w:hAnsi="Arial"/>
          <w:sz w:val="18"/>
          <w:szCs w:val="18"/>
          <w:u w:val="single" w:color="auto"/>
          <w:color w:val="auto"/>
        </w:rPr>
        <w:t>Subsequent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following the relevant LCA Test Date and prior to the earlier of the date on which such Limited Condition Acquisition 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1" w:name="page182"/>
    <w:bookmarkEnd w:id="181"/>
    <w:p>
      <w:pPr>
        <w:jc w:val="both"/>
        <w:spacing w:after="0" w:line="244" w:lineRule="auto"/>
        <w:rPr>
          <w:sz w:val="20"/>
          <w:szCs w:val="20"/>
          <w:color w:val="auto"/>
        </w:rPr>
      </w:pPr>
      <w:r>
        <w:rPr>
          <w:rFonts w:ascii="Arial" w:cs="Arial" w:eastAsia="Arial" w:hAnsi="Arial"/>
          <w:sz w:val="20"/>
          <w:szCs w:val="20"/>
          <w:color w:val="auto"/>
        </w:rPr>
        <w:t>consummated or the date that the definitive agreement for such Limited Condition Acquisition is terminated or expires without consummation of such Limited Condition Acquisition, for purposes of determining whether such Subsequent Transaction is permitted under this Agreement, any such ratio, test or basket shall be required to be satisfied on a pro forma basis assuming such Limited Condition Acquisition and other transactions in connection therewith (including any incurrence of Indebtedness and the use of proceeds thereof or the making of any Investment) have been consummated.</w:t>
      </w:r>
    </w:p>
    <w:p>
      <w:pPr>
        <w:spacing w:after="0" w:line="18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1.8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Divisions</w:t>
      </w:r>
      <w:r>
        <w:rPr>
          <w:rFonts w:ascii="Arial" w:cs="Arial" w:eastAsia="Arial" w:hAnsi="Arial"/>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u w:val="single" w:color="auto"/>
          <w:color w:val="auto"/>
        </w:rPr>
        <w:t>1.9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Rates</w:t>
      </w:r>
      <w:r>
        <w:rPr>
          <w:rFonts w:ascii="Arial" w:cs="Arial" w:eastAsia="Arial" w:hAnsi="Arial"/>
          <w:sz w:val="18"/>
          <w:szCs w:val="18"/>
          <w:color w:val="auto"/>
        </w:rPr>
        <w:t xml:space="preserve">. Agent does not warrant or accept any responsibility for, and shall not have any liability with respect to, (a) the continuation of, administration of, submission of, calculation of or any other matter related to the Term SOFR Reference Rate, Adjusted Term SOFR,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8"/>
          <w:szCs w:val="18"/>
          <w:u w:val="single" w:color="auto"/>
          <w:color w:val="auto"/>
        </w:rPr>
        <w:t>Section 2.12(d)(iii)</w:t>
      </w:r>
      <w:r>
        <w:rPr>
          <w:rFonts w:ascii="Arial" w:cs="Arial" w:eastAsia="Arial" w:hAnsi="Arial"/>
          <w:sz w:val="18"/>
          <w:szCs w:val="18"/>
          <w:color w:val="auto"/>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a Borrower.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ind w:left="760" w:right="7560" w:hanging="752"/>
        <w:spacing w:after="0" w:line="492" w:lineRule="auto"/>
        <w:tabs>
          <w:tab w:leader="none" w:pos="407" w:val="left"/>
        </w:tabs>
        <w:numPr>
          <w:ilvl w:val="0"/>
          <w:numId w:val="155"/>
        </w:numPr>
        <w:rPr>
          <w:rFonts w:ascii="Arial" w:cs="Arial" w:eastAsia="Arial" w:hAnsi="Arial"/>
          <w:sz w:val="19"/>
          <w:szCs w:val="19"/>
          <w:color w:val="auto"/>
        </w:rPr>
      </w:pPr>
      <w:r>
        <w:rPr>
          <w:rFonts w:ascii="Arial" w:cs="Arial" w:eastAsia="Arial" w:hAnsi="Arial"/>
          <w:sz w:val="19"/>
          <w:szCs w:val="19"/>
          <w:b w:val="1"/>
          <w:bCs w:val="1"/>
          <w:color w:val="auto"/>
        </w:rPr>
        <w:t xml:space="preserve">LOANS AND TERMS OF PAYMENT.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Revolving Loans</w:t>
      </w:r>
      <w:r>
        <w:rPr>
          <w:rFonts w:ascii="Arial" w:cs="Arial" w:eastAsia="Arial" w:hAnsi="Arial"/>
          <w:sz w:val="19"/>
          <w:szCs w:val="19"/>
          <w:color w:val="auto"/>
        </w:rPr>
        <w:t>.</w:t>
      </w:r>
    </w:p>
    <w:p>
      <w:pPr>
        <w:jc w:val="both"/>
        <w:ind w:left="200" w:firstLine="1493"/>
        <w:spacing w:after="0" w:line="249" w:lineRule="auto"/>
        <w:tabs>
          <w:tab w:leader="none" w:pos="2093" w:val="left"/>
        </w:tabs>
        <w:numPr>
          <w:ilvl w:val="1"/>
          <w:numId w:val="155"/>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during the term of this Agreement, each Revolving Lender agrees (severally, not jointly or jointly and severally) to make revolving loans (“</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to Borrowers in an amount at any one time outstanding not to exceed </w:t>
      </w:r>
      <w:r>
        <w:rPr>
          <w:rFonts w:ascii="Arial" w:cs="Arial" w:eastAsia="Arial" w:hAnsi="Arial"/>
          <w:sz w:val="20"/>
          <w:szCs w:val="20"/>
          <w:i w:val="1"/>
          <w:iCs w:val="1"/>
          <w:color w:val="auto"/>
        </w:rPr>
        <w:t>the lesser of</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ind w:left="2640" w:hanging="386"/>
        <w:spacing w:after="0"/>
        <w:tabs>
          <w:tab w:leader="none" w:pos="2640" w:val="left"/>
        </w:tabs>
        <w:numPr>
          <w:ilvl w:val="2"/>
          <w:numId w:val="155"/>
        </w:numPr>
        <w:rPr>
          <w:rFonts w:ascii="Arial" w:cs="Arial" w:eastAsia="Arial" w:hAnsi="Arial"/>
          <w:sz w:val="20"/>
          <w:szCs w:val="20"/>
          <w:color w:val="auto"/>
        </w:rPr>
      </w:pPr>
      <w:r>
        <w:rPr>
          <w:rFonts w:ascii="Arial" w:cs="Arial" w:eastAsia="Arial" w:hAnsi="Arial"/>
          <w:sz w:val="20"/>
          <w:szCs w:val="20"/>
          <w:color w:val="auto"/>
        </w:rPr>
        <w:t>such Lender’s Revolver Commitment, and</w:t>
      </w:r>
    </w:p>
    <w:p>
      <w:pPr>
        <w:spacing w:after="0" w:line="214" w:lineRule="exact"/>
        <w:rPr>
          <w:rFonts w:ascii="Arial" w:cs="Arial" w:eastAsia="Arial" w:hAnsi="Arial"/>
          <w:sz w:val="20"/>
          <w:szCs w:val="20"/>
          <w:color w:val="auto"/>
        </w:rPr>
      </w:pPr>
    </w:p>
    <w:p>
      <w:pPr>
        <w:ind w:left="2640" w:hanging="386"/>
        <w:spacing w:after="0"/>
        <w:tabs>
          <w:tab w:leader="none" w:pos="2640" w:val="left"/>
        </w:tabs>
        <w:numPr>
          <w:ilvl w:val="2"/>
          <w:numId w:val="155"/>
        </w:numPr>
        <w:rPr>
          <w:rFonts w:ascii="Arial" w:cs="Arial" w:eastAsia="Arial" w:hAnsi="Arial"/>
          <w:sz w:val="20"/>
          <w:szCs w:val="20"/>
          <w:color w:val="auto"/>
        </w:rPr>
      </w:pPr>
      <w:r>
        <w:rPr>
          <w:rFonts w:ascii="Arial" w:cs="Arial" w:eastAsia="Arial" w:hAnsi="Arial"/>
          <w:sz w:val="20"/>
          <w:szCs w:val="20"/>
          <w:color w:val="auto"/>
        </w:rPr>
        <w:t xml:space="preserve">such Lender’s Pro Rata Share of an amount equal to </w:t>
      </w:r>
      <w:r>
        <w:rPr>
          <w:rFonts w:ascii="Arial" w:cs="Arial" w:eastAsia="Arial" w:hAnsi="Arial"/>
          <w:sz w:val="20"/>
          <w:szCs w:val="20"/>
          <w:i w:val="1"/>
          <w:iCs w:val="1"/>
          <w:color w:val="auto"/>
        </w:rPr>
        <w:t>the lesser of</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firstLine="3003"/>
        <w:spacing w:after="0" w:line="260" w:lineRule="auto"/>
        <w:tabs>
          <w:tab w:leader="none" w:pos="3390" w:val="left"/>
        </w:tabs>
        <w:numPr>
          <w:ilvl w:val="3"/>
          <w:numId w:val="155"/>
        </w:numPr>
        <w:rPr>
          <w:rFonts w:ascii="Arial" w:cs="Arial" w:eastAsia="Arial" w:hAnsi="Arial"/>
          <w:sz w:val="20"/>
          <w:szCs w:val="20"/>
          <w:color w:val="auto"/>
        </w:rPr>
      </w:pPr>
      <w:r>
        <w:rPr>
          <w:rFonts w:ascii="Arial" w:cs="Arial" w:eastAsia="Arial" w:hAnsi="Arial"/>
          <w:sz w:val="20"/>
          <w:szCs w:val="20"/>
          <w:color w:val="auto"/>
        </w:rPr>
        <w:t xml:space="preserve">the amount equal to (1) the Maximum Revolver Amount (as adjusted for any Reserves against the Maximum Revolver Amount implemented pursuant to </w:t>
      </w:r>
      <w:r>
        <w:rPr>
          <w:rFonts w:ascii="Arial" w:cs="Arial" w:eastAsia="Arial" w:hAnsi="Arial"/>
          <w:sz w:val="20"/>
          <w:szCs w:val="20"/>
          <w:u w:val="single" w:color="auto"/>
          <w:color w:val="auto"/>
        </w:rPr>
        <w:t>Section 2.1(c)</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(2) the sum of (y) the Letter of Credit Usage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principal amount of Swing Loans outstanding at such time, and</w:t>
      </w:r>
    </w:p>
    <w:p>
      <w:pPr>
        <w:spacing w:after="0" w:line="238" w:lineRule="exact"/>
        <w:rPr>
          <w:sz w:val="20"/>
          <w:szCs w:val="20"/>
          <w:color w:val="auto"/>
        </w:rPr>
      </w:pPr>
    </w:p>
    <w:p>
      <w:pPr>
        <w:jc w:val="both"/>
        <w:ind w:firstLine="3003"/>
        <w:spacing w:after="0" w:line="246" w:lineRule="auto"/>
        <w:tabs>
          <w:tab w:leader="none" w:pos="339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 xml:space="preserve">the amount equal to (1) the Borrowing Base as of such date (based upon the most recent Borrowing Base Certificate delivered by Administrative Borrower to Agent, as adjusted for Reserves established by Agent in accordance with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(2) the sum of (x) the Letter of Credit Usage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the principal amount of Swing Loans outstanding at such time.</w:t>
      </w:r>
    </w:p>
    <w:p>
      <w:pPr>
        <w:spacing w:after="0" w:line="189" w:lineRule="exact"/>
        <w:rPr>
          <w:rFonts w:ascii="Arial" w:cs="Arial" w:eastAsia="Arial" w:hAnsi="Arial"/>
          <w:sz w:val="20"/>
          <w:szCs w:val="20"/>
          <w:color w:val="auto"/>
        </w:rPr>
      </w:pPr>
    </w:p>
    <w:p>
      <w:pPr>
        <w:jc w:val="both"/>
        <w:ind w:left="200" w:firstLine="1493"/>
        <w:spacing w:after="0" w:line="263" w:lineRule="auto"/>
        <w:tabs>
          <w:tab w:leader="none" w:pos="209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Amounts borrowed pursuant to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74" w:lineRule="exact"/>
        <w:rPr>
          <w:rFonts w:ascii="Arial" w:cs="Arial" w:eastAsia="Arial" w:hAnsi="Arial"/>
          <w:sz w:val="19"/>
          <w:szCs w:val="19"/>
          <w:color w:val="auto"/>
        </w:rPr>
      </w:pPr>
    </w:p>
    <w:p>
      <w:pPr>
        <w:jc w:val="both"/>
        <w:ind w:left="200" w:firstLine="1493"/>
        <w:spacing w:after="0" w:line="275" w:lineRule="auto"/>
        <w:tabs>
          <w:tab w:leader="none" w:pos="209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Anything to the contrary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notwithstanding, Agent shall have the right (but not the obligation), from time to time and in the exercise of its Permitted Discretion, to establish, release, increase, or decrease Reserves against the Borrowing Base or the Maximum Revolver Amount. The amount of any Reserve established by Agent, and any changes to the eligibility criteria set forth in the definitions of Eligible Accounts, Eligible Equipment Inventory, Eligible Parts and Tools Inventory, and Eligible Rolling Stock shall have a reasonable relationship to the event, condition, other circumstance, or fact that is the basis for such reserve or change in eligibility and shall not be duplicative of any other reserve established and currently maintained or eligibility criteria.</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2.2</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2.3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Borrowing Procedures and Settlements</w:t>
      </w:r>
      <w:r>
        <w:rPr>
          <w:rFonts w:ascii="Arial" w:cs="Arial" w:eastAsia="Arial" w:hAnsi="Arial"/>
          <w:sz w:val="20"/>
          <w:szCs w:val="20"/>
          <w:color w:val="auto"/>
        </w:rPr>
        <w:t>.</w:t>
      </w:r>
    </w:p>
    <w:p>
      <w:pPr>
        <w:spacing w:after="0" w:line="215" w:lineRule="exact"/>
        <w:rPr>
          <w:sz w:val="20"/>
          <w:szCs w:val="20"/>
          <w:color w:val="auto"/>
        </w:rPr>
      </w:pPr>
    </w:p>
    <w:p>
      <w:pPr>
        <w:jc w:val="both"/>
        <w:ind w:left="200" w:firstLine="1493"/>
        <w:spacing w:after="0" w:line="271" w:lineRule="auto"/>
        <w:tabs>
          <w:tab w:leader="none" w:pos="2133"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Procedure for Borrowing Revolving Loans</w:t>
      </w:r>
      <w:r>
        <w:rPr>
          <w:rFonts w:ascii="Arial" w:cs="Arial" w:eastAsia="Arial" w:hAnsi="Arial"/>
          <w:sz w:val="18"/>
          <w:szCs w:val="18"/>
          <w:color w:val="auto"/>
        </w:rPr>
        <w:t>. Each Borrowing shall be made by a written request by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Authorized Person delivered to Agent (which may be delivered through Agent’s electronic platform or portal) and received by Agent no later than 12:00 p.m. (i) on the Business Day that is the requested Funding Date in the case of a request for a Swing Loan, (ii) on the Business Day that is one Business Day prior to the requested Funding Date in the case of a request for a Base Rate Loan (other than a Swing Loan), and (iii) on the U.S. Government Securities Business Day that is three U.S. Government Securities Business Days prior to the requested Funding Date in the case of a request for a SOFR Loan, specifying (a) the amount of such Borrowing, and (b) the requested Funding Date (which shall be a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Agent may, in its sole discretion, elect to accept as timely requests that are received later than 12:00 p.m. on the applicable Business Day or U.S. Government Securities Business Day, as applicable.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w:t>
      </w:r>
    </w:p>
    <w:p>
      <w:pPr>
        <w:spacing w:after="0" w:line="166" w:lineRule="exact"/>
        <w:rPr>
          <w:rFonts w:ascii="Arial" w:cs="Arial" w:eastAsia="Arial" w:hAnsi="Arial"/>
          <w:sz w:val="18"/>
          <w:szCs w:val="18"/>
          <w:color w:val="auto"/>
        </w:rPr>
      </w:pPr>
    </w:p>
    <w:p>
      <w:pPr>
        <w:jc w:val="both"/>
        <w:ind w:left="200" w:firstLine="1493"/>
        <w:spacing w:after="0" w:line="275" w:lineRule="auto"/>
        <w:tabs>
          <w:tab w:leader="none" w:pos="2093"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Making of Swing Loans</w:t>
      </w:r>
      <w:r>
        <w:rPr>
          <w:rFonts w:ascii="Arial" w:cs="Arial" w:eastAsia="Arial" w:hAnsi="Arial"/>
          <w:sz w:val="18"/>
          <w:szCs w:val="18"/>
          <w:color w:val="auto"/>
        </w:rPr>
        <w:t>. So long as the aggregate outstanding principal amount of all Swing Loans does not,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time, exceed $75,000,000 (except as contemplated in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Swing Lender shall make a Revolving Loan (any such Revolving Loan made by Swing Lender pursuant to this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being referred to as a “</w:t>
      </w:r>
      <w:r>
        <w:rPr>
          <w:rFonts w:ascii="Arial" w:cs="Arial" w:eastAsia="Arial" w:hAnsi="Arial"/>
          <w:sz w:val="18"/>
          <w:szCs w:val="18"/>
          <w:u w:val="single" w:color="auto"/>
          <w:color w:val="auto"/>
        </w:rPr>
        <w:t>Swing Loan</w:t>
      </w:r>
      <w:r>
        <w:rPr>
          <w:rFonts w:ascii="Arial" w:cs="Arial" w:eastAsia="Arial" w:hAnsi="Arial"/>
          <w:sz w:val="18"/>
          <w:szCs w:val="18"/>
          <w:color w:val="auto"/>
        </w:rPr>
        <w:t>” and all such Revolving Loans being referred to as “</w:t>
      </w:r>
      <w:r>
        <w:rPr>
          <w:rFonts w:ascii="Arial" w:cs="Arial" w:eastAsia="Arial" w:hAnsi="Arial"/>
          <w:sz w:val="18"/>
          <w:szCs w:val="18"/>
          <w:u w:val="single" w:color="auto"/>
          <w:color w:val="auto"/>
        </w:rPr>
        <w:t>Swing Loans</w:t>
      </w:r>
      <w:r>
        <w:rPr>
          <w:rFonts w:ascii="Arial" w:cs="Arial" w:eastAsia="Arial" w:hAnsi="Arial"/>
          <w:sz w:val="18"/>
          <w:szCs w:val="18"/>
          <w:color w:val="auto"/>
        </w:rPr>
        <w:t xml:space="preserve">”) available to Borrowers on the Funding Date applicable thereto by transferring immediately available funds in the amount of such Borrowing to the Designated Account. Each Swing Loan shall be deemed to be a Revolving Loan hereunder and shall be subject to all the terms and conditions (including </w:t>
      </w:r>
      <w:r>
        <w:rPr>
          <w:rFonts w:ascii="Arial" w:cs="Arial" w:eastAsia="Arial" w:hAnsi="Arial"/>
          <w:sz w:val="18"/>
          <w:szCs w:val="18"/>
          <w:u w:val="single" w:color="auto"/>
          <w:color w:val="auto"/>
        </w:rPr>
        <w:t>Section 3</w:t>
      </w:r>
      <w:r>
        <w:rPr>
          <w:rFonts w:ascii="Arial" w:cs="Arial" w:eastAsia="Arial" w:hAnsi="Arial"/>
          <w:sz w:val="18"/>
          <w:szCs w:val="18"/>
          <w:color w:val="auto"/>
        </w:rPr>
        <w:t>) applicable to other Revolving Loans, except that all payments (including interest) on any Swing Loan shall be payable to Swing Lender solely for its own account. Subject to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3" w:name="page184"/>
    <w:bookmarkEnd w:id="183"/>
    <w:p>
      <w:pPr>
        <w:jc w:val="both"/>
        <w:spacing w:after="0" w:line="257" w:lineRule="auto"/>
        <w:rPr>
          <w:sz w:val="20"/>
          <w:szCs w:val="20"/>
          <w:color w:val="auto"/>
        </w:rPr>
      </w:pPr>
      <w:r>
        <w:rPr>
          <w:rFonts w:ascii="Arial" w:cs="Arial" w:eastAsia="Arial" w:hAnsi="Arial"/>
          <w:sz w:val="19"/>
          <w:szCs w:val="19"/>
          <w:color w:val="auto"/>
        </w:rPr>
        <w:t xml:space="preserve">provisions of </w:t>
      </w:r>
      <w:r>
        <w:rPr>
          <w:rFonts w:ascii="Arial" w:cs="Arial" w:eastAsia="Arial" w:hAnsi="Arial"/>
          <w:sz w:val="19"/>
          <w:szCs w:val="19"/>
          <w:u w:val="single" w:color="auto"/>
          <w:color w:val="auto"/>
        </w:rPr>
        <w:t>Section 2.3(d)(ii)</w:t>
      </w:r>
      <w:r>
        <w:rPr>
          <w:rFonts w:ascii="Arial" w:cs="Arial" w:eastAsia="Arial" w:hAnsi="Arial"/>
          <w:sz w:val="19"/>
          <w:szCs w:val="19"/>
          <w:color w:val="auto"/>
        </w:rPr>
        <w:t xml:space="preserve">, Swing Lender shall not make and shall not be obligated to make any Swing Loan if Swing Lender has actual knowledge that (i) one or more of the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will not be satisfied (or waived in accordance with the terms of this Agreement) on the requested Funding Date for the applicable Borrowing or (ii) the requested Borrowing would exceed the Availability on such Funding Date. Swing Lender shall not otherwise be required to determine whether the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have been satisfied on the Funding Date applicable thereto prior to making any Swing Loan. The Swing Loans shall be secured by Agent’s Liens, constitute Revolving Loans and Obligations, and bear interest at the rate applicable from time to time to Revolving Loans that are Base Rate Loans.</w:t>
      </w:r>
    </w:p>
    <w:p>
      <w:pPr>
        <w:spacing w:after="0" w:line="177" w:lineRule="exact"/>
        <w:rPr>
          <w:sz w:val="20"/>
          <w:szCs w:val="20"/>
          <w:color w:val="auto"/>
        </w:rPr>
      </w:pPr>
    </w:p>
    <w:p>
      <w:pPr>
        <w:ind w:left="1880" w:hanging="387"/>
        <w:spacing w:after="0"/>
        <w:tabs>
          <w:tab w:leader="none" w:pos="1880" w:val="left"/>
        </w:tabs>
        <w:numPr>
          <w:ilvl w:val="0"/>
          <w:numId w:val="159"/>
        </w:numPr>
        <w:rPr>
          <w:rFonts w:ascii="Arial" w:cs="Arial" w:eastAsia="Arial" w:hAnsi="Arial"/>
          <w:sz w:val="20"/>
          <w:szCs w:val="20"/>
          <w:color w:val="auto"/>
        </w:rPr>
      </w:pPr>
      <w:r>
        <w:rPr>
          <w:rFonts w:ascii="Arial" w:cs="Arial" w:eastAsia="Arial" w:hAnsi="Arial"/>
          <w:sz w:val="20"/>
          <w:szCs w:val="20"/>
          <w:b w:val="1"/>
          <w:bCs w:val="1"/>
          <w:color w:val="auto"/>
        </w:rPr>
        <w:t>Making of Revolving Loans</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left="560" w:firstLine="1494"/>
        <w:spacing w:after="0" w:line="269" w:lineRule="auto"/>
        <w:tabs>
          <w:tab w:leader="none" w:pos="245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If Swing Lender is not obligated to make a Swing Loan, then after receipt of a request for a Borrowing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Agent shall notify the Lenders by telecopy, telephone, email, or other electronic form of transmission, of the requested Borrowing; such notification to be sent on the Business Day or U.S. Government Securities Business Day, as applicable, that is (a) in the case of a Base Rate Loan, at least one Business Day prior to the requested Funding Date, or (b) in the case of a SOFR Loan, at least three U.S. Government Securities Business Days prior to the requested Funding Date. If Agent has notified the Lenders of a requested Borrowing on the Business Day that is one Business Day prior to the Funding Date, then each Lender shall make the amount of such Lender’s Pro Rata Share of the requested Borrowing available to Agent in immediately available funds, to Agent’s Account, not later than 10:00 a.m. on the Business Day that is the requested Funding Date. After Agent’s receipt of the 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provisions of </w:t>
      </w:r>
      <w:r>
        <w:rPr>
          <w:rFonts w:ascii="Arial" w:cs="Arial" w:eastAsia="Arial" w:hAnsi="Arial"/>
          <w:sz w:val="18"/>
          <w:szCs w:val="18"/>
          <w:u w:val="single" w:color="auto"/>
          <w:color w:val="auto"/>
        </w:rPr>
        <w:t>Section 2.3(d)(ii)</w:t>
      </w:r>
      <w:r>
        <w:rPr>
          <w:rFonts w:ascii="Arial" w:cs="Arial" w:eastAsia="Arial" w:hAnsi="Arial"/>
          <w:sz w:val="18"/>
          <w:szCs w:val="18"/>
          <w:color w:val="auto"/>
        </w:rPr>
        <w:t xml:space="preserve">, no Lender shall have an obligation to make any Revolving Loan, if (1) one or more of the applicable conditions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will not be satisfied on the requested Funding Date for the applicable Borrowing unless such condition has been waived, or (2) the requested Borrowing would exceed the Availability on such Funding Date.</w:t>
      </w:r>
    </w:p>
    <w:p>
      <w:pPr>
        <w:spacing w:after="0" w:line="177" w:lineRule="exact"/>
        <w:rPr>
          <w:rFonts w:ascii="Arial" w:cs="Arial" w:eastAsia="Arial" w:hAnsi="Arial"/>
          <w:sz w:val="18"/>
          <w:szCs w:val="18"/>
          <w:color w:val="auto"/>
        </w:rPr>
      </w:pPr>
    </w:p>
    <w:p>
      <w:pPr>
        <w:jc w:val="both"/>
        <w:ind w:left="560" w:firstLine="1494"/>
        <w:spacing w:after="0" w:line="269" w:lineRule="auto"/>
        <w:tabs>
          <w:tab w:leader="none" w:pos="245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shall be conclusive, absent manifest error. If the</w:t>
      </w: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184" w:name="page185"/>
    <w:bookmarkEnd w:id="184"/>
    <w:p>
      <w:pPr>
        <w:jc w:val="both"/>
        <w:spacing w:after="0" w:line="278" w:lineRule="auto"/>
        <w:rPr>
          <w:sz w:val="20"/>
          <w:szCs w:val="20"/>
          <w:color w:val="auto"/>
        </w:rPr>
      </w:pPr>
      <w:r>
        <w:rPr>
          <w:rFonts w:ascii="Arial" w:cs="Arial" w:eastAsia="Arial" w:hAnsi="Arial"/>
          <w:sz w:val="18"/>
          <w:szCs w:val="18"/>
          <w:color w:val="auto"/>
        </w:rPr>
        <w:t>amount that a Lender is required to remit is made available to Agent, then such payment to Agent shall constitute such Lender’s Revolving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interest rate applicable at the time to the Revolving Loans composing such Borrowing.</w:t>
      </w:r>
    </w:p>
    <w:p>
      <w:pPr>
        <w:spacing w:after="0" w:line="157" w:lineRule="exact"/>
        <w:rPr>
          <w:sz w:val="20"/>
          <w:szCs w:val="20"/>
          <w:color w:val="auto"/>
        </w:rPr>
      </w:pPr>
    </w:p>
    <w:p>
      <w:pPr>
        <w:ind w:left="1320" w:hanging="387"/>
        <w:spacing w:after="0"/>
        <w:tabs>
          <w:tab w:leader="none" w:pos="1320" w:val="left"/>
        </w:tabs>
        <w:numPr>
          <w:ilvl w:val="0"/>
          <w:numId w:val="160"/>
        </w:numPr>
        <w:rPr>
          <w:rFonts w:ascii="Arial" w:cs="Arial" w:eastAsia="Arial" w:hAnsi="Arial"/>
          <w:sz w:val="20"/>
          <w:szCs w:val="20"/>
          <w:color w:val="auto"/>
        </w:rPr>
      </w:pPr>
      <w:r>
        <w:rPr>
          <w:rFonts w:ascii="Arial" w:cs="Arial" w:eastAsia="Arial" w:hAnsi="Arial"/>
          <w:sz w:val="20"/>
          <w:szCs w:val="20"/>
          <w:b w:val="1"/>
          <w:bCs w:val="1"/>
          <w:color w:val="auto"/>
        </w:rPr>
        <w:t>Protective Advances and Optional Overadvances</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firstLine="1494"/>
        <w:spacing w:after="0" w:line="256" w:lineRule="auto"/>
        <w:tabs>
          <w:tab w:leader="none" w:pos="1893"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Any contrary provision of this Agreement or any other Loan Document notwithstanding (but subject to </w:t>
      </w:r>
      <w:r>
        <w:rPr>
          <w:rFonts w:ascii="Arial" w:cs="Arial" w:eastAsia="Arial" w:hAnsi="Arial"/>
          <w:sz w:val="19"/>
          <w:szCs w:val="19"/>
          <w:u w:val="single" w:color="auto"/>
          <w:color w:val="auto"/>
        </w:rPr>
        <w:t>Section 2.3(d)(iv)</w:t>
      </w:r>
      <w:r>
        <w:rPr>
          <w:rFonts w:ascii="Arial" w:cs="Arial" w:eastAsia="Arial" w:hAnsi="Arial"/>
          <w:sz w:val="19"/>
          <w:szCs w:val="19"/>
          <w:color w:val="auto"/>
        </w:rPr>
        <w:t xml:space="preserve">), at any time (a) after the occurrence and during the continuance of a Default or an Event of Default, or (b) that any of the other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not satisfied,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or (2) to enhance the likelihood of repayment of the Obligations (other than the Bank Product Obligations) (the Revolving Loans described in this </w:t>
      </w:r>
      <w:r>
        <w:rPr>
          <w:rFonts w:ascii="Arial" w:cs="Arial" w:eastAsia="Arial" w:hAnsi="Arial"/>
          <w:sz w:val="19"/>
          <w:szCs w:val="19"/>
          <w:u w:val="single" w:color="auto"/>
          <w:color w:val="auto"/>
        </w:rPr>
        <w:t>Section 2.3(d)(i)</w:t>
      </w:r>
      <w:r>
        <w:rPr>
          <w:rFonts w:ascii="Arial" w:cs="Arial" w:eastAsia="Arial" w:hAnsi="Arial"/>
          <w:sz w:val="19"/>
          <w:szCs w:val="19"/>
          <w:color w:val="auto"/>
        </w:rPr>
        <w:t xml:space="preserve"> shall be referred to as “</w:t>
      </w:r>
      <w:r>
        <w:rPr>
          <w:rFonts w:ascii="Arial" w:cs="Arial" w:eastAsia="Arial" w:hAnsi="Arial"/>
          <w:sz w:val="19"/>
          <w:szCs w:val="19"/>
          <w:u w:val="single" w:color="auto"/>
          <w:color w:val="auto"/>
        </w:rPr>
        <w:t>Protective Advances</w:t>
      </w:r>
      <w:r>
        <w:rPr>
          <w:rFonts w:ascii="Arial" w:cs="Arial" w:eastAsia="Arial" w:hAnsi="Arial"/>
          <w:sz w:val="19"/>
          <w:szCs w:val="19"/>
          <w:color w:val="auto"/>
        </w:rPr>
        <w:t>”). Notwithstanding the foregoing, the aggregate amount of all Protective Advances outstanding at any one time shall not exceed 5% of the Maximum Revolver Amount.</w:t>
      </w:r>
    </w:p>
    <w:p>
      <w:pPr>
        <w:spacing w:after="0" w:line="181" w:lineRule="exact"/>
        <w:rPr>
          <w:rFonts w:ascii="Arial" w:cs="Arial" w:eastAsia="Arial" w:hAnsi="Arial"/>
          <w:sz w:val="19"/>
          <w:szCs w:val="19"/>
          <w:color w:val="auto"/>
        </w:rPr>
      </w:pPr>
    </w:p>
    <w:p>
      <w:pPr>
        <w:jc w:val="both"/>
        <w:ind w:firstLine="1494"/>
        <w:spacing w:after="0" w:line="268" w:lineRule="auto"/>
        <w:tabs>
          <w:tab w:leader="none" w:pos="1893"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Any contrary provision of this Agreement or any other Loan Document notwithstanding, the Lenders hereby authorize Agent or Swing Lender, as applicable, and either Agent or Swing Lender, as applicable, may, but is not obligated to, knowingly and intentionally, continue to make Revolving Loans (including Swing Loans) to Borrowers notwithstanding that an Overadvance exists or would be created thereby, so long as (a) after giving effect to such Revolving Loans, the outstanding Revolver Usage does not exceed the Borrowing Base by more than 5% of the Maximum Revolver Amount, and (b) subject to </w:t>
      </w:r>
      <w:r>
        <w:rPr>
          <w:rFonts w:ascii="Arial" w:cs="Arial" w:eastAsia="Arial" w:hAnsi="Arial"/>
          <w:sz w:val="18"/>
          <w:szCs w:val="18"/>
          <w:u w:val="single" w:color="auto"/>
          <w:color w:val="auto"/>
        </w:rPr>
        <w:t>Section 2.3(d)(iv)</w:t>
      </w:r>
      <w:r>
        <w:rPr>
          <w:rFonts w:ascii="Arial" w:cs="Arial" w:eastAsia="Arial" w:hAnsi="Arial"/>
          <w:sz w:val="18"/>
          <w:szCs w:val="18"/>
          <w:color w:val="auto"/>
        </w:rPr>
        <w:t xml:space="preserve"> below, after giving effect to such Revolving Loans, the outstanding Revolver Usage (except for and excluding amounts charged to the Loan Account for interest, fees, or Lender Group Expenses) does not exceed the Maximum Revolver Amount (as adjusted for any Reserves against the Maximum Revolver Amount implemented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If Agent obtains actual knowledge that the Revolver Usage exceeds the amounts permitted by this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regardless of the amount of, or reason for, such excess, Agent shall notify the Lenders as soon as practicable (and before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Revolver Commitments thereupon shall, together with Agent, jointly determine the terms of arrangements that shall be implemented with Borrowers intended to reduce, within a reasonable time, the outstanding principal amount of the Revolving Loans to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In any event, if any Overadvance not otherwise made or permitted pursuant to this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remains outstanding for more than 45 days, unless otherwise agreed to by the Required Lenders, Borrowers shall immediately repay Revolving Loans in an amount sufficient to eliminate all such Overadvance not otherwise made or permitted pursuant to this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The foregoing provisions are meant for the benefit of the Lenders and Agent and are not meant for the benefit of Borrowers, which shall continue to be bound by the provisions of </w:t>
      </w:r>
      <w:r>
        <w:rPr>
          <w:rFonts w:ascii="Arial" w:cs="Arial" w:eastAsia="Arial" w:hAnsi="Arial"/>
          <w:sz w:val="18"/>
          <w:szCs w:val="18"/>
          <w:u w:val="single" w:color="auto"/>
          <w:color w:val="auto"/>
        </w:rPr>
        <w:t>Section 2.4(e)(i)</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113030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85" w:name="page186"/>
    <w:bookmarkEnd w:id="185"/>
    <w:p>
      <w:pPr>
        <w:jc w:val="both"/>
        <w:ind w:left="560"/>
        <w:spacing w:after="0" w:line="249" w:lineRule="auto"/>
        <w:rPr>
          <w:sz w:val="20"/>
          <w:szCs w:val="20"/>
          <w:color w:val="auto"/>
        </w:rPr>
      </w:pPr>
      <w:r>
        <w:rPr>
          <w:rFonts w:ascii="Arial" w:cs="Arial" w:eastAsia="Arial" w:hAnsi="Arial"/>
          <w:sz w:val="20"/>
          <w:szCs w:val="20"/>
          <w:color w:val="auto"/>
        </w:rPr>
        <w:t>Agent’s and Swing Lender’s authorization to make intentional Overadvances may be revoked at any time by the Required Lenders delivering written notice of such revocation to Agent. Any such revocation shall become effective prospectively upon Agent’s receipt thereof.</w:t>
      </w:r>
    </w:p>
    <w:p>
      <w:pPr>
        <w:spacing w:after="0" w:line="188" w:lineRule="exact"/>
        <w:rPr>
          <w:sz w:val="20"/>
          <w:szCs w:val="20"/>
          <w:color w:val="auto"/>
        </w:rPr>
      </w:pPr>
    </w:p>
    <w:p>
      <w:pPr>
        <w:jc w:val="both"/>
        <w:ind w:left="560" w:firstLine="1494"/>
        <w:spacing w:after="0" w:line="272" w:lineRule="auto"/>
        <w:tabs>
          <w:tab w:leader="none" w:pos="2453" w:val="left"/>
        </w:tabs>
        <w:numPr>
          <w:ilvl w:val="2"/>
          <w:numId w:val="161"/>
        </w:numPr>
        <w:rPr>
          <w:rFonts w:ascii="Arial" w:cs="Arial" w:eastAsia="Arial" w:hAnsi="Arial"/>
          <w:sz w:val="18"/>
          <w:szCs w:val="18"/>
          <w:color w:val="auto"/>
        </w:rPr>
      </w:pPr>
      <w:r>
        <w:rPr>
          <w:rFonts w:ascii="Arial" w:cs="Arial" w:eastAsia="Arial" w:hAnsi="Arial"/>
          <w:sz w:val="18"/>
          <w:szCs w:val="18"/>
          <w:color w:val="auto"/>
        </w:rPr>
        <w:t>Each Protective Advance and each Overadvance (each, an “</w:t>
      </w:r>
      <w:r>
        <w:rPr>
          <w:rFonts w:ascii="Arial" w:cs="Arial" w:eastAsia="Arial" w:hAnsi="Arial"/>
          <w:sz w:val="18"/>
          <w:szCs w:val="18"/>
          <w:u w:val="single" w:color="auto"/>
          <w:color w:val="auto"/>
        </w:rPr>
        <w:t>Extraordinary Advance</w:t>
      </w:r>
      <w:r>
        <w:rPr>
          <w:rFonts w:ascii="Arial" w:cs="Arial" w:eastAsia="Arial" w:hAnsi="Arial"/>
          <w:sz w:val="18"/>
          <w:szCs w:val="18"/>
          <w:color w:val="auto"/>
        </w:rPr>
        <w:t xml:space="preserve">”) shall be deemed to be a Revolving Loan hereunder, except that no Extraordinary Advance shall be eligible to be a SOFR Loan. Prior to Settlement of any Extraordinary Advance, all payments with respect thereto, including interest thereon, shall be payable to Agent solely for its own account. Each Revolving Lender shall be obligated to settle with Agent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as applicable) for the amount of such Lender’s Pro Rata Share of any Extraordinary Advance. The Extraordinary Advances shall be repayable on demand, secured by Agent’s Liens, constitute Obligations hereunder, and bear interest at the rate applicable from time to time to Revolving Loans that are Base Rate Loans. The provisions of this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are for the exclusive benefit of Agent, Swing Lender, and the Lenders and are not intended to benefit Borrowers (or any other Loan Party) in any way.</w:t>
      </w:r>
    </w:p>
    <w:p>
      <w:pPr>
        <w:spacing w:after="0" w:line="172" w:lineRule="exact"/>
        <w:rPr>
          <w:rFonts w:ascii="Arial" w:cs="Arial" w:eastAsia="Arial" w:hAnsi="Arial"/>
          <w:sz w:val="18"/>
          <w:szCs w:val="18"/>
          <w:color w:val="auto"/>
        </w:rPr>
      </w:pPr>
    </w:p>
    <w:p>
      <w:pPr>
        <w:jc w:val="both"/>
        <w:ind w:left="560" w:firstLine="1494"/>
        <w:spacing w:after="0" w:line="246" w:lineRule="auto"/>
        <w:tabs>
          <w:tab w:leader="none" w:pos="2453" w:val="left"/>
        </w:tabs>
        <w:numPr>
          <w:ilvl w:val="2"/>
          <w:numId w:val="161"/>
        </w:numPr>
        <w:rPr>
          <w:rFonts w:ascii="Arial" w:cs="Arial" w:eastAsia="Arial" w:hAnsi="Arial"/>
          <w:sz w:val="20"/>
          <w:szCs w:val="20"/>
          <w:color w:val="auto"/>
        </w:rPr>
      </w:pPr>
      <w:r>
        <w:rPr>
          <w:rFonts w:ascii="Arial" w:cs="Arial" w:eastAsia="Arial" w:hAnsi="Arial"/>
          <w:sz w:val="20"/>
          <w:szCs w:val="20"/>
          <w:color w:val="auto"/>
        </w:rPr>
        <w:t>Notwithstanding anything contained in this Agreement or any other Loan Document to the contrary, no Extraordinary Advance may be made by Agent if such Extraordinary Advance would cause the aggregate Revolver Usage to exceed the Maximum Revolver Amount or any Lender’s Pro Rata Share of the Revolver Usage to exceed such Lender’s Revolver Commitments.</w:t>
      </w:r>
    </w:p>
    <w:p>
      <w:pPr>
        <w:spacing w:after="0" w:line="183" w:lineRule="exact"/>
        <w:rPr>
          <w:rFonts w:ascii="Arial" w:cs="Arial" w:eastAsia="Arial" w:hAnsi="Arial"/>
          <w:sz w:val="20"/>
          <w:szCs w:val="20"/>
          <w:color w:val="auto"/>
        </w:rPr>
      </w:pPr>
    </w:p>
    <w:p>
      <w:pPr>
        <w:jc w:val="both"/>
        <w:ind w:firstLine="1493"/>
        <w:spacing w:after="0" w:line="280" w:lineRule="auto"/>
        <w:tabs>
          <w:tab w:leader="none" w:pos="1893"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 It is agreed that each Lender’s funded portion of the Revolving Loans is intended by the Lenders to</w:t>
      </w:r>
      <w:r>
        <w:rPr>
          <w:rFonts w:ascii="Arial" w:cs="Arial" w:eastAsia="Arial" w:hAnsi="Arial"/>
          <w:sz w:val="18"/>
          <w:szCs w:val="18"/>
          <w:b w:val="1"/>
          <w:bCs w:val="1"/>
          <w:color w:val="auto"/>
        </w:rPr>
        <w:t xml:space="preserve"> </w:t>
      </w:r>
      <w:r>
        <w:rPr>
          <w:rFonts w:ascii="Arial" w:cs="Arial" w:eastAsia="Arial" w:hAnsi="Arial"/>
          <w:sz w:val="18"/>
          <w:szCs w:val="18"/>
          <w:color w:val="auto"/>
        </w:rPr>
        <w:t>equal, at all times, such Lender’s Pro Rata Share of the outstanding Revolving Loans. Such agreement notwithstanding, Agent, Swing Lender, and the other Lenders agree (which agreement shall not be for the benefit of Borrowers) that in order to facilitate the administration of this Agreement and the other Loan Documents, settlement among the Lenders as to the Revolving Loans (including Swing Loans and Extraordinary Advances) shall take place on a periodic basis in accordance with the following provisions:</w:t>
      </w:r>
    </w:p>
    <w:p>
      <w:pPr>
        <w:spacing w:after="0" w:line="160" w:lineRule="exact"/>
        <w:rPr>
          <w:rFonts w:ascii="Arial" w:cs="Arial" w:eastAsia="Arial" w:hAnsi="Arial"/>
          <w:sz w:val="18"/>
          <w:szCs w:val="18"/>
          <w:color w:val="auto"/>
        </w:rPr>
      </w:pPr>
    </w:p>
    <w:p>
      <w:pPr>
        <w:jc w:val="both"/>
        <w:ind w:left="560" w:firstLine="1494"/>
        <w:spacing w:after="0" w:line="275" w:lineRule="auto"/>
        <w:tabs>
          <w:tab w:leader="none" w:pos="2453"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Agent shall request settlement (“</w:t>
      </w:r>
      <w:r>
        <w:rPr>
          <w:rFonts w:ascii="Arial" w:cs="Arial" w:eastAsia="Arial" w:hAnsi="Arial"/>
          <w:sz w:val="18"/>
          <w:szCs w:val="18"/>
          <w:u w:val="single" w:color="auto"/>
          <w:color w:val="auto"/>
        </w:rPr>
        <w:t>Settlement</w:t>
      </w:r>
      <w:r>
        <w:rPr>
          <w:rFonts w:ascii="Arial" w:cs="Arial" w:eastAsia="Arial" w:hAnsi="Arial"/>
          <w:sz w:val="18"/>
          <w:szCs w:val="18"/>
          <w:color w:val="auto"/>
        </w:rPr>
        <w:t>”) with the Lenders on a weekly basis, or on a more frequent basis if so determined by Agent in its sole discretion (1) on behalf of Swing Lender, with respect to the outstanding Swing Loans,</w:t>
      </w:r>
    </w:p>
    <w:p>
      <w:pPr>
        <w:jc w:val="both"/>
        <w:ind w:left="560" w:hanging="3"/>
        <w:spacing w:after="0" w:line="268" w:lineRule="auto"/>
        <w:tabs>
          <w:tab w:leader="none" w:pos="8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itself, with respect to the outstanding Extraordinary Advances, and (3) with respect to any Loan Party’s or any of their Restricted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Such notice of a Settlement Date shall include a summary statement of the amount of outstanding Revolving Loans (including Swing Loans and Extraordinary Advances) for the period since the prior Settlement Date. Subject to the terms and conditions contained herein (including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2.3(g)</w:t>
      </w:r>
      <w:r>
        <w:rPr>
          <w:rFonts w:ascii="Arial" w:cs="Arial" w:eastAsia="Arial" w:hAnsi="Arial"/>
          <w:sz w:val="18"/>
          <w:szCs w:val="18"/>
          <w:color w:val="auto"/>
        </w:rPr>
        <w:t>): (y) if the amount of the Revolving Loans (including Swing Loans and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 Loans and Extraordinary Advances), and (z) if the amount of the Revolving Loans (including Swing Loans and Extraordinary Advances) made by a Lender is less than such Lender’s Pro Rata Share of the Revolving Loans (including Swing Loans and Extraordinary Advances) as of a Settlement Date, such Lender shall no later than 12:00 p.m. on the</w:t>
      </w:r>
    </w:p>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186" w:name="page187"/>
    <w:bookmarkEnd w:id="186"/>
    <w:p>
      <w:pPr>
        <w:jc w:val="both"/>
        <w:ind w:left="560"/>
        <w:spacing w:after="0" w:line="256" w:lineRule="auto"/>
        <w:rPr>
          <w:sz w:val="20"/>
          <w:szCs w:val="20"/>
          <w:color w:val="auto"/>
        </w:rPr>
      </w:pPr>
      <w:r>
        <w:rPr>
          <w:rFonts w:ascii="Arial" w:cs="Arial" w:eastAsia="Arial" w:hAnsi="Arial"/>
          <w:sz w:val="19"/>
          <w:szCs w:val="19"/>
          <w:color w:val="auto"/>
        </w:rPr>
        <w:t>Settlement Date transfer in immediately available funds to Agent’s Account, an amount such that each such Lender shall, upon transfer of such amount, have as of the Settlement Date, its Pro Rata Share of the Revolving Loans (including Swing Loans and Extraordinary Advances). Such amounts made available to Agent under clause (z) of the immediately preceding sentence shall be applied against the amounts of the applicable Swing Loans or Extraordinary Advances and, together with the portion of such Swing Loans or Extraordinary Advances representing Swing Lender’s Pro Rata Share thereof,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185" w:lineRule="exact"/>
        <w:rPr>
          <w:sz w:val="20"/>
          <w:szCs w:val="20"/>
          <w:color w:val="auto"/>
        </w:rPr>
      </w:pPr>
    </w:p>
    <w:p>
      <w:pPr>
        <w:jc w:val="both"/>
        <w:ind w:left="560" w:firstLine="1494"/>
        <w:spacing w:after="0" w:line="244" w:lineRule="auto"/>
        <w:tabs>
          <w:tab w:leader="none" w:pos="2453"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In determining whether a Lender’s balance of the Revolving Loans (including Swing Loans and Extraordinary Advances) is less than, equal to, or greater than such Lender’s Pro Rata Share of the Revolving Loans (including Swing Loans and Extraordinary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w:t>
      </w:r>
    </w:p>
    <w:p>
      <w:pPr>
        <w:spacing w:after="0" w:line="192" w:lineRule="exact"/>
        <w:rPr>
          <w:rFonts w:ascii="Arial" w:cs="Arial" w:eastAsia="Arial" w:hAnsi="Arial"/>
          <w:sz w:val="20"/>
          <w:szCs w:val="20"/>
          <w:color w:val="auto"/>
        </w:rPr>
      </w:pPr>
    </w:p>
    <w:p>
      <w:pPr>
        <w:jc w:val="both"/>
        <w:ind w:left="560" w:firstLine="1494"/>
        <w:spacing w:after="0" w:line="269" w:lineRule="auto"/>
        <w:tabs>
          <w:tab w:leader="none" w:pos="245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Swing Lender any payments or other amounts received by Agent, that in accordance with the terms of this Agreement would be applied to the reduction of the Revolving Loans, for application to Swing Lender’s Pro Rata Share of the Revolving Loans. If, as of any Settlement Date, payments or other amounts of the Loan Parties or their Restricted Subsidiaries received since the then immediately preceding Settlement Date have been applied to Swing Lender’s Pro Rata Share of the Revolving Loans other than to Swing Loans, as provided for in the previous sentence, Swing Lender shall pay to Agent for the accounts of the Lenders, and Agent shall pay to the Lenders (other than a Defaulting Lender if Agent has implemented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to be applied to the outstanding Revolving Loans of such Lenders, an amount such that each such Lender shall, upon receipt of such amount, have, as of such Settlement Date, its Pro Rata Share of the Revolving Loans. During the period between Settlement Dates, Swing Lender with respect to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Swing Lender, Agent, or the Lenders, as applicable.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both"/>
        <w:ind w:left="560" w:firstLine="1494"/>
        <w:spacing w:after="0" w:line="249" w:lineRule="auto"/>
        <w:tabs>
          <w:tab w:leader="none" w:pos="2453"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to the contrary notwithstanding, if a Lender is a Defaulting Lender, Agent shall be entitled to refrain from remitting settlement amounts to the Defaulting Lender and, instead, shall be entitled to elect to implement the provisions set forth in </w:t>
      </w:r>
      <w:r>
        <w:rPr>
          <w:rFonts w:ascii="Arial" w:cs="Arial" w:eastAsia="Arial" w:hAnsi="Arial"/>
          <w:sz w:val="20"/>
          <w:szCs w:val="20"/>
          <w:u w:val="single" w:color="auto"/>
          <w:color w:val="auto"/>
        </w:rPr>
        <w:t>Section 2.3(g)</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firstLine="1493"/>
        <w:spacing w:after="0" w:line="265" w:lineRule="auto"/>
        <w:tabs>
          <w:tab w:leader="none" w:pos="1893"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Notation</w:t>
      </w:r>
      <w:r>
        <w:rPr>
          <w:rFonts w:ascii="Arial" w:cs="Arial" w:eastAsia="Arial" w:hAnsi="Arial"/>
          <w:sz w:val="19"/>
          <w:szCs w:val="19"/>
          <w:color w:val="auto"/>
        </w:rPr>
        <w:t>. Consistent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13.1(h)</w:t>
      </w:r>
      <w:r>
        <w:rPr>
          <w:rFonts w:ascii="Arial" w:cs="Arial" w:eastAsia="Arial" w:hAnsi="Arial"/>
          <w:sz w:val="19"/>
          <w:szCs w:val="19"/>
          <w:color w:val="auto"/>
        </w:rPr>
        <w:t>, Agent, as a non-fiduciary agent for Borrowers, shall maintain a register</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u w:val="single" w:color="auto"/>
          <w:color w:val="auto"/>
        </w:rPr>
        <w:t>Register</w:t>
      </w:r>
      <w:r>
        <w:rPr>
          <w:rFonts w:ascii="Arial" w:cs="Arial" w:eastAsia="Arial" w:hAnsi="Arial"/>
          <w:sz w:val="19"/>
          <w:szCs w:val="19"/>
          <w:color w:val="auto"/>
        </w:rPr>
        <w:t>”) showing the principal amount and stated interest of the Revolving Loans owing to each Lender, including the Swing Loans owing to Swing Lender, and Extraordinary Advances owing to Agent, and the interests therein of each Lender, from time to time and such Register shall, absent manifest error, conclusively be presumed to be correct and accurate. The</w:t>
      </w:r>
    </w:p>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187" w:name="page188"/>
    <w:bookmarkEnd w:id="187"/>
    <w:p>
      <w:pPr>
        <w:spacing w:after="0" w:line="260" w:lineRule="auto"/>
        <w:rPr>
          <w:sz w:val="20"/>
          <w:szCs w:val="20"/>
          <w:color w:val="auto"/>
        </w:rPr>
      </w:pPr>
      <w:r>
        <w:rPr>
          <w:rFonts w:ascii="Arial" w:cs="Arial" w:eastAsia="Arial" w:hAnsi="Arial"/>
          <w:sz w:val="20"/>
          <w:szCs w:val="20"/>
          <w:color w:val="auto"/>
        </w:rPr>
        <w:t>Register shall be available for inspection by any Borrower and any Lender, at any reasonable time and from time to time upon reasonable prior notice.</w:t>
      </w:r>
    </w:p>
    <w:p>
      <w:pPr>
        <w:spacing w:after="0" w:line="170" w:lineRule="exact"/>
        <w:rPr>
          <w:sz w:val="20"/>
          <w:szCs w:val="20"/>
          <w:color w:val="auto"/>
        </w:rPr>
      </w:pPr>
    </w:p>
    <w:p>
      <w:pPr>
        <w:ind w:left="1880" w:hanging="387"/>
        <w:spacing w:after="0"/>
        <w:tabs>
          <w:tab w:leader="none" w:pos="1880" w:val="left"/>
        </w:tabs>
        <w:numPr>
          <w:ilvl w:val="1"/>
          <w:numId w:val="166"/>
        </w:numPr>
        <w:rPr>
          <w:rFonts w:ascii="Arial" w:cs="Arial" w:eastAsia="Arial" w:hAnsi="Arial"/>
          <w:sz w:val="20"/>
          <w:szCs w:val="20"/>
          <w:color w:val="auto"/>
        </w:rPr>
      </w:pPr>
      <w:r>
        <w:rPr>
          <w:rFonts w:ascii="Arial" w:cs="Arial" w:eastAsia="Arial" w:hAnsi="Arial"/>
          <w:sz w:val="20"/>
          <w:szCs w:val="20"/>
          <w:b w:val="1"/>
          <w:bCs w:val="1"/>
          <w:color w:val="auto"/>
        </w:rPr>
        <w:t>Defaulting Lenders</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left="560" w:firstLine="1494"/>
        <w:spacing w:after="0" w:line="267" w:lineRule="auto"/>
        <w:tabs>
          <w:tab w:leader="none" w:pos="2453" w:val="left"/>
        </w:tabs>
        <w:numPr>
          <w:ilvl w:val="2"/>
          <w:numId w:val="166"/>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2.4(b)(iii)</w:t>
      </w:r>
      <w:r>
        <w:rPr>
          <w:rFonts w:ascii="Arial" w:cs="Arial" w:eastAsia="Arial" w:hAnsi="Arial"/>
          <w:sz w:val="18"/>
          <w:szCs w:val="18"/>
          <w:color w:val="auto"/>
        </w:rPr>
        <w:t xml:space="preserve">,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Agent to the extent of any Extraordinary Advances that were made by Agent and that were required to be, but were not, paid by Defaulting Lender, (b)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Swing Lender to the extent of any Swing Loans that were made by Swing Lender and that were required to be, but were not, paid by the Defaulting Lender, (c)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Issuing Bank, to the extent of the portion of a Letter of Credit Disbursement that was required to be, but was not, paid by the Defaulting Lender, (d) </w:t>
      </w:r>
      <w:r>
        <w:rPr>
          <w:rFonts w:ascii="Arial" w:cs="Arial" w:eastAsia="Arial" w:hAnsi="Arial"/>
          <w:sz w:val="18"/>
          <w:szCs w:val="18"/>
          <w:u w:val="single" w:color="auto"/>
          <w:color w:val="auto"/>
        </w:rPr>
        <w:t>fourth</w:t>
      </w:r>
      <w:r>
        <w:rPr>
          <w:rFonts w:ascii="Arial" w:cs="Arial" w:eastAsia="Arial" w:hAnsi="Arial"/>
          <w:sz w:val="18"/>
          <w:szCs w:val="18"/>
          <w:color w:val="auto"/>
        </w:rPr>
        <w:t>, to each Non-Defaulting Lender ratably in accordance with their Commitments (but, in each case, only to the extent that such Defaulting Lender’s portion of a Revolving Loan (or other funding obligation) was funded by such other Non-Defaulting Lender),</w:t>
      </w:r>
    </w:p>
    <w:p>
      <w:pPr>
        <w:spacing w:after="0" w:line="6" w:lineRule="exact"/>
        <w:rPr>
          <w:rFonts w:ascii="Arial" w:cs="Arial" w:eastAsia="Arial" w:hAnsi="Arial"/>
          <w:sz w:val="18"/>
          <w:szCs w:val="18"/>
          <w:color w:val="auto"/>
        </w:rPr>
      </w:pPr>
    </w:p>
    <w:p>
      <w:pPr>
        <w:jc w:val="both"/>
        <w:ind w:left="560" w:hanging="3"/>
        <w:spacing w:after="0" w:line="267" w:lineRule="auto"/>
        <w:tabs>
          <w:tab w:leader="none" w:pos="84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in Agent’s sole discretion, to a suspense account maintained by Agent, the proceeds of which shall be retained by Agent and may be made available to be re-advanced to or for the benefit of Borrowers (upon the request of Borrowers and subject to the conditions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as if such Defaulting Lender had made its portion of Revolving Loans (or other funding obligations) hereunder, and (f)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from and after the date on which all other Obligations have been paid in full, to such Defaulting Lender in accordance with tier (L) of </w:t>
      </w:r>
      <w:r>
        <w:rPr>
          <w:rFonts w:ascii="Arial" w:cs="Arial" w:eastAsia="Arial" w:hAnsi="Arial"/>
          <w:sz w:val="18"/>
          <w:szCs w:val="18"/>
          <w:u w:val="single" w:color="auto"/>
          <w:color w:val="auto"/>
        </w:rPr>
        <w:t>Section 2.4(b)(iii)</w:t>
      </w:r>
      <w:r>
        <w:rPr>
          <w:rFonts w:ascii="Arial" w:cs="Arial" w:eastAsia="Arial" w:hAnsi="Arial"/>
          <w:sz w:val="18"/>
          <w:szCs w:val="18"/>
          <w:color w:val="auto"/>
        </w:rPr>
        <w:t xml:space="preserve">.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such Defaulting Lender shall be deemed not to be a “Lender” and such Lender’s Commitment shall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remain effective with respect to such Defaulting Lender until the earlier of (y) the date on which all of the Non-Defaulting Lenders, Agent, Issuing Bank, and Borrowers shall have waived, in writing, the application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shall be released to Borrowers). The operation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568" w:right="339" w:bottom="1440" w:gutter="0" w:footer="0" w:header="0"/>
        </w:sectPr>
      </w:pPr>
    </w:p>
    <w:bookmarkStart w:id="188" w:name="page189"/>
    <w:bookmarkEnd w:id="188"/>
    <w:p>
      <w:pPr>
        <w:jc w:val="both"/>
        <w:ind w:left="760"/>
        <w:spacing w:after="0" w:line="256" w:lineRule="auto"/>
        <w:rPr>
          <w:sz w:val="20"/>
          <w:szCs w:val="20"/>
          <w:color w:val="auto"/>
        </w:rPr>
      </w:pPr>
      <w:r>
        <w:rPr>
          <w:rFonts w:ascii="Arial" w:cs="Arial" w:eastAsia="Arial" w:hAnsi="Arial"/>
          <w:sz w:val="19"/>
          <w:szCs w:val="19"/>
          <w:color w:val="auto"/>
        </w:rPr>
        <w:t xml:space="preserve">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shall control and govern.</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(ii)  If any Swing Loan or Letter of Credit is outstanding at the time that a Lender becomes a Defaulting Lender</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then:</w:t>
      </w:r>
    </w:p>
    <w:p>
      <w:pPr>
        <w:spacing w:after="0" w:line="199" w:lineRule="exact"/>
        <w:rPr>
          <w:sz w:val="20"/>
          <w:szCs w:val="20"/>
          <w:color w:val="auto"/>
        </w:rPr>
      </w:pPr>
    </w:p>
    <w:p>
      <w:pPr>
        <w:jc w:val="both"/>
        <w:ind w:firstLine="3003"/>
        <w:spacing w:after="0" w:line="244" w:lineRule="auto"/>
        <w:tabs>
          <w:tab w:leader="none" w:pos="339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such Defaulting Lender’s Swing Loan Exposure and Letter of Credit Exposure shall be reallocated among the Non-Defaulting Lenders in accordance with their respective Pro Rata Shares but only to the extent (x) the sum of all Non-Defaulting Lenders’ Pro Rata Share of Revolver Usage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Defaulting Lender’s Swing Loan Exposure and Letter of Credit Exposure does not exceed the total of all Non-Defaulting Lenders’ Revolver Commitments and (y) the conditions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are satisfied (or waived in accordance with the terms of this Agreement) at such time;</w:t>
      </w:r>
    </w:p>
    <w:p>
      <w:pPr>
        <w:spacing w:after="0" w:line="192" w:lineRule="exact"/>
        <w:rPr>
          <w:rFonts w:ascii="Arial" w:cs="Arial" w:eastAsia="Arial" w:hAnsi="Arial"/>
          <w:sz w:val="20"/>
          <w:szCs w:val="20"/>
          <w:color w:val="auto"/>
        </w:rPr>
      </w:pPr>
    </w:p>
    <w:p>
      <w:pPr>
        <w:jc w:val="both"/>
        <w:ind w:firstLine="3003"/>
        <w:spacing w:after="0" w:line="242" w:lineRule="auto"/>
        <w:tabs>
          <w:tab w:leader="none" w:pos="339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if the reallocation described in clause (A) above cannot, or can only partially, be effected, Borrowers shall within one Business Day following written notice by the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 collateral agreement to be entered into in form and substance reasonably satisfactory to the Agent, for so long as such Letter of Credit Exposure is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that Borrowers shall not be obligated to cash collateralize any Defaulting Lender’s Letter of Credit Exposure if such Defaulting Lender is also Issuing Bank;</w:t>
      </w:r>
    </w:p>
    <w:p>
      <w:pPr>
        <w:spacing w:after="0" w:line="197" w:lineRule="exact"/>
        <w:rPr>
          <w:rFonts w:ascii="Arial" w:cs="Arial" w:eastAsia="Arial" w:hAnsi="Arial"/>
          <w:sz w:val="20"/>
          <w:szCs w:val="20"/>
          <w:color w:val="auto"/>
        </w:rPr>
      </w:pPr>
    </w:p>
    <w:p>
      <w:pPr>
        <w:jc w:val="both"/>
        <w:ind w:firstLine="3003"/>
        <w:spacing w:after="0" w:line="246" w:lineRule="auto"/>
        <w:tabs>
          <w:tab w:leader="none" w:pos="339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if Borrowers cash collateralize any portion of such Defaulting Lender’s Letter of Credit Exposure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Borrowers shall not be required to pay any Letter of Credit Fees to Agent for the account of such Defaulting Lender pursuant to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with respect to such cash collateralized portion of such Defaulting Lender’s Letter of Credit Exposure during the period such Letter of Credit Exposure is cash collateralized;</w:t>
      </w:r>
    </w:p>
    <w:p>
      <w:pPr>
        <w:spacing w:after="0" w:line="189" w:lineRule="exact"/>
        <w:rPr>
          <w:rFonts w:ascii="Arial" w:cs="Arial" w:eastAsia="Arial" w:hAnsi="Arial"/>
          <w:sz w:val="20"/>
          <w:szCs w:val="20"/>
          <w:color w:val="auto"/>
        </w:rPr>
      </w:pPr>
    </w:p>
    <w:p>
      <w:pPr>
        <w:jc w:val="both"/>
        <w:ind w:firstLine="3003"/>
        <w:spacing w:after="0" w:line="249" w:lineRule="auto"/>
        <w:tabs>
          <w:tab w:leader="none" w:pos="339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to the extent the Letter of Credit Exposure of the Non-Defaulting Lenders is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then the Letter of Credit Fees payable to the Non-Defaulting Lenders pursuant to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shall be adjusted in accordance with such Non-Defaulting Lenders’ Letter of Credit Exposure;</w:t>
      </w:r>
    </w:p>
    <w:p>
      <w:pPr>
        <w:spacing w:after="0" w:line="187" w:lineRule="exact"/>
        <w:rPr>
          <w:rFonts w:ascii="Arial" w:cs="Arial" w:eastAsia="Arial" w:hAnsi="Arial"/>
          <w:sz w:val="20"/>
          <w:szCs w:val="20"/>
          <w:color w:val="auto"/>
        </w:rPr>
      </w:pPr>
    </w:p>
    <w:p>
      <w:pPr>
        <w:jc w:val="both"/>
        <w:ind w:firstLine="3003"/>
        <w:spacing w:after="0" w:line="244" w:lineRule="auto"/>
        <w:tabs>
          <w:tab w:leader="none" w:pos="339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to the extent any Defaulting Lender’s Letter of Credit Exposure is neither cash collateralized nor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then, without prejudice to any rights or remedies of Issuing Bank or any Lender hereunder, all Letter of Credit Fees that would have otherwise been payable to such Defaulting Lender under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with respect to such portion of such Letter of Credit Exposure shall instead be payable to Issuing Bank until such portion of such Defaulting Lender’s Letter of Credit Exposure is cash collateralized or reallocated;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9" w:name="page190"/>
    <w:bookmarkEnd w:id="189"/>
    <w:p>
      <w:pPr>
        <w:jc w:val="both"/>
        <w:ind w:firstLine="3003"/>
        <w:spacing w:after="0" w:line="258" w:lineRule="auto"/>
        <w:tabs>
          <w:tab w:leader="none" w:pos="339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so long as any Lender is a Defaulting Lender, the Swing Lender shall not be required to make any Swing Loan and Issuing Bank shall not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19"/>
          <w:szCs w:val="19"/>
          <w:u w:val="single" w:color="auto"/>
          <w:color w:val="auto"/>
        </w:rPr>
        <w:t>Section 2.3(g)(ii)</w:t>
      </w:r>
      <w:r>
        <w:rPr>
          <w:rFonts w:ascii="Arial" w:cs="Arial" w:eastAsia="Arial" w:hAnsi="Arial"/>
          <w:sz w:val="19"/>
          <w:szCs w:val="19"/>
          <w:color w:val="auto"/>
        </w:rPr>
        <w:t>, or (y) the Swing Lender or Issuing Bank, as applicable, has not otherwise entered into arrangements reasonably satisfactory to the Swing Lender or Issuing Bank, as applicable, and Borrowers to eliminate the Swing Lender’s or Issuing Bank’s risk with respect to the Defaulting Lender’s participation in Swing Loans or Letters of Credit; and</w:t>
      </w:r>
    </w:p>
    <w:p>
      <w:pPr>
        <w:spacing w:after="0" w:line="181" w:lineRule="exact"/>
        <w:rPr>
          <w:rFonts w:ascii="Arial" w:cs="Arial" w:eastAsia="Arial" w:hAnsi="Arial"/>
          <w:sz w:val="19"/>
          <w:szCs w:val="19"/>
          <w:color w:val="auto"/>
        </w:rPr>
      </w:pPr>
    </w:p>
    <w:p>
      <w:pPr>
        <w:jc w:val="both"/>
        <w:ind w:firstLine="3003"/>
        <w:spacing w:after="0" w:line="243" w:lineRule="auto"/>
        <w:tabs>
          <w:tab w:leader="none" w:pos="3390" w:val="left"/>
        </w:tabs>
        <w:numPr>
          <w:ilvl w:val="1"/>
          <w:numId w:val="169"/>
        </w:numPr>
        <w:rPr>
          <w:rFonts w:ascii="Arial" w:cs="Arial" w:eastAsia="Arial" w:hAnsi="Arial"/>
          <w:sz w:val="20"/>
          <w:szCs w:val="20"/>
          <w:color w:val="auto"/>
        </w:rPr>
      </w:pPr>
      <w:r>
        <w:rPr>
          <w:rFonts w:ascii="Arial" w:cs="Arial" w:eastAsia="Arial" w:hAnsi="Arial"/>
          <w:sz w:val="20"/>
          <w:szCs w:val="20"/>
          <w:color w:val="auto"/>
        </w:rPr>
        <w:t xml:space="preserve">Agent may release any cash collateral provided by Borrowers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to Issuing Bank and Issuing Bank may apply any such cash collateral to the payment of such Defaulting Lender’s Pro Rata Share of any Letter of Credit Disbursement that is not reimbursed by Borrowers pursuant to </w:t>
      </w:r>
      <w:r>
        <w:rPr>
          <w:rFonts w:ascii="Arial" w:cs="Arial" w:eastAsia="Arial" w:hAnsi="Arial"/>
          <w:sz w:val="20"/>
          <w:szCs w:val="20"/>
          <w:u w:val="single" w:color="auto"/>
          <w:color w:val="auto"/>
        </w:rPr>
        <w:t>Section 2.11(d)</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17.14</w:t>
      </w:r>
      <w:r>
        <w:rPr>
          <w:rFonts w:ascii="Arial" w:cs="Arial" w:eastAsia="Arial" w:hAnsi="Arial"/>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8" w:lineRule="exact"/>
        <w:rPr>
          <w:rFonts w:ascii="Arial" w:cs="Arial" w:eastAsia="Arial" w:hAnsi="Arial"/>
          <w:sz w:val="20"/>
          <w:szCs w:val="20"/>
          <w:color w:val="auto"/>
        </w:rPr>
      </w:pPr>
    </w:p>
    <w:p>
      <w:pPr>
        <w:jc w:val="both"/>
        <w:ind w:left="200" w:firstLine="1493"/>
        <w:spacing w:after="0" w:line="244" w:lineRule="auto"/>
        <w:tabs>
          <w:tab w:leader="none" w:pos="2106" w:val="left"/>
        </w:tabs>
        <w:numPr>
          <w:ilvl w:val="0"/>
          <w:numId w:val="170"/>
        </w:numPr>
        <w:rPr>
          <w:rFonts w:ascii="Arial" w:cs="Arial" w:eastAsia="Arial" w:hAnsi="Arial"/>
          <w:sz w:val="20"/>
          <w:szCs w:val="20"/>
          <w:color w:val="auto"/>
        </w:rPr>
      </w:pPr>
      <w:r>
        <w:rPr>
          <w:rFonts w:ascii="Arial" w:cs="Arial" w:eastAsia="Arial" w:hAnsi="Arial"/>
          <w:sz w:val="20"/>
          <w:szCs w:val="20"/>
          <w:b w:val="1"/>
          <w:bCs w:val="1"/>
          <w:color w:val="auto"/>
        </w:rPr>
        <w:t>Independent Obligations</w:t>
      </w:r>
      <w:r>
        <w:rPr>
          <w:rFonts w:ascii="Arial" w:cs="Arial" w:eastAsia="Arial" w:hAnsi="Arial"/>
          <w:sz w:val="20"/>
          <w:szCs w:val="20"/>
          <w:color w:val="auto"/>
        </w:rPr>
        <w:t>. All Revolving Loans (other than Swing Loans and Extraordinary Advances)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by 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2.4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Payments; Reductions of Commitments; Prepayments</w:t>
      </w:r>
      <w:r>
        <w:rPr>
          <w:rFonts w:ascii="Arial" w:cs="Arial" w:eastAsia="Arial" w:hAnsi="Arial"/>
          <w:sz w:val="20"/>
          <w:szCs w:val="20"/>
          <w:color w:val="auto"/>
        </w:rPr>
        <w:t>.</w:t>
      </w:r>
    </w:p>
    <w:p>
      <w:pPr>
        <w:spacing w:after="0" w:line="215" w:lineRule="exact"/>
        <w:rPr>
          <w:sz w:val="20"/>
          <w:szCs w:val="20"/>
          <w:color w:val="auto"/>
        </w:rPr>
      </w:pPr>
    </w:p>
    <w:p>
      <w:pPr>
        <w:ind w:left="2080" w:hanging="387"/>
        <w:spacing w:after="0"/>
        <w:tabs>
          <w:tab w:leader="none" w:pos="2080"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Payments by Borrowers</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left="760" w:firstLine="1494"/>
        <w:spacing w:after="0" w:line="244" w:lineRule="auto"/>
        <w:tabs>
          <w:tab w:leader="none" w:pos="2653" w:val="left"/>
        </w:tabs>
        <w:numPr>
          <w:ilvl w:val="1"/>
          <w:numId w:val="171"/>
        </w:numPr>
        <w:rPr>
          <w:rFonts w:ascii="Arial" w:cs="Arial" w:eastAsia="Arial" w:hAnsi="Arial"/>
          <w:sz w:val="20"/>
          <w:szCs w:val="20"/>
          <w:color w:val="auto"/>
        </w:rPr>
      </w:pPr>
      <w:r>
        <w:rPr>
          <w:rFonts w:ascii="Arial" w:cs="Arial" w:eastAsia="Arial" w:hAnsi="Arial"/>
          <w:sz w:val="20"/>
          <w:szCs w:val="20"/>
          <w:color w:val="auto"/>
        </w:rPr>
        <w:t>Except as otherwise expressly provided herein, all payments by Borrowers shall be made to Agent’s Account for the account of the Lender Group and shall be made in immediately available funds, no later than 2:00 p.m. on the date specified herein. Any payment received by Agent later than 2:00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192" w:lineRule="exact"/>
        <w:rPr>
          <w:rFonts w:ascii="Arial" w:cs="Arial" w:eastAsia="Arial" w:hAnsi="Arial"/>
          <w:sz w:val="20"/>
          <w:szCs w:val="20"/>
          <w:color w:val="auto"/>
        </w:rPr>
      </w:pPr>
    </w:p>
    <w:p>
      <w:pPr>
        <w:jc w:val="both"/>
        <w:ind w:left="760" w:firstLine="1494"/>
        <w:spacing w:after="0" w:line="274" w:lineRule="auto"/>
        <w:tabs>
          <w:tab w:leader="none" w:pos="265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Unless Agent receives notice from Borrowers before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160" w:lineRule="exact"/>
        <w:rPr>
          <w:rFonts w:ascii="Arial" w:cs="Arial" w:eastAsia="Arial" w:hAnsi="Arial"/>
          <w:sz w:val="18"/>
          <w:szCs w:val="18"/>
          <w:color w:val="auto"/>
        </w:rPr>
      </w:pPr>
    </w:p>
    <w:p>
      <w:pPr>
        <w:ind w:left="2080" w:hanging="387"/>
        <w:spacing w:after="0"/>
        <w:tabs>
          <w:tab w:leader="none" w:pos="2080"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Apportionment and Application</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left="760" w:firstLine="1494"/>
        <w:spacing w:after="0" w:line="249" w:lineRule="auto"/>
        <w:tabs>
          <w:tab w:leader="none" w:pos="2653" w:val="left"/>
        </w:tabs>
        <w:numPr>
          <w:ilvl w:val="1"/>
          <w:numId w:val="171"/>
        </w:numPr>
        <w:rPr>
          <w:rFonts w:ascii="Arial" w:cs="Arial" w:eastAsia="Arial" w:hAnsi="Arial"/>
          <w:sz w:val="20"/>
          <w:szCs w:val="20"/>
          <w:color w:val="auto"/>
        </w:rPr>
      </w:pPr>
      <w:r>
        <w:rPr>
          <w:rFonts w:ascii="Arial" w:cs="Arial" w:eastAsia="Arial" w:hAnsi="Arial"/>
          <w:sz w:val="20"/>
          <w:szCs w:val="20"/>
          <w:color w:val="auto"/>
        </w:rPr>
        <w:t>So long as no Application Event has occurred and is continuing and except as otherwise provided herein with respect to Defaulting Lenders, all principal and interest payments received by Agent shall be apportioned ratably among the Lenders (according to the unpaid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0" w:name="page191"/>
    <w:bookmarkEnd w:id="190"/>
    <w:p>
      <w:pPr>
        <w:jc w:val="both"/>
        <w:ind w:left="760"/>
        <w:spacing w:after="0" w:line="246" w:lineRule="auto"/>
        <w:rPr>
          <w:sz w:val="20"/>
          <w:szCs w:val="20"/>
          <w:color w:val="auto"/>
        </w:rPr>
      </w:pPr>
      <w:r>
        <w:rPr>
          <w:rFonts w:ascii="Arial" w:cs="Arial" w:eastAsia="Arial" w:hAnsi="Arial"/>
          <w:sz w:val="20"/>
          <w:szCs w:val="20"/>
          <w:color w:val="auto"/>
        </w:rPr>
        <w:t>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w:t>
      </w:r>
    </w:p>
    <w:p>
      <w:pPr>
        <w:spacing w:after="0" w:line="190" w:lineRule="exact"/>
        <w:rPr>
          <w:sz w:val="20"/>
          <w:szCs w:val="20"/>
          <w:color w:val="auto"/>
        </w:rPr>
      </w:pPr>
    </w:p>
    <w:p>
      <w:pPr>
        <w:jc w:val="both"/>
        <w:ind w:left="760" w:firstLine="1494"/>
        <w:spacing w:after="0" w:line="260" w:lineRule="auto"/>
        <w:tabs>
          <w:tab w:leader="none" w:pos="265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2.4(b)(v) Section 2.3(d)(ii)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2.4(e)</w:t>
      </w:r>
      <w:r>
        <w:rPr>
          <w:rFonts w:ascii="Arial" w:cs="Arial" w:eastAsia="Arial" w:hAnsi="Arial"/>
          <w:sz w:val="19"/>
          <w:szCs w:val="19"/>
          <w:color w:val="auto"/>
        </w:rPr>
        <w:t>,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Borrowers (to be wired to the Designated Account) or such other Person entitled thereto under applicable law.</w:t>
      </w:r>
    </w:p>
    <w:p>
      <w:pPr>
        <w:spacing w:after="0" w:line="178" w:lineRule="exact"/>
        <w:rPr>
          <w:rFonts w:ascii="Arial" w:cs="Arial" w:eastAsia="Arial" w:hAnsi="Arial"/>
          <w:sz w:val="19"/>
          <w:szCs w:val="19"/>
          <w:color w:val="auto"/>
        </w:rPr>
      </w:pPr>
    </w:p>
    <w:p>
      <w:pPr>
        <w:jc w:val="both"/>
        <w:ind w:left="760" w:firstLine="1494"/>
        <w:spacing w:after="0" w:line="249" w:lineRule="auto"/>
        <w:tabs>
          <w:tab w:leader="none" w:pos="265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87" w:lineRule="exact"/>
        <w:rPr>
          <w:rFonts w:ascii="Arial" w:cs="Arial" w:eastAsia="Arial" w:hAnsi="Arial"/>
          <w:sz w:val="20"/>
          <w:szCs w:val="20"/>
          <w:color w:val="auto"/>
        </w:rPr>
      </w:pPr>
    </w:p>
    <w:p>
      <w:pPr>
        <w:ind w:right="40" w:firstLine="3003"/>
        <w:spacing w:after="0" w:line="249" w:lineRule="auto"/>
        <w:tabs>
          <w:tab w:leader="none" w:pos="3555"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 any Lender Group Expenses (including cost or expense reimbursements) or indemnities then due to Agent under the Loan Documents and to pay interest and principal on Extraordinary Advances that are held solely by Agent pursuant to the terms of </w:t>
      </w:r>
      <w:r>
        <w:rPr>
          <w:rFonts w:ascii="Arial" w:cs="Arial" w:eastAsia="Arial" w:hAnsi="Arial"/>
          <w:sz w:val="20"/>
          <w:szCs w:val="20"/>
          <w:u w:val="single" w:color="auto"/>
          <w:color w:val="auto"/>
        </w:rPr>
        <w:t>Section 2.3(d)(iii)</w:t>
      </w:r>
      <w:r>
        <w:rPr>
          <w:rFonts w:ascii="Arial" w:cs="Arial" w:eastAsia="Arial" w:hAnsi="Arial"/>
          <w:sz w:val="20"/>
          <w:szCs w:val="20"/>
          <w:color w:val="auto"/>
        </w:rPr>
        <w:t>, until paid in full,</w:t>
      </w:r>
    </w:p>
    <w:p>
      <w:pPr>
        <w:spacing w:after="0" w:line="187" w:lineRule="exact"/>
        <w:rPr>
          <w:rFonts w:ascii="Arial" w:cs="Arial" w:eastAsia="Arial" w:hAnsi="Arial"/>
          <w:sz w:val="20"/>
          <w:szCs w:val="20"/>
          <w:u w:val="single" w:color="auto"/>
          <w:color w:val="auto"/>
        </w:rPr>
      </w:pPr>
    </w:p>
    <w:p>
      <w:pPr>
        <w:ind w:left="3560" w:hanging="557"/>
        <w:spacing w:after="0"/>
        <w:tabs>
          <w:tab w:leader="none" w:pos="3560" w:val="left"/>
        </w:tabs>
        <w:numPr>
          <w:ilvl w:val="1"/>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or premiums then due to Agent under the Loan Documents, until paid in</w:t>
      </w:r>
    </w:p>
    <w:p>
      <w:pPr>
        <w:spacing w:after="0" w:line="38"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20"/>
          <w:szCs w:val="20"/>
          <w:color w:val="auto"/>
        </w:rPr>
        <w:t>full,</w:t>
      </w:r>
    </w:p>
    <w:p>
      <w:pPr>
        <w:spacing w:after="0" w:line="198" w:lineRule="exact"/>
        <w:rPr>
          <w:rFonts w:ascii="Arial" w:cs="Arial" w:eastAsia="Arial" w:hAnsi="Arial"/>
          <w:sz w:val="18"/>
          <w:szCs w:val="18"/>
          <w:u w:val="single" w:color="auto"/>
          <w:color w:val="auto"/>
        </w:rPr>
      </w:pPr>
    </w:p>
    <w:p>
      <w:pPr>
        <w:ind w:left="3560" w:hanging="557"/>
        <w:spacing w:after="0"/>
        <w:tabs>
          <w:tab w:leader="none" w:pos="3560"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 interest due in respect of all Protective Advances, until paid in full,</w:t>
      </w:r>
    </w:p>
    <w:p>
      <w:pPr>
        <w:spacing w:after="0" w:line="214" w:lineRule="exact"/>
        <w:rPr>
          <w:rFonts w:ascii="Arial" w:cs="Arial" w:eastAsia="Arial" w:hAnsi="Arial"/>
          <w:sz w:val="20"/>
          <w:szCs w:val="20"/>
          <w:u w:val="single" w:color="auto"/>
          <w:color w:val="auto"/>
        </w:rPr>
      </w:pPr>
    </w:p>
    <w:p>
      <w:pPr>
        <w:ind w:left="3560" w:hanging="557"/>
        <w:spacing w:after="0"/>
        <w:tabs>
          <w:tab w:leader="none" w:pos="3560"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 the principal of all Protective Advances, until paid in full,</w:t>
      </w:r>
    </w:p>
    <w:p>
      <w:pPr>
        <w:spacing w:after="0" w:line="214" w:lineRule="exact"/>
        <w:rPr>
          <w:rFonts w:ascii="Arial" w:cs="Arial" w:eastAsia="Arial" w:hAnsi="Arial"/>
          <w:sz w:val="20"/>
          <w:szCs w:val="20"/>
          <w:u w:val="single" w:color="auto"/>
          <w:color w:val="auto"/>
        </w:rPr>
      </w:pPr>
    </w:p>
    <w:p>
      <w:pPr>
        <w:ind w:right="100" w:firstLine="3003"/>
        <w:spacing w:after="0" w:line="260" w:lineRule="auto"/>
        <w:tabs>
          <w:tab w:leader="none" w:pos="3555"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ratably, to pay any Lender Group Expenses (including cost or expense reimbursements) or indemnities then due to any of the Lenders under the Loan Documents, until paid in full,</w:t>
      </w:r>
    </w:p>
    <w:p>
      <w:pPr>
        <w:spacing w:after="0" w:line="175" w:lineRule="exact"/>
        <w:rPr>
          <w:rFonts w:ascii="Arial" w:cs="Arial" w:eastAsia="Arial" w:hAnsi="Arial"/>
          <w:sz w:val="20"/>
          <w:szCs w:val="20"/>
          <w:u w:val="single" w:color="auto"/>
          <w:color w:val="auto"/>
        </w:rPr>
      </w:pPr>
    </w:p>
    <w:p>
      <w:pPr>
        <w:ind w:left="3560" w:hanging="557"/>
        <w:spacing w:after="0"/>
        <w:tabs>
          <w:tab w:leader="none" w:pos="3560" w:val="left"/>
        </w:tabs>
        <w:numPr>
          <w:ilvl w:val="1"/>
          <w:numId w:val="1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ratably, to pay any fees or premiums then due to any of the Lenders under the Loan</w:t>
      </w:r>
    </w:p>
    <w:p>
      <w:pPr>
        <w:spacing w:after="0" w:line="26" w:lineRule="exact"/>
        <w:rPr>
          <w:rFonts w:ascii="Arial" w:cs="Arial" w:eastAsia="Arial" w:hAnsi="Arial"/>
          <w:sz w:val="19"/>
          <w:szCs w:val="19"/>
          <w:u w:val="single" w:color="auto"/>
          <w:color w:val="auto"/>
        </w:rPr>
      </w:pPr>
    </w:p>
    <w:p>
      <w:pPr>
        <w:spacing w:after="0"/>
        <w:rPr>
          <w:rFonts w:ascii="Arial" w:cs="Arial" w:eastAsia="Arial" w:hAnsi="Arial"/>
          <w:sz w:val="19"/>
          <w:szCs w:val="19"/>
          <w:u w:val="single" w:color="auto"/>
          <w:color w:val="auto"/>
        </w:rPr>
      </w:pPr>
      <w:r>
        <w:rPr>
          <w:rFonts w:ascii="Arial" w:cs="Arial" w:eastAsia="Arial" w:hAnsi="Arial"/>
          <w:sz w:val="20"/>
          <w:szCs w:val="20"/>
          <w:color w:val="auto"/>
        </w:rPr>
        <w:t>Documents, until paid in full,</w:t>
      </w:r>
    </w:p>
    <w:p>
      <w:pPr>
        <w:spacing w:after="0" w:line="198" w:lineRule="exact"/>
        <w:rPr>
          <w:rFonts w:ascii="Arial" w:cs="Arial" w:eastAsia="Arial" w:hAnsi="Arial"/>
          <w:sz w:val="19"/>
          <w:szCs w:val="19"/>
          <w:u w:val="single" w:color="auto"/>
          <w:color w:val="auto"/>
        </w:rPr>
      </w:pPr>
    </w:p>
    <w:p>
      <w:pPr>
        <w:ind w:left="3560" w:hanging="557"/>
        <w:spacing w:after="0"/>
        <w:tabs>
          <w:tab w:leader="none" w:pos="3560"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to pay interest accrued in respect of the Swing Loans, until paid in full,</w:t>
      </w:r>
    </w:p>
    <w:p>
      <w:pPr>
        <w:spacing w:after="0" w:line="214" w:lineRule="exact"/>
        <w:rPr>
          <w:rFonts w:ascii="Arial" w:cs="Arial" w:eastAsia="Arial" w:hAnsi="Arial"/>
          <w:sz w:val="20"/>
          <w:szCs w:val="20"/>
          <w:u w:val="single" w:color="auto"/>
          <w:color w:val="auto"/>
        </w:rPr>
      </w:pPr>
    </w:p>
    <w:p>
      <w:pPr>
        <w:ind w:left="3560" w:hanging="557"/>
        <w:spacing w:after="0"/>
        <w:tabs>
          <w:tab w:leader="none" w:pos="3560"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to pay the principal of all Swing Loans, until paid in full,</w:t>
      </w:r>
    </w:p>
    <w:p>
      <w:pPr>
        <w:spacing w:after="0" w:line="214" w:lineRule="exact"/>
        <w:rPr>
          <w:rFonts w:ascii="Arial" w:cs="Arial" w:eastAsia="Arial" w:hAnsi="Arial"/>
          <w:sz w:val="20"/>
          <w:szCs w:val="20"/>
          <w:u w:val="single" w:color="auto"/>
          <w:color w:val="auto"/>
        </w:rPr>
      </w:pPr>
    </w:p>
    <w:p>
      <w:pPr>
        <w:ind w:left="3560" w:hanging="557"/>
        <w:spacing w:after="0"/>
        <w:tabs>
          <w:tab w:leader="none" w:pos="3560" w:val="left"/>
        </w:tabs>
        <w:numPr>
          <w:ilvl w:val="1"/>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Revolving Loans (other than Protective</w:t>
      </w:r>
    </w:p>
    <w:p>
      <w:pPr>
        <w:spacing w:after="0" w:line="38"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20"/>
          <w:szCs w:val="20"/>
          <w:color w:val="auto"/>
        </w:rPr>
        <w:t>Advances), until paid in full,</w:t>
      </w:r>
    </w:p>
    <w:p>
      <w:pPr>
        <w:spacing w:after="0" w:line="198" w:lineRule="exact"/>
        <w:rPr>
          <w:rFonts w:ascii="Arial" w:cs="Arial" w:eastAsia="Arial" w:hAnsi="Arial"/>
          <w:sz w:val="18"/>
          <w:szCs w:val="18"/>
          <w:u w:val="single" w:color="auto"/>
          <w:color w:val="auto"/>
        </w:rPr>
      </w:pPr>
    </w:p>
    <w:p>
      <w:pPr>
        <w:ind w:left="3560" w:hanging="557"/>
        <w:spacing w:after="0"/>
        <w:tabs>
          <w:tab w:leader="none" w:pos="3560" w:val="left"/>
        </w:tabs>
        <w:numPr>
          <w:ilvl w:val="1"/>
          <w:numId w:val="17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tenth</w:t>
      </w:r>
      <w:r>
        <w:rPr>
          <w:rFonts w:ascii="Arial" w:cs="Arial" w:eastAsia="Arial" w:hAnsi="Arial"/>
          <w:sz w:val="20"/>
          <w:szCs w:val="20"/>
          <w:color w:val="auto"/>
        </w:rPr>
        <w:t>, ratably</w:t>
      </w:r>
    </w:p>
    <w:p>
      <w:pPr>
        <w:spacing w:after="0" w:line="214" w:lineRule="exact"/>
        <w:rPr>
          <w:rFonts w:ascii="Arial" w:cs="Arial" w:eastAsia="Arial" w:hAnsi="Arial"/>
          <w:sz w:val="20"/>
          <w:szCs w:val="20"/>
          <w:u w:val="single" w:color="auto"/>
          <w:color w:val="auto"/>
        </w:rPr>
      </w:pPr>
    </w:p>
    <w:p>
      <w:pPr>
        <w:ind w:left="4140" w:hanging="388"/>
        <w:spacing w:after="0"/>
        <w:tabs>
          <w:tab w:leader="none" w:pos="4140" w:val="left"/>
        </w:tabs>
        <w:numPr>
          <w:ilvl w:val="2"/>
          <w:numId w:val="172"/>
        </w:numPr>
        <w:rPr>
          <w:rFonts w:ascii="Arial" w:cs="Arial" w:eastAsia="Arial" w:hAnsi="Arial"/>
          <w:sz w:val="20"/>
          <w:szCs w:val="20"/>
          <w:color w:val="auto"/>
        </w:rPr>
      </w:pPr>
      <w:r>
        <w:rPr>
          <w:rFonts w:ascii="Arial" w:cs="Arial" w:eastAsia="Arial" w:hAnsi="Arial"/>
          <w:sz w:val="20"/>
          <w:szCs w:val="20"/>
          <w:color w:val="auto"/>
        </w:rPr>
        <w:t>ratably, to pay the principal of all Revolving Loans, until paid in full,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1" w:name="page192"/>
    <w:bookmarkEnd w:id="191"/>
    <w:p>
      <w:pPr>
        <w:jc w:val="both"/>
        <w:ind w:firstLine="3752"/>
        <w:spacing w:after="0" w:line="258" w:lineRule="auto"/>
        <w:tabs>
          <w:tab w:leader="none" w:pos="4139" w:val="left"/>
        </w:tabs>
        <w:numPr>
          <w:ilvl w:val="2"/>
          <w:numId w:val="173"/>
        </w:numPr>
        <w:rPr>
          <w:rFonts w:ascii="Arial" w:cs="Arial" w:eastAsia="Arial" w:hAnsi="Arial"/>
          <w:sz w:val="19"/>
          <w:szCs w:val="19"/>
          <w:color w:val="auto"/>
        </w:rPr>
      </w:pPr>
      <w:r>
        <w:rPr>
          <w:rFonts w:ascii="Arial" w:cs="Arial" w:eastAsia="Arial" w:hAnsi="Arial"/>
          <w:sz w:val="19"/>
          <w:szCs w:val="19"/>
          <w:color w:val="auto"/>
        </w:rPr>
        <w:t xml:space="preserve">to Agent, to be held by Agent, for the benefit of Issuing Banks (and for the ratable benefit of each of the Lenders that have an obligation to pay to Agent, for the account of an Issuing Bank, a share of each Letter of Credit Disbursement), as cash collateral in an amount up to 103%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Arial" w:cs="Arial" w:eastAsia="Arial" w:hAnsi="Arial"/>
          <w:sz w:val="19"/>
          <w:szCs w:val="19"/>
          <w:u w:val="single" w:color="auto"/>
          <w:color w:val="auto"/>
        </w:rPr>
        <w:t>Section 2.4(b)(iii)</w:t>
      </w:r>
      <w:r>
        <w:rPr>
          <w:rFonts w:ascii="Arial" w:cs="Arial" w:eastAsia="Arial" w:hAnsi="Arial"/>
          <w:sz w:val="19"/>
          <w:szCs w:val="19"/>
          <w:color w:val="auto"/>
        </w:rPr>
        <w:t>, beginning with tier (A) hereof),</w:t>
      </w:r>
    </w:p>
    <w:p>
      <w:pPr>
        <w:spacing w:after="0" w:line="181" w:lineRule="exact"/>
        <w:rPr>
          <w:rFonts w:ascii="Arial" w:cs="Arial" w:eastAsia="Arial" w:hAnsi="Arial"/>
          <w:sz w:val="19"/>
          <w:szCs w:val="19"/>
          <w:color w:val="auto"/>
        </w:rPr>
      </w:pPr>
    </w:p>
    <w:p>
      <w:pPr>
        <w:jc w:val="both"/>
        <w:ind w:firstLine="3752"/>
        <w:spacing w:after="0" w:line="270" w:lineRule="auto"/>
        <w:tabs>
          <w:tab w:leader="none" w:pos="4139" w:val="left"/>
        </w:tabs>
        <w:numPr>
          <w:ilvl w:val="2"/>
          <w:numId w:val="173"/>
        </w:numPr>
        <w:rPr>
          <w:rFonts w:ascii="Arial" w:cs="Arial" w:eastAsia="Arial" w:hAnsi="Arial"/>
          <w:sz w:val="18"/>
          <w:szCs w:val="18"/>
          <w:color w:val="auto"/>
        </w:rPr>
      </w:pPr>
      <w:r>
        <w:rPr>
          <w:rFonts w:ascii="Arial" w:cs="Arial" w:eastAsia="Arial" w:hAnsi="Arial"/>
          <w:sz w:val="18"/>
          <w:szCs w:val="18"/>
          <w:color w:val="auto"/>
        </w:rPr>
        <w:t xml:space="preserve">ratably, up to the amount (after taking into account any amounts previously paid pursuant to this clause iii, during the continuation of the applicable Application Event) of the most recently established Bank Product Reserve, which amount was established prior to the occurrence of, and not in contemplation of, the subject Application Event to (i) the Bank Product Providers based upon amounts then certified by each applicable Bank Product Provider to Agent (in form and substance satisfactory to Agent) to be due and payable to such Bank Product Provider on account of Bank Product Obligations (but not in excess of the Bank Product Reserve established for the Bank Product Obligations of such Bank Product Provider), and (ii)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8"/>
          <w:szCs w:val="18"/>
          <w:u w:val="single" w:color="auto"/>
          <w:color w:val="auto"/>
        </w:rPr>
        <w:t>Section 2.4(b)(iii)</w:t>
      </w:r>
      <w:r>
        <w:rPr>
          <w:rFonts w:ascii="Arial" w:cs="Arial" w:eastAsia="Arial" w:hAnsi="Arial"/>
          <w:sz w:val="18"/>
          <w:szCs w:val="18"/>
          <w:color w:val="auto"/>
        </w:rPr>
        <w:t>, beginning with tier (A) hereof,</w:t>
      </w:r>
    </w:p>
    <w:p>
      <w:pPr>
        <w:spacing w:after="0" w:line="175" w:lineRule="exact"/>
        <w:rPr>
          <w:rFonts w:ascii="Arial" w:cs="Arial" w:eastAsia="Arial" w:hAnsi="Arial"/>
          <w:sz w:val="18"/>
          <w:szCs w:val="18"/>
          <w:color w:val="auto"/>
        </w:rPr>
      </w:pPr>
    </w:p>
    <w:p>
      <w:pPr>
        <w:jc w:val="both"/>
        <w:ind w:firstLine="3003"/>
        <w:spacing w:after="0" w:line="256" w:lineRule="auto"/>
        <w:tabs>
          <w:tab w:leader="none" w:pos="3444" w:val="left"/>
        </w:tabs>
        <w:numPr>
          <w:ilvl w:val="1"/>
          <w:numId w:val="174"/>
        </w:numPr>
        <w:rPr>
          <w:rFonts w:ascii="Arial" w:cs="Arial" w:eastAsia="Arial" w:hAnsi="Arial"/>
          <w:sz w:val="19"/>
          <w:szCs w:val="19"/>
          <w:color w:val="auto"/>
        </w:rPr>
      </w:pPr>
      <w:r>
        <w:rPr>
          <w:rFonts w:ascii="Arial" w:cs="Arial" w:eastAsia="Arial" w:hAnsi="Arial"/>
          <w:sz w:val="19"/>
          <w:szCs w:val="19"/>
          <w:u w:val="single" w:color="auto"/>
          <w:color w:val="auto"/>
        </w:rPr>
        <w:t>eleventh</w:t>
      </w:r>
      <w:r>
        <w:rPr>
          <w:rFonts w:ascii="Arial" w:cs="Arial" w:eastAsia="Arial" w:hAnsi="Arial"/>
          <w:sz w:val="19"/>
          <w:szCs w:val="19"/>
          <w:color w:val="auto"/>
        </w:rPr>
        <w:t xml:space="preserve">, to pay any other Obligations other than Obligations owed to Defaulting Lenders (including being paid, ratably, to the Bank Product Providers on account of all amounts then due and payable in respect of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9"/>
          <w:szCs w:val="19"/>
          <w:u w:val="single" w:color="auto"/>
          <w:color w:val="auto"/>
        </w:rPr>
        <w:t>Section 2.4(b)(iii)</w:t>
      </w:r>
      <w:r>
        <w:rPr>
          <w:rFonts w:ascii="Arial" w:cs="Arial" w:eastAsia="Arial" w:hAnsi="Arial"/>
          <w:sz w:val="19"/>
          <w:szCs w:val="19"/>
          <w:color w:val="auto"/>
        </w:rPr>
        <w:t>, beginning with tier (A) hereof)),</w:t>
      </w:r>
    </w:p>
    <w:p>
      <w:pPr>
        <w:spacing w:after="0" w:line="185" w:lineRule="exact"/>
        <w:rPr>
          <w:rFonts w:ascii="Arial" w:cs="Arial" w:eastAsia="Arial" w:hAnsi="Arial"/>
          <w:sz w:val="19"/>
          <w:szCs w:val="19"/>
          <w:color w:val="auto"/>
        </w:rPr>
      </w:pPr>
    </w:p>
    <w:p>
      <w:pPr>
        <w:ind w:left="3400" w:hanging="397"/>
        <w:spacing w:after="0"/>
        <w:tabs>
          <w:tab w:leader="none" w:pos="3400" w:val="left"/>
        </w:tabs>
        <w:numPr>
          <w:ilvl w:val="1"/>
          <w:numId w:val="174"/>
        </w:numPr>
        <w:rPr>
          <w:rFonts w:ascii="Arial" w:cs="Arial" w:eastAsia="Arial" w:hAnsi="Arial"/>
          <w:sz w:val="20"/>
          <w:szCs w:val="20"/>
          <w:color w:val="auto"/>
        </w:rPr>
      </w:pPr>
      <w:r>
        <w:rPr>
          <w:rFonts w:ascii="Arial" w:cs="Arial" w:eastAsia="Arial" w:hAnsi="Arial"/>
          <w:sz w:val="20"/>
          <w:szCs w:val="20"/>
          <w:u w:val="single" w:color="auto"/>
          <w:color w:val="auto"/>
        </w:rPr>
        <w:t>twelfth</w:t>
      </w:r>
      <w:r>
        <w:rPr>
          <w:rFonts w:ascii="Arial" w:cs="Arial" w:eastAsia="Arial" w:hAnsi="Arial"/>
          <w:sz w:val="20"/>
          <w:szCs w:val="20"/>
          <w:color w:val="auto"/>
        </w:rPr>
        <w:t>, ratably to pay any Obligations owed to Defaulting Lenders; and</w:t>
      </w:r>
    </w:p>
    <w:p>
      <w:pPr>
        <w:spacing w:after="0" w:line="214" w:lineRule="exact"/>
        <w:rPr>
          <w:rFonts w:ascii="Arial" w:cs="Arial" w:eastAsia="Arial" w:hAnsi="Arial"/>
          <w:sz w:val="20"/>
          <w:szCs w:val="20"/>
          <w:color w:val="auto"/>
        </w:rPr>
      </w:pPr>
    </w:p>
    <w:p>
      <w:pPr>
        <w:ind w:left="3420" w:hanging="417"/>
        <w:spacing w:after="0"/>
        <w:tabs>
          <w:tab w:leader="none" w:pos="342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thirteenth</w:t>
      </w:r>
      <w:r>
        <w:rPr>
          <w:rFonts w:ascii="Arial" w:cs="Arial" w:eastAsia="Arial" w:hAnsi="Arial"/>
          <w:sz w:val="18"/>
          <w:szCs w:val="18"/>
          <w:color w:val="auto"/>
        </w:rPr>
        <w:t>, to Borrowers (to be wired to the Designated Account) or such other Person entitled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thereto under applicable law.</w:t>
      </w:r>
    </w:p>
    <w:p>
      <w:pPr>
        <w:spacing w:after="0" w:line="198" w:lineRule="exact"/>
        <w:rPr>
          <w:rFonts w:ascii="Arial" w:cs="Arial" w:eastAsia="Arial" w:hAnsi="Arial"/>
          <w:sz w:val="18"/>
          <w:szCs w:val="18"/>
          <w:color w:val="auto"/>
        </w:rPr>
      </w:pPr>
    </w:p>
    <w:p>
      <w:pPr>
        <w:ind w:left="760" w:right="20" w:firstLine="1494"/>
        <w:spacing w:after="0" w:line="315" w:lineRule="auto"/>
        <w:tabs>
          <w:tab w:leader="none" w:pos="265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760" w:right="20" w:firstLine="1494"/>
        <w:spacing w:after="0" w:line="269" w:lineRule="auto"/>
        <w:tabs>
          <w:tab w:leader="none" w:pos="2653"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In each instance, so long as no Application Event has occurred and is continuing, </w:t>
      </w:r>
      <w:r>
        <w:rPr>
          <w:rFonts w:ascii="Arial" w:cs="Arial" w:eastAsia="Arial" w:hAnsi="Arial"/>
          <w:sz w:val="19"/>
          <w:szCs w:val="19"/>
          <w:u w:val="single" w:color="auto"/>
          <w:color w:val="auto"/>
        </w:rPr>
        <w:t>Section 2.4(b)(ii)</w:t>
      </w:r>
      <w:r>
        <w:rPr>
          <w:rFonts w:ascii="Arial" w:cs="Arial" w:eastAsia="Arial" w:hAnsi="Arial"/>
          <w:sz w:val="19"/>
          <w:szCs w:val="19"/>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2" w:name="page193"/>
    <w:bookmarkEnd w:id="192"/>
    <w:p>
      <w:pPr>
        <w:jc w:val="both"/>
        <w:ind w:left="-360" w:firstLine="1494"/>
        <w:spacing w:after="0" w:line="275" w:lineRule="auto"/>
        <w:tabs>
          <w:tab w:leader="none" w:pos="1533"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2.4(b)(iii)</w:t>
      </w:r>
      <w:r>
        <w:rPr>
          <w:rFonts w:ascii="Arial" w:cs="Arial" w:eastAsia="Arial" w:hAnsi="Arial"/>
          <w:sz w:val="18"/>
          <w:szCs w:val="18"/>
          <w:color w:val="auto"/>
        </w:rPr>
        <w:t>, “paid in full” of a type of Obligation means payment in cash or immediately available funds of all amounts due and payable on account of such type of Obligation and, where applicable, the funding of all cash collateral required or permitted to be taken or held under the terms of this Agreement or any other Loan Document (other than any contingent obligations for which no claim has been made),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68" w:lineRule="exact"/>
        <w:rPr>
          <w:rFonts w:ascii="Arial" w:cs="Arial" w:eastAsia="Arial" w:hAnsi="Arial"/>
          <w:sz w:val="18"/>
          <w:szCs w:val="18"/>
          <w:color w:val="auto"/>
        </w:rPr>
      </w:pPr>
    </w:p>
    <w:p>
      <w:pPr>
        <w:jc w:val="both"/>
        <w:ind w:left="-360" w:firstLine="1494"/>
        <w:spacing w:after="0" w:line="243" w:lineRule="auto"/>
        <w:tabs>
          <w:tab w:leader="none" w:pos="1533" w:val="left"/>
        </w:tabs>
        <w:numPr>
          <w:ilvl w:val="1"/>
          <w:numId w:val="176"/>
        </w:numPr>
        <w:rPr>
          <w:rFonts w:ascii="Arial" w:cs="Arial" w:eastAsia="Arial" w:hAnsi="Arial"/>
          <w:sz w:val="20"/>
          <w:szCs w:val="20"/>
          <w:color w:val="auto"/>
        </w:rPr>
      </w:pPr>
      <w:r>
        <w:rPr>
          <w:rFonts w:ascii="Arial" w:cs="Arial" w:eastAsia="Arial" w:hAnsi="Arial"/>
          <w:sz w:val="20"/>
          <w:szCs w:val="20"/>
          <w:color w:val="auto"/>
        </w:rPr>
        <w:t xml:space="preserve">In the event of a direct conflict between the priority provisions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Arial" w:cs="Arial" w:eastAsia="Arial" w:hAnsi="Arial"/>
          <w:sz w:val="20"/>
          <w:szCs w:val="20"/>
          <w:u w:val="single" w:color="auto"/>
          <w:color w:val="auto"/>
        </w:rPr>
        <w:t>Section 2.3(g)</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then the provisions of </w:t>
      </w:r>
      <w:r>
        <w:rPr>
          <w:rFonts w:ascii="Arial" w:cs="Arial" w:eastAsia="Arial" w:hAnsi="Arial"/>
          <w:sz w:val="20"/>
          <w:szCs w:val="20"/>
          <w:u w:val="single" w:color="auto"/>
          <w:color w:val="auto"/>
        </w:rPr>
        <w:t>Section 2.3(g)</w:t>
      </w:r>
      <w:r>
        <w:rPr>
          <w:rFonts w:ascii="Arial" w:cs="Arial" w:eastAsia="Arial" w:hAnsi="Arial"/>
          <w:sz w:val="20"/>
          <w:szCs w:val="20"/>
          <w:color w:val="auto"/>
        </w:rPr>
        <w:t xml:space="preserve"> shall control and govern, and if otherwise, then the terms and provisions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control and govern.</w:t>
      </w:r>
    </w:p>
    <w:p>
      <w:pPr>
        <w:spacing w:after="0" w:line="188" w:lineRule="exact"/>
        <w:rPr>
          <w:rFonts w:ascii="Arial" w:cs="Arial" w:eastAsia="Arial" w:hAnsi="Arial"/>
          <w:sz w:val="20"/>
          <w:szCs w:val="20"/>
          <w:color w:val="auto"/>
        </w:rPr>
      </w:pPr>
    </w:p>
    <w:p>
      <w:pPr>
        <w:ind w:left="960" w:hanging="387"/>
        <w:spacing w:after="0"/>
        <w:tabs>
          <w:tab w:leader="none" w:pos="960" w:val="left"/>
        </w:tabs>
        <w:numPr>
          <w:ilvl w:val="0"/>
          <w:numId w:val="177"/>
        </w:numPr>
        <w:rPr>
          <w:rFonts w:ascii="Arial" w:cs="Arial" w:eastAsia="Arial" w:hAnsi="Arial"/>
          <w:sz w:val="20"/>
          <w:szCs w:val="20"/>
          <w:color w:val="auto"/>
        </w:rPr>
      </w:pPr>
      <w:r>
        <w:rPr>
          <w:rFonts w:ascii="Arial" w:cs="Arial" w:eastAsia="Arial" w:hAnsi="Arial"/>
          <w:sz w:val="20"/>
          <w:szCs w:val="20"/>
          <w:b w:val="1"/>
          <w:bCs w:val="1"/>
          <w:color w:val="auto"/>
        </w:rPr>
        <w:t>Reduction of Commitments</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left="-360" w:firstLine="1494"/>
        <w:spacing w:after="0" w:line="270" w:lineRule="auto"/>
        <w:tabs>
          <w:tab w:leader="none" w:pos="1560" w:val="left"/>
        </w:tabs>
        <w:numPr>
          <w:ilvl w:val="1"/>
          <w:numId w:val="177"/>
        </w:numPr>
        <w:rPr>
          <w:rFonts w:ascii="Arial" w:cs="Arial" w:eastAsia="Arial" w:hAnsi="Arial"/>
          <w:sz w:val="18"/>
          <w:szCs w:val="18"/>
          <w:color w:val="auto"/>
        </w:rPr>
      </w:pPr>
      <w:r>
        <w:rPr>
          <w:rFonts w:ascii="Arial" w:cs="Arial" w:eastAsia="Arial" w:hAnsi="Arial"/>
          <w:sz w:val="18"/>
          <w:szCs w:val="18"/>
          <w:b w:val="1"/>
          <w:bCs w:val="1"/>
          <w:color w:val="auto"/>
        </w:rPr>
        <w:t>Revolver Commitments</w:t>
      </w:r>
      <w:r>
        <w:rPr>
          <w:rFonts w:ascii="Arial" w:cs="Arial" w:eastAsia="Arial" w:hAnsi="Arial"/>
          <w:sz w:val="18"/>
          <w:szCs w:val="18"/>
          <w:color w:val="auto"/>
        </w:rPr>
        <w:t>. The Revolver Commitments shall terminate on the Maturity Date or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thereof pursuant to the terms of this Agreement. Borrowers may reduce the Revolver Commitments, without premium or penalty, to an amount (which may be zero) not less than the sum of (a) the Revolver Usage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principal amount of all Revolving Loans not yet made as to which a request has been given by Borrowers under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amount of all Letters of Credit not yet issued as to which a request has been given by Borrowers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Each such reduction shall be in an amount of $5,000,000 or a greater integral multiple of $1,000,000, shall not cause or result in the Revolver Commitments being less than $500,000,000 (unless the Revolver Commitments are being reduced to zero), shall be made by providing not less than ten days prior written notice to Agent, and shall be irrevocable. The Revolver Commitments, once reduced, may not be increased. Each such reduction of the Revolver Commitments shall reduce the Revolver Commitments of each Lender proportionately in accordance with its ratable share thereof. In connection with any reduction in the Revolver Commitments before the Maturity Date, if any Loan Party or any of its Restricted Subsidiaries owns any Margin Stock, Borrowers shall deliver to Agent an updated Form U-1 (with sufficient additional originals thereof for each Lender), duly executed and delivered by the Borrowers, together with such other documentation as Agent shall reasonably request, to enable Agent and the Lenders to comply with any of the requirements under Regulations T, U or X of the Federal Reserve Board.</w:t>
      </w:r>
    </w:p>
    <w:p>
      <w:pPr>
        <w:spacing w:after="0" w:line="164" w:lineRule="exact"/>
        <w:rPr>
          <w:rFonts w:ascii="Arial" w:cs="Arial" w:eastAsia="Arial" w:hAnsi="Arial"/>
          <w:sz w:val="18"/>
          <w:szCs w:val="18"/>
          <w:color w:val="auto"/>
        </w:rPr>
      </w:pPr>
    </w:p>
    <w:p>
      <w:pPr>
        <w:ind w:left="1520" w:hanging="386"/>
        <w:spacing w:after="0"/>
        <w:tabs>
          <w:tab w:leader="none" w:pos="1520" w:val="left"/>
        </w:tabs>
        <w:numPr>
          <w:ilvl w:val="1"/>
          <w:numId w:val="177"/>
        </w:numPr>
        <w:rPr>
          <w:rFonts w:ascii="Arial" w:cs="Arial" w:eastAsia="Arial" w:hAnsi="Arial"/>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960" w:hanging="387"/>
        <w:spacing w:after="0"/>
        <w:tabs>
          <w:tab w:leader="none" w:pos="960" w:val="left"/>
        </w:tabs>
        <w:numPr>
          <w:ilvl w:val="0"/>
          <w:numId w:val="177"/>
        </w:numPr>
        <w:rPr>
          <w:rFonts w:ascii="Arial" w:cs="Arial" w:eastAsia="Arial" w:hAnsi="Arial"/>
          <w:sz w:val="20"/>
          <w:szCs w:val="20"/>
          <w:color w:val="auto"/>
        </w:rPr>
      </w:pPr>
      <w:r>
        <w:rPr>
          <w:rFonts w:ascii="Arial" w:cs="Arial" w:eastAsia="Arial" w:hAnsi="Arial"/>
          <w:sz w:val="20"/>
          <w:szCs w:val="20"/>
          <w:b w:val="1"/>
          <w:bCs w:val="1"/>
          <w:color w:val="auto"/>
        </w:rPr>
        <w:t>Optional Prepayments</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360" w:firstLine="1494"/>
        <w:spacing w:after="0" w:line="266" w:lineRule="auto"/>
        <w:tabs>
          <w:tab w:leader="none" w:pos="1533" w:val="left"/>
        </w:tabs>
        <w:numPr>
          <w:ilvl w:val="1"/>
          <w:numId w:val="177"/>
        </w:numPr>
        <w:rPr>
          <w:rFonts w:ascii="Arial" w:cs="Arial" w:eastAsia="Arial" w:hAnsi="Arial"/>
          <w:sz w:val="20"/>
          <w:szCs w:val="20"/>
          <w:color w:val="auto"/>
        </w:rPr>
      </w:pPr>
      <w:r>
        <w:rPr>
          <w:rFonts w:ascii="Arial" w:cs="Arial" w:eastAsia="Arial" w:hAnsi="Arial"/>
          <w:sz w:val="20"/>
          <w:szCs w:val="20"/>
          <w:b w:val="1"/>
          <w:bCs w:val="1"/>
          <w:color w:val="auto"/>
        </w:rPr>
        <w:t>Revolving Loans</w:t>
      </w:r>
      <w:r>
        <w:rPr>
          <w:rFonts w:ascii="Arial" w:cs="Arial" w:eastAsia="Arial" w:hAnsi="Arial"/>
          <w:sz w:val="20"/>
          <w:szCs w:val="20"/>
          <w:color w:val="auto"/>
        </w:rPr>
        <w:t>. Borrowers may prepay the principal of any Revolving Loan at any time in whole or in</w:t>
      </w:r>
      <w:r>
        <w:rPr>
          <w:rFonts w:ascii="Arial" w:cs="Arial" w:eastAsia="Arial" w:hAnsi="Arial"/>
          <w:sz w:val="20"/>
          <w:szCs w:val="20"/>
          <w:b w:val="1"/>
          <w:bCs w:val="1"/>
          <w:color w:val="auto"/>
        </w:rPr>
        <w:t xml:space="preserve"> </w:t>
      </w:r>
      <w:r>
        <w:rPr>
          <w:rFonts w:ascii="Arial" w:cs="Arial" w:eastAsia="Arial" w:hAnsi="Arial"/>
          <w:sz w:val="20"/>
          <w:szCs w:val="20"/>
          <w:color w:val="auto"/>
        </w:rPr>
        <w:t>part, without premium or penalty.</w:t>
      </w:r>
    </w:p>
    <w:p>
      <w:pPr>
        <w:spacing w:after="0" w:line="164" w:lineRule="exact"/>
        <w:rPr>
          <w:rFonts w:ascii="Arial" w:cs="Arial" w:eastAsia="Arial" w:hAnsi="Arial"/>
          <w:sz w:val="20"/>
          <w:szCs w:val="20"/>
          <w:color w:val="auto"/>
        </w:rPr>
      </w:pPr>
    </w:p>
    <w:p>
      <w:pPr>
        <w:ind w:left="1520" w:hanging="386"/>
        <w:spacing w:after="0"/>
        <w:tabs>
          <w:tab w:leader="none" w:pos="1520" w:val="left"/>
        </w:tabs>
        <w:numPr>
          <w:ilvl w:val="1"/>
          <w:numId w:val="177"/>
        </w:numPr>
        <w:rPr>
          <w:rFonts w:ascii="Arial" w:cs="Arial" w:eastAsia="Arial" w:hAnsi="Arial"/>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113030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93" w:name="page194"/>
    <w:bookmarkEnd w:id="193"/>
    <w:p>
      <w:pPr>
        <w:ind w:left="1880" w:hanging="387"/>
        <w:spacing w:after="0"/>
        <w:tabs>
          <w:tab w:leader="none" w:pos="1880" w:val="left"/>
        </w:tabs>
        <w:numPr>
          <w:ilvl w:val="0"/>
          <w:numId w:val="178"/>
        </w:numPr>
        <w:rPr>
          <w:rFonts w:ascii="Arial" w:cs="Arial" w:eastAsia="Arial" w:hAnsi="Arial"/>
          <w:sz w:val="20"/>
          <w:szCs w:val="20"/>
          <w:color w:val="auto"/>
        </w:rPr>
      </w:pPr>
      <w:r>
        <w:rPr>
          <w:rFonts w:ascii="Arial" w:cs="Arial" w:eastAsia="Arial" w:hAnsi="Arial"/>
          <w:sz w:val="20"/>
          <w:szCs w:val="20"/>
          <w:b w:val="1"/>
          <w:bCs w:val="1"/>
          <w:color w:val="auto"/>
        </w:rPr>
        <w:t>Mandatory Prepayments</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left="560" w:firstLine="1494"/>
        <w:spacing w:after="0" w:line="246" w:lineRule="auto"/>
        <w:tabs>
          <w:tab w:leader="none" w:pos="2466" w:val="left"/>
        </w:tabs>
        <w:numPr>
          <w:ilvl w:val="1"/>
          <w:numId w:val="178"/>
        </w:numPr>
        <w:rPr>
          <w:rFonts w:ascii="Arial" w:cs="Arial" w:eastAsia="Arial" w:hAnsi="Arial"/>
          <w:sz w:val="20"/>
          <w:szCs w:val="20"/>
          <w:color w:val="auto"/>
        </w:rPr>
      </w:pPr>
      <w:r>
        <w:rPr>
          <w:rFonts w:ascii="Arial" w:cs="Arial" w:eastAsia="Arial" w:hAnsi="Arial"/>
          <w:sz w:val="20"/>
          <w:szCs w:val="20"/>
          <w:b w:val="1"/>
          <w:bCs w:val="1"/>
          <w:color w:val="auto"/>
        </w:rPr>
        <w:t>Borrowing Base</w:t>
      </w:r>
      <w:r>
        <w:rPr>
          <w:rFonts w:ascii="Arial" w:cs="Arial" w:eastAsia="Arial" w:hAnsi="Arial"/>
          <w:sz w:val="20"/>
          <w:szCs w:val="20"/>
          <w:color w:val="auto"/>
        </w:rPr>
        <w:t>. If, at any time, (A) the Revolver Usage on such date exceeds (B) the lesser of (1)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Borrowing Base reflected in the Borrowing Base Certificate most recently delivered by Borrowers to Agent and (2) the Maximum Revolver Amount (as adjusted for any Reserves against the Maximum Revolver Amount implemented pursuant to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then Borrowers shall promptly, but in any event, within one Business Day prepay the Obligations in accordance with </w:t>
      </w:r>
      <w:r>
        <w:rPr>
          <w:rFonts w:ascii="Arial" w:cs="Arial" w:eastAsia="Arial" w:hAnsi="Arial"/>
          <w:sz w:val="20"/>
          <w:szCs w:val="20"/>
          <w:u w:val="single" w:color="auto"/>
          <w:color w:val="auto"/>
        </w:rPr>
        <w:t>Section 2.4(f)</w:t>
      </w:r>
      <w:r>
        <w:rPr>
          <w:rFonts w:ascii="Arial" w:cs="Arial" w:eastAsia="Arial" w:hAnsi="Arial"/>
          <w:sz w:val="20"/>
          <w:szCs w:val="20"/>
          <w:color w:val="auto"/>
        </w:rPr>
        <w:t xml:space="preserve"> in an aggregate amount equal to the amount of such excess.</w:t>
      </w:r>
    </w:p>
    <w:p>
      <w:pPr>
        <w:spacing w:after="0" w:line="183" w:lineRule="exact"/>
        <w:rPr>
          <w:rFonts w:ascii="Arial" w:cs="Arial" w:eastAsia="Arial" w:hAnsi="Arial"/>
          <w:sz w:val="20"/>
          <w:szCs w:val="20"/>
          <w:color w:val="auto"/>
        </w:rPr>
      </w:pPr>
    </w:p>
    <w:p>
      <w:pPr>
        <w:ind w:left="2440" w:hanging="386"/>
        <w:spacing w:after="0"/>
        <w:tabs>
          <w:tab w:leader="none" w:pos="2440" w:val="left"/>
        </w:tabs>
        <w:numPr>
          <w:ilvl w:val="1"/>
          <w:numId w:val="178"/>
        </w:numPr>
        <w:rPr>
          <w:rFonts w:ascii="Arial" w:cs="Arial" w:eastAsia="Arial" w:hAnsi="Arial"/>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left="560" w:firstLine="1494"/>
        <w:spacing w:after="0" w:line="243" w:lineRule="auto"/>
        <w:tabs>
          <w:tab w:leader="none" w:pos="2453" w:val="left"/>
        </w:tabs>
        <w:numPr>
          <w:ilvl w:val="1"/>
          <w:numId w:val="178"/>
        </w:numPr>
        <w:rPr>
          <w:rFonts w:ascii="Arial" w:cs="Arial" w:eastAsia="Arial" w:hAnsi="Arial"/>
          <w:sz w:val="20"/>
          <w:szCs w:val="20"/>
          <w:color w:val="auto"/>
        </w:rPr>
      </w:pPr>
      <w:r>
        <w:rPr>
          <w:rFonts w:ascii="Arial" w:cs="Arial" w:eastAsia="Arial" w:hAnsi="Arial"/>
          <w:sz w:val="20"/>
          <w:szCs w:val="20"/>
          <w:b w:val="1"/>
          <w:bCs w:val="1"/>
          <w:color w:val="auto"/>
        </w:rPr>
        <w:t>Dispositions</w:t>
      </w:r>
      <w:r>
        <w:rPr>
          <w:rFonts w:ascii="Arial" w:cs="Arial" w:eastAsia="Arial" w:hAnsi="Arial"/>
          <w:sz w:val="20"/>
          <w:szCs w:val="20"/>
          <w:color w:val="auto"/>
        </w:rPr>
        <w:t>. Within three Business Days after the date of receipt during a Cash Dominion Period by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Loan Party or any of its Restricted Subsidiaries of the Net Cash Proceeds of any voluntary or involuntary sale or disposition of assets of any Loan Party or any of its Restricted Subsidiaries (including Net Cash Proceeds of insurance or arising from casualty losses or condemnations and payments in lieu thereof, Borrowers shall prepay the outstanding principal amount of the Obligations in accordance with </w:t>
      </w:r>
      <w:r>
        <w:rPr>
          <w:rFonts w:ascii="Arial" w:cs="Arial" w:eastAsia="Arial" w:hAnsi="Arial"/>
          <w:sz w:val="20"/>
          <w:szCs w:val="20"/>
          <w:u w:val="single" w:color="auto"/>
          <w:color w:val="auto"/>
        </w:rPr>
        <w:t>Section 2.4(f)</w:t>
      </w:r>
      <w:r>
        <w:rPr>
          <w:rFonts w:ascii="Arial" w:cs="Arial" w:eastAsia="Arial" w:hAnsi="Arial"/>
          <w:sz w:val="20"/>
          <w:szCs w:val="20"/>
          <w:color w:val="auto"/>
        </w:rPr>
        <w:t xml:space="preserve"> in an amount equal to the lesser of (x) 100% of such Net Cash Proceeds received by such Person in connection with such sales or dispositions and (y) the amount necessary to cause Excess Availability to equal or exceed 15% of the Maximum Revolver Amount.</w:t>
      </w:r>
    </w:p>
    <w:p>
      <w:pPr>
        <w:spacing w:after="0" w:line="190" w:lineRule="exact"/>
        <w:rPr>
          <w:rFonts w:ascii="Arial" w:cs="Arial" w:eastAsia="Arial" w:hAnsi="Arial"/>
          <w:sz w:val="20"/>
          <w:szCs w:val="20"/>
          <w:color w:val="auto"/>
        </w:rPr>
      </w:pPr>
    </w:p>
    <w:p>
      <w:pPr>
        <w:ind w:left="2440" w:hanging="386"/>
        <w:spacing w:after="0"/>
        <w:tabs>
          <w:tab w:leader="none" w:pos="2440" w:val="left"/>
        </w:tabs>
        <w:numPr>
          <w:ilvl w:val="1"/>
          <w:numId w:val="178"/>
        </w:numPr>
        <w:rPr>
          <w:rFonts w:ascii="Arial" w:cs="Arial" w:eastAsia="Arial" w:hAnsi="Arial"/>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2440" w:hanging="386"/>
        <w:spacing w:after="0"/>
        <w:tabs>
          <w:tab w:leader="none" w:pos="2440" w:val="left"/>
        </w:tabs>
        <w:numPr>
          <w:ilvl w:val="1"/>
          <w:numId w:val="178"/>
        </w:numPr>
        <w:rPr>
          <w:rFonts w:ascii="Arial" w:cs="Arial" w:eastAsia="Arial" w:hAnsi="Arial"/>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ind w:left="2440" w:hanging="386"/>
        <w:spacing w:after="0"/>
        <w:tabs>
          <w:tab w:leader="none" w:pos="2440" w:val="left"/>
        </w:tabs>
        <w:numPr>
          <w:ilvl w:val="1"/>
          <w:numId w:val="178"/>
        </w:numPr>
        <w:rPr>
          <w:rFonts w:ascii="Arial" w:cs="Arial" w:eastAsia="Arial" w:hAnsi="Arial"/>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firstLine="1493"/>
        <w:spacing w:after="0" w:line="284" w:lineRule="auto"/>
        <w:tabs>
          <w:tab w:leader="none" w:pos="192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Application of Payments</w:t>
      </w:r>
      <w:r>
        <w:rPr>
          <w:rFonts w:ascii="Arial" w:cs="Arial" w:eastAsia="Arial" w:hAnsi="Arial"/>
          <w:sz w:val="18"/>
          <w:szCs w:val="18"/>
          <w:color w:val="auto"/>
        </w:rPr>
        <w:t>. Each prepayment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2.4(e)(i)</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(i) so long as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Application Event shall have occurred and be continuing,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outstanding principal amount of the Revolving Loans until paid in full, and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cash collateralize the Letters of Credit in an amount equal to 103% of the then outstanding Letter of Credit Usage, and (ii) if an Application Event shall have occurred and be continuing, be applied in the manner set forth in </w:t>
      </w:r>
      <w:r>
        <w:rPr>
          <w:rFonts w:ascii="Arial" w:cs="Arial" w:eastAsia="Arial" w:hAnsi="Arial"/>
          <w:sz w:val="18"/>
          <w:szCs w:val="18"/>
          <w:u w:val="single" w:color="auto"/>
          <w:color w:val="auto"/>
        </w:rPr>
        <w:t>Section 2.4(b)(iii)</w:t>
      </w:r>
      <w:r>
        <w:rPr>
          <w:rFonts w:ascii="Arial" w:cs="Arial" w:eastAsia="Arial" w:hAnsi="Arial"/>
          <w:sz w:val="18"/>
          <w:szCs w:val="18"/>
          <w:color w:val="auto"/>
        </w:rPr>
        <w: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2.5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Promise to Pay; Promissory Notes</w:t>
      </w:r>
      <w:r>
        <w:rPr>
          <w:rFonts w:ascii="Arial" w:cs="Arial" w:eastAsia="Arial" w:hAnsi="Arial"/>
          <w:sz w:val="20"/>
          <w:szCs w:val="20"/>
          <w:color w:val="auto"/>
        </w:rPr>
        <w:t>.</w:t>
      </w:r>
    </w:p>
    <w:p>
      <w:pPr>
        <w:spacing w:after="0" w:line="221" w:lineRule="exact"/>
        <w:rPr>
          <w:sz w:val="20"/>
          <w:szCs w:val="20"/>
          <w:color w:val="auto"/>
        </w:rPr>
      </w:pPr>
    </w:p>
    <w:p>
      <w:pPr>
        <w:jc w:val="both"/>
        <w:ind w:firstLine="1493"/>
        <w:spacing w:after="0" w:line="255" w:lineRule="auto"/>
        <w:tabs>
          <w:tab w:leader="none" w:pos="189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Borrowers agree to pay the Lender Group Expenses on the earlier of (i) the first day of the month immediately following the date on which the applicable Lender Group Expenses were first incurred, or (ii) the date on which demand therefor is made by Agent, in each case, provided that Agent shall endeavor, so long as no Default or Event of Default shall have occurred and be continuing, to provide a reasonably detailed invoice thereof to Borrowers prior to such payment date (it being acknowledged and agreed that any charging of such Lender Group Expenses to the Loan Account pursuant to the provisions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shall be deemed to constitute a demand for payment thereof for the purposes of subclause (ii) of this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shall survive payment or satisfaction in full of all other Obligations.</w:t>
      </w:r>
    </w:p>
    <w:p>
      <w:pPr>
        <w:spacing w:after="0" w:line="200" w:lineRule="exact"/>
        <w:rPr>
          <w:sz w:val="20"/>
          <w:szCs w:val="20"/>
          <w:color w:val="auto"/>
        </w:rPr>
      </w:pPr>
    </w:p>
    <w:p>
      <w:pPr>
        <w:spacing w:after="0" w:line="2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46" w:right="339" w:bottom="1440" w:gutter="0" w:footer="0" w:header="0"/>
        </w:sectPr>
      </w:pPr>
    </w:p>
    <w:bookmarkStart w:id="194" w:name="page195"/>
    <w:bookmarkEnd w:id="194"/>
    <w:p>
      <w:pPr>
        <w:jc w:val="both"/>
        <w:ind w:firstLine="1493"/>
        <w:spacing w:after="0" w:line="244" w:lineRule="auto"/>
        <w:tabs>
          <w:tab w:leader="none" w:pos="189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Lender may request that any portion of its Commitments or the Loans made by it be evidenced by one or more promissory notes. In such event, Borrowers shall execute and deliver to such Lender the requested promissory notes payable to the order of such Lender in a form furnished by Agent and reasonably satisfactory to Borrowers. Thereafter, the portion of the Commitments and Loans evidenced by such promissory notes and interest thereon shall at all times be represented by one or more promissory notes in such form payable to the order of the payee named therein.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2.6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Interest Rates and Letter of Credit Fee: Rates, Payments, and Calculations</w:t>
      </w:r>
      <w:r>
        <w:rPr>
          <w:rFonts w:ascii="Arial" w:cs="Arial" w:eastAsia="Arial" w:hAnsi="Arial"/>
          <w:sz w:val="20"/>
          <w:szCs w:val="20"/>
          <w:color w:val="auto"/>
        </w:rPr>
        <w:t>.</w:t>
      </w:r>
    </w:p>
    <w:p>
      <w:pPr>
        <w:spacing w:after="0" w:line="215" w:lineRule="exact"/>
        <w:rPr>
          <w:sz w:val="20"/>
          <w:szCs w:val="20"/>
          <w:color w:val="auto"/>
        </w:rPr>
      </w:pPr>
    </w:p>
    <w:p>
      <w:pPr>
        <w:ind w:right="20" w:firstLine="1493"/>
        <w:spacing w:after="0" w:line="293" w:lineRule="auto"/>
        <w:tabs>
          <w:tab w:leader="none" w:pos="1906" w:val="left"/>
        </w:tabs>
        <w:numPr>
          <w:ilvl w:val="0"/>
          <w:numId w:val="181"/>
        </w:numPr>
        <w:rPr>
          <w:rFonts w:ascii="Arial" w:cs="Arial" w:eastAsia="Arial" w:hAnsi="Arial"/>
          <w:sz w:val="19"/>
          <w:szCs w:val="19"/>
          <w:color w:val="auto"/>
        </w:rPr>
      </w:pPr>
      <w:r>
        <w:rPr>
          <w:rFonts w:ascii="Arial" w:cs="Arial" w:eastAsia="Arial" w:hAnsi="Arial"/>
          <w:sz w:val="19"/>
          <w:szCs w:val="19"/>
          <w:b w:val="1"/>
          <w:bCs w:val="1"/>
          <w:color w:val="auto"/>
        </w:rPr>
        <w:t>Interest Rates</w:t>
      </w:r>
      <w:r>
        <w:rPr>
          <w:rFonts w:ascii="Arial" w:cs="Arial" w:eastAsia="Arial" w:hAnsi="Arial"/>
          <w:sz w:val="19"/>
          <w:szCs w:val="19"/>
          <w:color w:val="auto"/>
        </w:rPr>
        <w:t>. Except as provided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2.6(c)</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2.12(d)</w:t>
      </w:r>
      <w:r>
        <w:rPr>
          <w:rFonts w:ascii="Arial" w:cs="Arial" w:eastAsia="Arial" w:hAnsi="Arial"/>
          <w:sz w:val="19"/>
          <w:szCs w:val="19"/>
          <w:color w:val="auto"/>
        </w:rPr>
        <w:t>, all Obligations (except for undrawn</w:t>
      </w:r>
      <w:r>
        <w:rPr>
          <w:rFonts w:ascii="Arial" w:cs="Arial" w:eastAsia="Arial" w:hAnsi="Arial"/>
          <w:sz w:val="19"/>
          <w:szCs w:val="19"/>
          <w:b w:val="1"/>
          <w:bCs w:val="1"/>
          <w:color w:val="auto"/>
        </w:rPr>
        <w:t xml:space="preserve"> </w:t>
      </w:r>
      <w:r>
        <w:rPr>
          <w:rFonts w:ascii="Arial" w:cs="Arial" w:eastAsia="Arial" w:hAnsi="Arial"/>
          <w:sz w:val="19"/>
          <w:szCs w:val="19"/>
          <w:color w:val="auto"/>
        </w:rPr>
        <w:t>Letters of Credit) that have been charged to the Loan Account pursuant to the terms hereof shall bear interest as follows:</w:t>
      </w:r>
    </w:p>
    <w:p>
      <w:pPr>
        <w:spacing w:after="0" w:line="146" w:lineRule="exact"/>
        <w:rPr>
          <w:rFonts w:ascii="Arial" w:cs="Arial" w:eastAsia="Arial" w:hAnsi="Arial"/>
          <w:sz w:val="19"/>
          <w:szCs w:val="19"/>
          <w:color w:val="auto"/>
        </w:rPr>
      </w:pPr>
    </w:p>
    <w:p>
      <w:pPr>
        <w:ind w:left="2440" w:hanging="386"/>
        <w:spacing w:after="0"/>
        <w:tabs>
          <w:tab w:leader="none" w:pos="244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if the relevant Obligation is a SOFR Loan, at a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rate equal to Adjusted Term SOFR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w:t>
      </w:r>
    </w:p>
    <w:p>
      <w:pPr>
        <w:spacing w:after="0" w:line="26"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0"/>
          <w:szCs w:val="20"/>
          <w:color w:val="auto"/>
        </w:rPr>
        <w:t>SOFR Margin, and</w:t>
      </w:r>
    </w:p>
    <w:p>
      <w:pPr>
        <w:spacing w:after="0" w:line="198" w:lineRule="exact"/>
        <w:rPr>
          <w:rFonts w:ascii="Arial" w:cs="Arial" w:eastAsia="Arial" w:hAnsi="Arial"/>
          <w:sz w:val="19"/>
          <w:szCs w:val="19"/>
          <w:color w:val="auto"/>
        </w:rPr>
      </w:pPr>
    </w:p>
    <w:p>
      <w:pPr>
        <w:ind w:left="2440" w:hanging="386"/>
        <w:spacing w:after="0"/>
        <w:tabs>
          <w:tab w:leader="none" w:pos="244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 xml:space="preserve">otherwise,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Base Rate Margin.</w:t>
      </w:r>
    </w:p>
    <w:p>
      <w:pPr>
        <w:spacing w:after="0" w:line="208" w:lineRule="exact"/>
        <w:rPr>
          <w:rFonts w:ascii="Arial" w:cs="Arial" w:eastAsia="Arial" w:hAnsi="Arial"/>
          <w:sz w:val="20"/>
          <w:szCs w:val="20"/>
          <w:color w:val="auto"/>
        </w:rPr>
      </w:pPr>
    </w:p>
    <w:p>
      <w:pPr>
        <w:jc w:val="both"/>
        <w:ind w:firstLine="1493"/>
        <w:spacing w:after="0" w:line="248" w:lineRule="auto"/>
        <w:tabs>
          <w:tab w:leader="none" w:pos="1906" w:val="left"/>
        </w:tabs>
        <w:numPr>
          <w:ilvl w:val="0"/>
          <w:numId w:val="181"/>
        </w:numPr>
        <w:rPr>
          <w:rFonts w:ascii="Arial" w:cs="Arial" w:eastAsia="Arial" w:hAnsi="Arial"/>
          <w:sz w:val="20"/>
          <w:szCs w:val="20"/>
          <w:color w:val="auto"/>
        </w:rPr>
      </w:pPr>
      <w:r>
        <w:rPr>
          <w:rFonts w:ascii="Arial" w:cs="Arial" w:eastAsia="Arial" w:hAnsi="Arial"/>
          <w:sz w:val="20"/>
          <w:szCs w:val="20"/>
          <w:b w:val="1"/>
          <w:bCs w:val="1"/>
          <w:color w:val="auto"/>
        </w:rPr>
        <w:t>Letter of Credit Fee</w:t>
      </w:r>
      <w:r>
        <w:rPr>
          <w:rFonts w:ascii="Arial" w:cs="Arial" w:eastAsia="Arial" w:hAnsi="Arial"/>
          <w:sz w:val="20"/>
          <w:szCs w:val="20"/>
          <w:color w:val="auto"/>
        </w:rPr>
        <w:t>. Borrowers shall pay Agent (for the ratable benefit of the Revolving Lenders), a Letter of</w:t>
      </w:r>
      <w:r>
        <w:rPr>
          <w:rFonts w:ascii="Arial" w:cs="Arial" w:eastAsia="Arial" w:hAnsi="Arial"/>
          <w:sz w:val="20"/>
          <w:szCs w:val="20"/>
          <w:b w:val="1"/>
          <w:bCs w:val="1"/>
          <w:color w:val="auto"/>
        </w:rPr>
        <w:t xml:space="preserve"> </w:t>
      </w:r>
      <w:r>
        <w:rPr>
          <w:rFonts w:ascii="Arial" w:cs="Arial" w:eastAsia="Arial" w:hAnsi="Arial"/>
          <w:sz w:val="20"/>
          <w:szCs w:val="20"/>
          <w:color w:val="auto"/>
        </w:rPr>
        <w:t>Credit fee (the “</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(which fee shall be in addition to the fronting fees and commissions, other fees, charges and expenses set forth in </w:t>
      </w:r>
      <w:r>
        <w:rPr>
          <w:rFonts w:ascii="Arial" w:cs="Arial" w:eastAsia="Arial" w:hAnsi="Arial"/>
          <w:sz w:val="20"/>
          <w:szCs w:val="20"/>
          <w:u w:val="single" w:color="auto"/>
          <w:color w:val="auto"/>
        </w:rPr>
        <w:t>Section 2.11(k)</w:t>
      </w:r>
      <w:r>
        <w:rPr>
          <w:rFonts w:ascii="Arial" w:cs="Arial" w:eastAsia="Arial" w:hAnsi="Arial"/>
          <w:sz w:val="20"/>
          <w:szCs w:val="20"/>
          <w:color w:val="auto"/>
        </w:rPr>
        <w:t xml:space="preserve">) that shall accrue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the SOFR Margin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average amount of the Letter of Credit Usage during the immediately preceding month.</w:t>
      </w:r>
    </w:p>
    <w:p>
      <w:pPr>
        <w:spacing w:after="0" w:line="182" w:lineRule="exact"/>
        <w:rPr>
          <w:rFonts w:ascii="Arial" w:cs="Arial" w:eastAsia="Arial" w:hAnsi="Arial"/>
          <w:sz w:val="20"/>
          <w:szCs w:val="20"/>
          <w:color w:val="auto"/>
        </w:rPr>
      </w:pPr>
    </w:p>
    <w:p>
      <w:pPr>
        <w:jc w:val="both"/>
        <w:ind w:firstLine="1493"/>
        <w:spacing w:after="0" w:line="273" w:lineRule="auto"/>
        <w:tabs>
          <w:tab w:leader="none" w:pos="1906"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Default Rate</w:t>
      </w:r>
      <w:r>
        <w:rPr>
          <w:rFonts w:ascii="Arial" w:cs="Arial" w:eastAsia="Arial" w:hAnsi="Arial"/>
          <w:sz w:val="18"/>
          <w:szCs w:val="18"/>
          <w:color w:val="auto"/>
        </w:rPr>
        <w:t>. (i) Automatically upon the occurrence and during the continuation of an Event of Default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and (ii) upon the occurrence and during the continuation of any Event of Default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1 or </w:t>
      </w:r>
      <w:r>
        <w:rPr>
          <w:rFonts w:ascii="Arial" w:cs="Arial" w:eastAsia="Arial" w:hAnsi="Arial"/>
          <w:sz w:val="18"/>
          <w:szCs w:val="18"/>
          <w:u w:val="single" w:color="auto"/>
          <w:color w:val="auto"/>
        </w:rPr>
        <w:t>8.2(a)(i)</w:t>
      </w:r>
      <w:r>
        <w:rPr>
          <w:rFonts w:ascii="Arial" w:cs="Arial" w:eastAsia="Arial" w:hAnsi="Arial"/>
          <w:sz w:val="18"/>
          <w:szCs w:val="18"/>
          <w:color w:val="auto"/>
        </w:rPr>
        <w:t xml:space="preserve"> (solely with respect to the failure to comply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if applicable), at the election of the Required Lenders (or the Agent at the direction of the Required Lenders), and upon written notice by Agent to Borrowers of such direction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notice shall not be required for any Event of Default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(solely with respect to principal, interest or recurring fees)) (a) all Loans and all Obligations (except for undrawn Letters of Credit) that have been charged to the Loan Account pursuant to the terms hereof shall bear interest at a </w:t>
      </w:r>
      <w:r>
        <w:rPr>
          <w:rFonts w:ascii="Arial" w:cs="Arial" w:eastAsia="Arial" w:hAnsi="Arial"/>
          <w:sz w:val="18"/>
          <w:szCs w:val="18"/>
          <w:i w:val="1"/>
          <w:iCs w:val="1"/>
          <w:color w:val="auto"/>
        </w:rPr>
        <w:t>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annum </w:t>
      </w:r>
      <w:r>
        <w:rPr>
          <w:rFonts w:ascii="Arial" w:cs="Arial" w:eastAsia="Arial" w:hAnsi="Arial"/>
          <w:sz w:val="18"/>
          <w:szCs w:val="18"/>
          <w:color w:val="auto"/>
        </w:rPr>
        <w:t>rate equal to two percentage points above the per annum rate otherwise applicable thereunder, and (b) the Letter of Credit Fee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increased to two percentage points above the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otherwise applicable hereunder.</w:t>
      </w:r>
    </w:p>
    <w:p>
      <w:pPr>
        <w:spacing w:after="0" w:line="166" w:lineRule="exact"/>
        <w:rPr>
          <w:rFonts w:ascii="Arial" w:cs="Arial" w:eastAsia="Arial" w:hAnsi="Arial"/>
          <w:sz w:val="18"/>
          <w:szCs w:val="18"/>
          <w:color w:val="auto"/>
        </w:rPr>
      </w:pPr>
    </w:p>
    <w:p>
      <w:pPr>
        <w:jc w:val="both"/>
        <w:ind w:firstLine="1493"/>
        <w:spacing w:after="0" w:line="271" w:lineRule="auto"/>
        <w:tabs>
          <w:tab w:leader="none" w:pos="1893"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Except to the extent provided to the contrary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2.11(k)</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2.12(a)</w:t>
      </w:r>
      <w:r>
        <w:rPr>
          <w:rFonts w:ascii="Arial" w:cs="Arial" w:eastAsia="Arial" w:hAnsi="Arial"/>
          <w:sz w:val="18"/>
          <w:szCs w:val="18"/>
          <w:color w:val="auto"/>
        </w:rPr>
        <w:t>, (i)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 and all other fees payable hereunder or under any of the other Loan Documents (other than Letter of Credit Fees) shall be due and payable, in arrears, on the first day of each month, (ii) all Letter of Credit Fees payable hereunder, and all fronting fees and all commissions, other fees, charges and expenses provided for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shall be due and payable, in arrears, on the first Business Day of each month, and (iii) all costs and expenses payable hereunder or under any of the other Loan Documents, and all other Lender Group Expenses shall be due and payable on the earlier of (x) the first day of the month following the date on which the applicable costs, expenses, or Lender Group Expenses were first incurred, or (y) the date on which demand therefor is made by Agent, in each case, provided that Agent shall endeavor, so long as no Default or Event of Default shall have occurred and be continuing, to provide a reasonably detailed invoice thereof to Borrowers prior to such payment date (it being acknowledged and agreed that any charging of such costs, expenses or Lender Group Expenses to the Loan Account pursuant to the provisions of the following sentence shall be deemed to constitute a demand for payment thereof for the purposes of subclause (y)). Borrowers hereby authorize</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195" w:name="page196"/>
    <w:bookmarkEnd w:id="195"/>
    <w:p>
      <w:pPr>
        <w:jc w:val="both"/>
        <w:ind w:left="200"/>
        <w:spacing w:after="0" w:line="269" w:lineRule="auto"/>
        <w:rPr>
          <w:sz w:val="20"/>
          <w:szCs w:val="20"/>
          <w:color w:val="auto"/>
        </w:rPr>
      </w:pPr>
      <w:r>
        <w:rPr>
          <w:rFonts w:ascii="Arial" w:cs="Arial" w:eastAsia="Arial" w:hAnsi="Arial"/>
          <w:sz w:val="18"/>
          <w:szCs w:val="18"/>
          <w:color w:val="auto"/>
        </w:rPr>
        <w:t xml:space="preserve">Agent, from time to time, to charge to the Loan Account (a) on the first day of each month, all interest accrued during the prior month on the Revolving Loans hereunder, (b) on the first Business Day of each month, all Letter of Credit Fees accrued or chargeable hereunder during the prior month, (c) (i) as and when incurred or accrued, all fees and costs provided for in </w:t>
      </w: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and (ii) when due and payable, all accrued and unpaid fees provided for in Section 2.10(a), (d) on the first day of each month, the Unused Line Fee accrued during the prior month pursuant to </w:t>
      </w:r>
      <w:r>
        <w:rPr>
          <w:rFonts w:ascii="Arial" w:cs="Arial" w:eastAsia="Arial" w:hAnsi="Arial"/>
          <w:sz w:val="18"/>
          <w:szCs w:val="18"/>
          <w:u w:val="single" w:color="auto"/>
          <w:color w:val="auto"/>
        </w:rPr>
        <w:t>Section 2.10(b)</w:t>
      </w:r>
      <w:r>
        <w:rPr>
          <w:rFonts w:ascii="Arial" w:cs="Arial" w:eastAsia="Arial" w:hAnsi="Arial"/>
          <w:sz w:val="18"/>
          <w:szCs w:val="18"/>
          <w:color w:val="auto"/>
        </w:rPr>
        <w:t>, (e) as and when due and payable, all other fees payable hereunder or under any of the other Loan Documents, (f) as and when incurred or accrued, all other Lender Group Expenses, and (g) as and when due and payable all other payment obligations payable under any Loan Document or any Bank Product Agreement (including any amounts due and payable to the Bank Product Providers in respect of Bank Products); provided that with respect to the items set forth in the foregoing clauses (e), (f) and (g), Agent shall endeavor, so long as no Default or Event of Default shall have occurred and be continuing, to provide a reasonably detailed invoice thereof to Borrowers before so charging the Loan Account. All amounts (including interest, fees, costs, expenses, Lender Group Expenses, or other amounts payable hereunder or under any other Loan Document or under any Bank Product Agreement) charged to the Loan Account shall thereupon constitute Revolving Loans hereunder, shall constitute Obligations hereunder, and shall initially accrue interest at the rate then applicable to Revolving Loans that are Base Rate Loans (unless and until converted into SOFR Loans in accordance with the terms of this Agreement). Whenever any payment to be made hereunder shall be stated to be due on a day that is not a Business Day, the payment may be made on the next succeeding Business Day.</w:t>
      </w:r>
    </w:p>
    <w:p>
      <w:pPr>
        <w:spacing w:after="0" w:line="168" w:lineRule="exact"/>
        <w:rPr>
          <w:sz w:val="20"/>
          <w:szCs w:val="20"/>
          <w:color w:val="auto"/>
        </w:rPr>
      </w:pPr>
    </w:p>
    <w:p>
      <w:pPr>
        <w:jc w:val="both"/>
        <w:ind w:left="200" w:firstLine="1493"/>
        <w:spacing w:after="0" w:line="322" w:lineRule="auto"/>
        <w:tabs>
          <w:tab w:leader="none" w:pos="2093"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Computation</w:t>
      </w:r>
      <w:r>
        <w:rPr>
          <w:rFonts w:ascii="Arial" w:cs="Arial" w:eastAsia="Arial" w:hAnsi="Arial"/>
          <w:sz w:val="16"/>
          <w:szCs w:val="16"/>
          <w:color w:val="auto"/>
        </w:rPr>
        <w:t>. All interest and fees chargeable under the Loan Documents shall be computed on the basis of a 360</w:t>
      </w:r>
      <w:r>
        <w:rPr>
          <w:rFonts w:ascii="Arial" w:cs="Arial" w:eastAsia="Arial" w:hAnsi="Arial"/>
          <w:sz w:val="16"/>
          <w:szCs w:val="16"/>
          <w:b w:val="1"/>
          <w:bCs w:val="1"/>
          <w:color w:val="auto"/>
        </w:rPr>
        <w:t xml:space="preserve"> </w:t>
      </w:r>
      <w:r>
        <w:rPr>
          <w:rFonts w:ascii="Arial" w:cs="Arial" w:eastAsia="Arial" w:hAnsi="Arial"/>
          <w:sz w:val="16"/>
          <w:szCs w:val="16"/>
          <w:color w:val="auto"/>
        </w:rPr>
        <w:t>day year (except that computations based upon reference to the Base Rate based upon clause (c) of the definition thereof shall be computed based on the basis of a 365-day year (or 366-day year in a leap year)), in each case, for the actual number of days elapsed in the period during which the interest or fees accrue. If the Base Rate is changed from time to time hereafter, the rates of interest hereunder based upon the Base Rate automatically and immediately shall be increased or decreased by an amount equal to such change in the Base Rate.</w:t>
      </w:r>
    </w:p>
    <w:p>
      <w:pPr>
        <w:spacing w:after="0" w:line="127" w:lineRule="exact"/>
        <w:rPr>
          <w:rFonts w:ascii="Arial" w:cs="Arial" w:eastAsia="Arial" w:hAnsi="Arial"/>
          <w:sz w:val="16"/>
          <w:szCs w:val="16"/>
          <w:color w:val="auto"/>
        </w:rPr>
      </w:pPr>
    </w:p>
    <w:p>
      <w:pPr>
        <w:jc w:val="both"/>
        <w:ind w:left="200" w:firstLine="1493"/>
        <w:spacing w:after="0" w:line="273" w:lineRule="auto"/>
        <w:tabs>
          <w:tab w:leader="none" w:pos="2093"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Intent to Limit Charges to Maximum Lawful Rate</w:t>
      </w:r>
      <w:r>
        <w:rPr>
          <w:rFonts w:ascii="Arial" w:cs="Arial" w:eastAsia="Arial" w:hAnsi="Arial"/>
          <w:sz w:val="18"/>
          <w:szCs w:val="18"/>
          <w:color w:val="auto"/>
        </w:rPr>
        <w:t>. In no event shall the interest rate or rates payable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contained herein to the contrary notwithstanding, if such rate or rates of interest or manner of payment exceeds the maximum allowable under applicable law, then, </w:t>
      </w:r>
      <w:r>
        <w:rPr>
          <w:rFonts w:ascii="Arial" w:cs="Arial" w:eastAsia="Arial" w:hAnsi="Arial"/>
          <w:sz w:val="18"/>
          <w:szCs w:val="18"/>
          <w:i w:val="1"/>
          <w:iCs w:val="1"/>
          <w:color w:val="auto"/>
        </w:rPr>
        <w:t>ipso facto</w:t>
      </w:r>
      <w:r>
        <w:rPr>
          <w:rFonts w:ascii="Arial" w:cs="Arial" w:eastAsia="Arial" w:hAnsi="Arial"/>
          <w:sz w:val="18"/>
          <w:szCs w:val="18"/>
          <w:color w:val="auto"/>
        </w:rPr>
        <w:t>,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spacing w:after="0" w:line="166" w:lineRule="exact"/>
        <w:rPr>
          <w:rFonts w:ascii="Arial" w:cs="Arial" w:eastAsia="Arial" w:hAnsi="Arial"/>
          <w:sz w:val="18"/>
          <w:szCs w:val="18"/>
          <w:color w:val="auto"/>
        </w:rPr>
      </w:pPr>
    </w:p>
    <w:p>
      <w:pPr>
        <w:jc w:val="both"/>
        <w:ind w:left="200" w:firstLine="1493"/>
        <w:spacing w:after="0" w:line="262" w:lineRule="auto"/>
        <w:tabs>
          <w:tab w:leader="none" w:pos="2093" w:val="left"/>
        </w:tabs>
        <w:numPr>
          <w:ilvl w:val="0"/>
          <w:numId w:val="182"/>
        </w:numPr>
        <w:rPr>
          <w:rFonts w:ascii="Arial" w:cs="Arial" w:eastAsia="Arial" w:hAnsi="Arial"/>
          <w:sz w:val="19"/>
          <w:szCs w:val="19"/>
          <w:color w:val="auto"/>
        </w:rPr>
      </w:pPr>
      <w:r>
        <w:rPr>
          <w:rFonts w:ascii="Arial" w:cs="Arial" w:eastAsia="Arial" w:hAnsi="Arial"/>
          <w:sz w:val="19"/>
          <w:szCs w:val="19"/>
          <w:b w:val="1"/>
          <w:bCs w:val="1"/>
          <w:color w:val="auto"/>
        </w:rPr>
        <w:t>Term SOFR Conforming Changes</w:t>
      </w:r>
      <w:r>
        <w:rPr>
          <w:rFonts w:ascii="Arial" w:cs="Arial" w:eastAsia="Arial" w:hAnsi="Arial"/>
          <w:sz w:val="19"/>
          <w:szCs w:val="19"/>
          <w:color w:val="auto"/>
        </w:rPr>
        <w:t>. In connection with the use or administration of Term SOFR, Agent will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 Administrative Borrower and the Lenders of the effectiveness of any Conforming Changes in connection with the use or administration of Term SOFR.</w:t>
      </w:r>
    </w:p>
    <w:p>
      <w:pPr>
        <w:spacing w:after="0" w:line="16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2.7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Crediting Payments</w:t>
      </w:r>
      <w:r>
        <w:rPr>
          <w:rFonts w:ascii="Arial" w:cs="Arial" w:eastAsia="Arial" w:hAnsi="Arial"/>
          <w:sz w:val="20"/>
          <w:szCs w:val="20"/>
          <w:color w:val="auto"/>
        </w:rPr>
        <w:t>. The receipt of any payment item by Agent shall not be required to be considered a payment on account unless such payment item is a wire transfer of immediately available funds made to Agent’s Account or unless and until such payment item is honored when presented for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6" w:name="page197"/>
    <w:bookmarkEnd w:id="196"/>
    <w:p>
      <w:pPr>
        <w:jc w:val="both"/>
        <w:spacing w:after="0" w:line="278" w:lineRule="auto"/>
        <w:rPr>
          <w:sz w:val="20"/>
          <w:szCs w:val="20"/>
          <w:color w:val="auto"/>
        </w:rPr>
      </w:pPr>
      <w:r>
        <w:rPr>
          <w:rFonts w:ascii="Arial" w:cs="Arial" w:eastAsia="Arial" w:hAnsi="Arial"/>
          <w:sz w:val="18"/>
          <w:szCs w:val="18"/>
          <w:color w:val="auto"/>
        </w:rPr>
        <w:t>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Account on a Business Day on or before 2:00 p.m. If any payment item is received into Agent’s Account on a non-Business Day or after 2:00 p.m. on a Business Day (unless Agent, in its sole discretion, elects to credit it on the date received), it shall be deemed to have been received by Agent as of the opening of business on the immediately following Business Day.</w:t>
      </w:r>
    </w:p>
    <w:p>
      <w:pPr>
        <w:spacing w:after="0" w:line="15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auto"/>
        </w:rPr>
        <w:t>2.8</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Designated Account</w:t>
      </w:r>
      <w:r>
        <w:rPr>
          <w:rFonts w:ascii="Arial" w:cs="Arial" w:eastAsia="Arial" w:hAnsi="Arial"/>
          <w:sz w:val="19"/>
          <w:szCs w:val="19"/>
          <w:color w:val="auto"/>
        </w:rPr>
        <w:t xml:space="preserve">. Agent is authorized to make the Revolving Loans, and each Issuing Bank is authorized to issue the Letters of Credit, under this Agreement based upon telephonic or other instructions received from anyone purporting to be an Authorized Person or, without instructions, if pursuant to </w:t>
      </w:r>
      <w:r>
        <w:rPr>
          <w:rFonts w:ascii="Arial" w:cs="Arial" w:eastAsia="Arial" w:hAnsi="Arial"/>
          <w:sz w:val="19"/>
          <w:szCs w:val="19"/>
          <w:u w:val="single" w:color="auto"/>
          <w:color w:val="auto"/>
        </w:rPr>
        <w:t>Section 2.6(d)</w:t>
      </w:r>
      <w:r>
        <w:rPr>
          <w:rFonts w:ascii="Arial" w:cs="Arial" w:eastAsia="Arial" w:hAnsi="Arial"/>
          <w:sz w:val="19"/>
          <w:szCs w:val="19"/>
          <w:color w:val="auto"/>
        </w:rPr>
        <w:t>. Borrowers agree to establish and maintain the Designated Account with the Designated Account Bank for the purpose of receiving the proceeds of the Revolving Loans requested by Borrowers and made by Agent or the Lenders hereunder. Unless otherwise agreed by Agent and Borrowers, any Revolving Loan or Swing Loan requested by Borrowers and made by Agent or the Lenders hereunder shall be made to the Designated Account.</w:t>
      </w:r>
    </w:p>
    <w:p>
      <w:pPr>
        <w:spacing w:after="0" w:line="17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2.9</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Maintenance of Loan Account; Statements of Obligations</w:t>
      </w:r>
      <w:r>
        <w:rPr>
          <w:rFonts w:ascii="Arial" w:cs="Arial" w:eastAsia="Arial" w:hAnsi="Arial"/>
          <w:sz w:val="19"/>
          <w:szCs w:val="19"/>
          <w:color w:val="auto"/>
        </w:rPr>
        <w:t>. Agent shall maintain an account on its books in the name of Borrowers (the “</w:t>
      </w:r>
      <w:r>
        <w:rPr>
          <w:rFonts w:ascii="Arial" w:cs="Arial" w:eastAsia="Arial" w:hAnsi="Arial"/>
          <w:sz w:val="19"/>
          <w:szCs w:val="19"/>
          <w:u w:val="single" w:color="auto"/>
          <w:color w:val="auto"/>
        </w:rPr>
        <w:t>Loan Account</w:t>
      </w:r>
      <w:r>
        <w:rPr>
          <w:rFonts w:ascii="Arial" w:cs="Arial" w:eastAsia="Arial" w:hAnsi="Arial"/>
          <w:sz w:val="19"/>
          <w:szCs w:val="19"/>
          <w:color w:val="auto"/>
        </w:rPr>
        <w:t xml:space="preserve">”) on which Borrowers will be charged with all Revolving Loans (including Extraordinary Advances and Swing Loans) made by Agent, Swing Lender, or the Lenders to Borrowers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Arial" w:cs="Arial" w:eastAsia="Arial" w:hAnsi="Arial"/>
          <w:sz w:val="19"/>
          <w:szCs w:val="19"/>
          <w:u w:val="single" w:color="auto"/>
          <w:color w:val="auto"/>
        </w:rPr>
        <w:t>Section 2.7</w:t>
      </w:r>
      <w:r>
        <w:rPr>
          <w:rFonts w:ascii="Arial" w:cs="Arial" w:eastAsia="Arial" w:hAnsi="Arial"/>
          <w:sz w:val="19"/>
          <w:szCs w:val="19"/>
          <w:color w:val="auto"/>
        </w:rPr>
        <w:t>, the Loan Account will be credited with all payments received by Agent from Borrowers or for Borrowers’ account. Agent shall make available to Borrowers monthly statements regarding the Loan Account, including the principal amount of the Revolving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30 days after Agent first makes such a statement available to Borrowers, Borrowers shall deliver to Agent written objection thereto describing the error or errors contained in such statement.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2.10</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Fees</w:t>
      </w:r>
      <w:r>
        <w:rPr>
          <w:rFonts w:ascii="Arial" w:cs="Arial" w:eastAsia="Arial" w:hAnsi="Arial"/>
          <w:sz w:val="20"/>
          <w:szCs w:val="20"/>
          <w:color w:val="auto"/>
        </w:rPr>
        <w:t>.</w:t>
      </w:r>
    </w:p>
    <w:p>
      <w:pPr>
        <w:spacing w:after="0" w:line="215" w:lineRule="exact"/>
        <w:rPr>
          <w:sz w:val="20"/>
          <w:szCs w:val="20"/>
          <w:color w:val="auto"/>
        </w:rPr>
      </w:pPr>
    </w:p>
    <w:p>
      <w:pPr>
        <w:ind w:left="200" w:firstLine="1493"/>
        <w:spacing w:after="0" w:line="266" w:lineRule="auto"/>
        <w:tabs>
          <w:tab w:leader="none" w:pos="2093"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Agent Fees</w:t>
      </w:r>
      <w:r>
        <w:rPr>
          <w:rFonts w:ascii="Arial" w:cs="Arial" w:eastAsia="Arial" w:hAnsi="Arial"/>
          <w:sz w:val="20"/>
          <w:szCs w:val="20"/>
          <w:color w:val="auto"/>
        </w:rPr>
        <w:t>. Borrowers shall pay to Agent, for the account of Agent, as and when due and payable under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Fee Letter, the fees set forth in the Fee Letter.</w:t>
      </w:r>
    </w:p>
    <w:p>
      <w:pPr>
        <w:spacing w:after="0" w:line="164" w:lineRule="exact"/>
        <w:rPr>
          <w:rFonts w:ascii="Arial" w:cs="Arial" w:eastAsia="Arial" w:hAnsi="Arial"/>
          <w:sz w:val="20"/>
          <w:szCs w:val="20"/>
          <w:color w:val="auto"/>
        </w:rPr>
      </w:pPr>
    </w:p>
    <w:p>
      <w:pPr>
        <w:jc w:val="both"/>
        <w:ind w:left="200" w:firstLine="1493"/>
        <w:spacing w:after="0" w:line="260" w:lineRule="auto"/>
        <w:tabs>
          <w:tab w:leader="none" w:pos="2093" w:val="left"/>
        </w:tabs>
        <w:numPr>
          <w:ilvl w:val="0"/>
          <w:numId w:val="183"/>
        </w:numPr>
        <w:rPr>
          <w:rFonts w:ascii="Arial" w:cs="Arial" w:eastAsia="Arial" w:hAnsi="Arial"/>
          <w:sz w:val="19"/>
          <w:szCs w:val="19"/>
          <w:color w:val="auto"/>
        </w:rPr>
      </w:pPr>
      <w:r>
        <w:rPr>
          <w:rFonts w:ascii="Arial" w:cs="Arial" w:eastAsia="Arial" w:hAnsi="Arial"/>
          <w:sz w:val="19"/>
          <w:szCs w:val="19"/>
          <w:b w:val="1"/>
          <w:bCs w:val="1"/>
          <w:color w:val="auto"/>
        </w:rPr>
        <w:t>Unused Line Fee</w:t>
      </w:r>
      <w:r>
        <w:rPr>
          <w:rFonts w:ascii="Arial" w:cs="Arial" w:eastAsia="Arial" w:hAnsi="Arial"/>
          <w:sz w:val="19"/>
          <w:szCs w:val="19"/>
          <w:color w:val="auto"/>
        </w:rPr>
        <w:t>. Borrowers shall pay to Agent, for the ratable account of the Revolving Lenders (other than any</w:t>
      </w:r>
      <w:r>
        <w:rPr>
          <w:rFonts w:ascii="Arial" w:cs="Arial" w:eastAsia="Arial" w:hAnsi="Arial"/>
          <w:sz w:val="19"/>
          <w:szCs w:val="19"/>
          <w:b w:val="1"/>
          <w:bCs w:val="1"/>
          <w:color w:val="auto"/>
        </w:rPr>
        <w:t xml:space="preserve"> </w:t>
      </w:r>
      <w:r>
        <w:rPr>
          <w:rFonts w:ascii="Arial" w:cs="Arial" w:eastAsia="Arial" w:hAnsi="Arial"/>
          <w:sz w:val="19"/>
          <w:szCs w:val="19"/>
          <w:color w:val="auto"/>
        </w:rPr>
        <w:t>Defaulting Lender), an unused line fee (the “</w:t>
      </w:r>
      <w:r>
        <w:rPr>
          <w:rFonts w:ascii="Arial" w:cs="Arial" w:eastAsia="Arial" w:hAnsi="Arial"/>
          <w:sz w:val="19"/>
          <w:szCs w:val="19"/>
          <w:u w:val="single" w:color="auto"/>
          <w:color w:val="auto"/>
        </w:rPr>
        <w:t>Unused Line Fee</w:t>
      </w:r>
      <w:r>
        <w:rPr>
          <w:rFonts w:ascii="Arial" w:cs="Arial" w:eastAsia="Arial" w:hAnsi="Arial"/>
          <w:sz w:val="19"/>
          <w:szCs w:val="19"/>
          <w:color w:val="auto"/>
        </w:rPr>
        <w:t xml:space="preserve">”) in an amount equal to the Applicable Unused Line Fee Percentage </w:t>
      </w:r>
      <w:r>
        <w:rPr>
          <w:rFonts w:ascii="Arial" w:cs="Arial" w:eastAsia="Arial" w:hAnsi="Arial"/>
          <w:sz w:val="19"/>
          <w:szCs w:val="19"/>
          <w:i w:val="1"/>
          <w:iCs w:val="1"/>
          <w:color w:val="auto"/>
        </w:rPr>
        <w:t>per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annum </w:t>
      </w:r>
      <w:r>
        <w:rPr>
          <w:rFonts w:ascii="Arial" w:cs="Arial" w:eastAsia="Arial" w:hAnsi="Arial"/>
          <w:sz w:val="19"/>
          <w:szCs w:val="19"/>
          <w:u w:val="single" w:color="auto"/>
          <w:color w:val="auto"/>
        </w:rPr>
        <w:t>times</w:t>
      </w:r>
      <w:r>
        <w:rPr>
          <w:rFonts w:ascii="Arial" w:cs="Arial" w:eastAsia="Arial" w:hAnsi="Arial"/>
          <w:sz w:val="19"/>
          <w:szCs w:val="19"/>
          <w:i w:val="1"/>
          <w:iCs w:val="1"/>
          <w:color w:val="auto"/>
        </w:rPr>
        <w:t xml:space="preserve"> </w:t>
      </w:r>
      <w:r>
        <w:rPr>
          <w:rFonts w:ascii="Arial" w:cs="Arial" w:eastAsia="Arial" w:hAnsi="Arial"/>
          <w:sz w:val="19"/>
          <w:szCs w:val="19"/>
          <w:color w:val="auto"/>
        </w:rPr>
        <w:t>the result of (i) the aggregate amount of the Revolver Commitments,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i w:val="1"/>
          <w:iCs w:val="1"/>
          <w:color w:val="auto"/>
        </w:rPr>
        <w:t xml:space="preserve"> </w:t>
      </w:r>
      <w:r>
        <w:rPr>
          <w:rFonts w:ascii="Arial" w:cs="Arial" w:eastAsia="Arial" w:hAnsi="Arial"/>
          <w:sz w:val="19"/>
          <w:szCs w:val="19"/>
          <w:color w:val="auto"/>
        </w:rPr>
        <w:t>(ii) the Average Revolver Usage during the</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preceding month (or portion thereof), which Unused Line Fee shall be due and payable, in arrears, on the first day of each month, from and after the Sixth Restatement Effective Date up to the first day of the month, prior to the date on which the Obligations are paid in full and on the date on which the Obligations are paid in full.</w:t>
      </w:r>
    </w:p>
    <w:p>
      <w:pPr>
        <w:spacing w:after="0" w:line="170" w:lineRule="exact"/>
        <w:rPr>
          <w:rFonts w:ascii="Arial" w:cs="Arial" w:eastAsia="Arial" w:hAnsi="Arial"/>
          <w:sz w:val="19"/>
          <w:szCs w:val="19"/>
          <w:color w:val="auto"/>
        </w:rPr>
      </w:pPr>
    </w:p>
    <w:p>
      <w:pPr>
        <w:jc w:val="both"/>
        <w:ind w:left="200" w:firstLine="1493"/>
        <w:spacing w:after="0" w:line="248" w:lineRule="auto"/>
        <w:tabs>
          <w:tab w:leader="none" w:pos="2093"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Field Examination and Other Fees</w:t>
      </w:r>
      <w:r>
        <w:rPr>
          <w:rFonts w:ascii="Arial" w:cs="Arial" w:eastAsia="Arial" w:hAnsi="Arial"/>
          <w:sz w:val="20"/>
          <w:szCs w:val="20"/>
          <w:color w:val="auto"/>
        </w:rPr>
        <w:t>.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5.7</w:t>
      </w:r>
      <w:r>
        <w:rPr>
          <w:rFonts w:ascii="Arial" w:cs="Arial" w:eastAsia="Arial" w:hAnsi="Arial"/>
          <w:sz w:val="20"/>
          <w:szCs w:val="20"/>
          <w:color w:val="auto"/>
        </w:rPr>
        <w:t>, Borrowers shall pay to Agent, field examination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appraisal fees and charges, as and when incurred or chargeable, as follows (i) the per diem charge at Wells Fargo’s then standard rate for examiners in the field and office,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reasonable and documented out-of-pocket expenses (including travel, meals, and lodging) for each field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7" w:name="page198"/>
    <w:bookmarkEnd w:id="197"/>
    <w:p>
      <w:pPr>
        <w:jc w:val="both"/>
        <w:spacing w:after="0" w:line="249" w:lineRule="auto"/>
        <w:rPr>
          <w:sz w:val="20"/>
          <w:szCs w:val="20"/>
          <w:color w:val="auto"/>
        </w:rPr>
      </w:pPr>
      <w:r>
        <w:rPr>
          <w:rFonts w:ascii="Arial" w:cs="Arial" w:eastAsia="Arial" w:hAnsi="Arial"/>
          <w:sz w:val="20"/>
          <w:szCs w:val="20"/>
          <w:color w:val="auto"/>
        </w:rPr>
        <w:t>examination of any Loan Party or its Restricted Subsidiaries performed by or on behalf of Agent, and (ii) the reasonable and documented out-of-pocket fees, charges or expenses paid or incurred by Agent if it elects to employ the services of one or more third Persons to appraise the Collateral, or any portion thereof.</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2.11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Letters of Credit</w:t>
      </w:r>
      <w:r>
        <w:rPr>
          <w:rFonts w:ascii="Arial" w:cs="Arial" w:eastAsia="Arial" w:hAnsi="Arial"/>
          <w:sz w:val="20"/>
          <w:szCs w:val="20"/>
          <w:color w:val="auto"/>
        </w:rPr>
        <w:t>.</w:t>
      </w:r>
    </w:p>
    <w:p>
      <w:pPr>
        <w:spacing w:after="0" w:line="221" w:lineRule="exact"/>
        <w:rPr>
          <w:sz w:val="20"/>
          <w:szCs w:val="20"/>
          <w:color w:val="auto"/>
        </w:rPr>
      </w:pPr>
    </w:p>
    <w:p>
      <w:pPr>
        <w:jc w:val="both"/>
        <w:ind w:firstLine="1493"/>
        <w:spacing w:after="0" w:line="268" w:lineRule="auto"/>
        <w:tabs>
          <w:tab w:leader="none" w:pos="189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upon the request of Borrowers made in accordance herewith, and prior to the Maturity Date, each Issuing Bank agrees to issue a requested standby Letter of Credit or a sight commercial Letter of Credit for the account of Borrowers. By submitting a request to an Issuing Bank for the issuance of a Letter of Credit, Borrowers shall be deemed to have requested that such Issuing Bank issue the requested Letter of Credit. Each request for the issuance of a Letter of Credit, or the amendment, renewal, or extension of any outstanding Letter of Credit, shall be (i) irrevocable and made in writing by an Authorized Person, (ii) delivered to Agent and the applicable Issuing Bank via telefacsimile or other electronic method of transmission reasonably acceptable to Agent and such Issuing Bank and reasonably in advance of the requested date of issuance, amendment, renewal, or extension, and (iii) subject to the applicable Issuing Bank’s authentication procedures with results satisfactory to such Issuing Bank. Each such request shall be in form and substance reasonably satisfactory to Agent and the applicable Issuing Bank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Issuer Documents as Agent or the applicable Issuing Bank may request or require, to the extent that such requests or requirements are consistent with the Issuer Documents that such Issuing Bank generally requests for Letters of Credit in similar circumstances. The applicable Issuing Bank’s records of the content of any such request will be conclusive absent manifest error. Anything contained herein to the contrary notwithstanding, each Issuing Bank may, but shall not be obligated to, issue a Letter of Credit that supports the obligations of a Loan Party or one of its Restricted Subsidiaries in respect of (x) a lease of real property, or (y) an employment contract.</w:t>
      </w:r>
    </w:p>
    <w:p>
      <w:pPr>
        <w:spacing w:after="0" w:line="179" w:lineRule="exact"/>
        <w:rPr>
          <w:rFonts w:ascii="Arial" w:cs="Arial" w:eastAsia="Arial" w:hAnsi="Arial"/>
          <w:sz w:val="18"/>
          <w:szCs w:val="18"/>
          <w:color w:val="auto"/>
        </w:rPr>
      </w:pPr>
    </w:p>
    <w:p>
      <w:pPr>
        <w:ind w:right="20" w:firstLine="1493"/>
        <w:spacing w:after="0" w:line="260" w:lineRule="auto"/>
        <w:tabs>
          <w:tab w:leader="none" w:pos="189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No Issuing Bank shall have any obligation to issue a Letter of Credit if any of the following would result after giving effect to the requested issuance:</w:t>
      </w:r>
    </w:p>
    <w:p>
      <w:pPr>
        <w:spacing w:after="0" w:line="175" w:lineRule="exact"/>
        <w:rPr>
          <w:rFonts w:ascii="Arial" w:cs="Arial" w:eastAsia="Arial" w:hAnsi="Arial"/>
          <w:sz w:val="20"/>
          <w:szCs w:val="20"/>
          <w:color w:val="auto"/>
        </w:rPr>
      </w:pPr>
    </w:p>
    <w:p>
      <w:pPr>
        <w:ind w:left="2440" w:hanging="386"/>
        <w:spacing w:after="0"/>
        <w:tabs>
          <w:tab w:leader="none" w:pos="24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Letter of Credit Usage would exceed the Letter of Credit Sublimit, or</w:t>
      </w:r>
    </w:p>
    <w:p>
      <w:pPr>
        <w:spacing w:after="0" w:line="214" w:lineRule="exact"/>
        <w:rPr>
          <w:rFonts w:ascii="Arial" w:cs="Arial" w:eastAsia="Arial" w:hAnsi="Arial"/>
          <w:sz w:val="20"/>
          <w:szCs w:val="20"/>
          <w:color w:val="auto"/>
        </w:rPr>
      </w:pPr>
    </w:p>
    <w:p>
      <w:pPr>
        <w:jc w:val="both"/>
        <w:ind w:left="560" w:firstLine="1494"/>
        <w:spacing w:after="0" w:line="249" w:lineRule="auto"/>
        <w:tabs>
          <w:tab w:leader="none" w:pos="2453"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the Letter of Credit Usage would exceed the Maximum Revolver Amount (as adjusted for Reserves against the Maximum Revolver Amount implemented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2.1(c))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the outstanding amount of Revolving Loans (including Swing Loans), or</w:t>
      </w:r>
    </w:p>
    <w:p>
      <w:pPr>
        <w:spacing w:after="0" w:line="187" w:lineRule="exact"/>
        <w:rPr>
          <w:rFonts w:ascii="Arial" w:cs="Arial" w:eastAsia="Arial" w:hAnsi="Arial"/>
          <w:sz w:val="20"/>
          <w:szCs w:val="20"/>
          <w:color w:val="auto"/>
        </w:rPr>
      </w:pPr>
    </w:p>
    <w:p>
      <w:pPr>
        <w:ind w:left="560" w:firstLine="1494"/>
        <w:spacing w:after="0" w:line="260" w:lineRule="auto"/>
        <w:tabs>
          <w:tab w:leader="none" w:pos="2453"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the Letter of Credit Usage would exceed the Borrowing Base at such time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the outstanding principal balance of the Revolving Loans (inclusive of Swing Loans) at such time.</w:t>
      </w:r>
    </w:p>
    <w:p>
      <w:pPr>
        <w:spacing w:after="0" w:line="175" w:lineRule="exact"/>
        <w:rPr>
          <w:rFonts w:ascii="Arial" w:cs="Arial" w:eastAsia="Arial" w:hAnsi="Arial"/>
          <w:sz w:val="20"/>
          <w:szCs w:val="20"/>
          <w:color w:val="auto"/>
        </w:rPr>
      </w:pPr>
    </w:p>
    <w:p>
      <w:pPr>
        <w:jc w:val="both"/>
        <w:ind w:firstLine="1493"/>
        <w:spacing w:after="0" w:line="260" w:lineRule="auto"/>
        <w:tabs>
          <w:tab w:leader="none" w:pos="189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In the event there is a Defaulting Lender as of the date of any request for the issuance of a Letter of Credit, the applicable Issuing Bank shall not be required to issue or arrange for such Letter of Credit to the extent (i) the Defaulting Lender’s Letter of Credit Exposure with respect to such Letter of Credit may not be reallocated pursuant to </w:t>
      </w:r>
      <w:r>
        <w:rPr>
          <w:rFonts w:ascii="Arial" w:cs="Arial" w:eastAsia="Arial" w:hAnsi="Arial"/>
          <w:sz w:val="19"/>
          <w:szCs w:val="19"/>
          <w:u w:val="single" w:color="auto"/>
          <w:color w:val="auto"/>
        </w:rPr>
        <w:t>Section 2.3(g)(ii)</w:t>
      </w:r>
      <w:r>
        <w:rPr>
          <w:rFonts w:ascii="Arial" w:cs="Arial" w:eastAsia="Arial" w:hAnsi="Arial"/>
          <w:sz w:val="19"/>
          <w:szCs w:val="19"/>
          <w:color w:val="auto"/>
        </w:rPr>
        <w:t>, or (ii) such Issuing Bank has not otherwise entered into arrangements reasonably satisfactory to it and Borrowers to eliminate such Issuing Bank’s risk with respect to the participation in such Letter of Credit of the Defaulting Lender, which</w:t>
      </w:r>
    </w:p>
    <w:p>
      <w:pPr>
        <w:spacing w:after="0" w:line="200" w:lineRule="exact"/>
        <w:rPr>
          <w:sz w:val="20"/>
          <w:szCs w:val="20"/>
          <w:color w:val="auto"/>
        </w:rPr>
      </w:pP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198" w:name="page199"/>
    <w:bookmarkEnd w:id="198"/>
    <w:p>
      <w:pPr>
        <w:jc w:val="both"/>
        <w:spacing w:after="0" w:line="256" w:lineRule="auto"/>
        <w:rPr>
          <w:sz w:val="20"/>
          <w:szCs w:val="20"/>
          <w:color w:val="auto"/>
        </w:rPr>
      </w:pPr>
      <w:r>
        <w:rPr>
          <w:rFonts w:ascii="Arial" w:cs="Arial" w:eastAsia="Arial" w:hAnsi="Arial"/>
          <w:sz w:val="19"/>
          <w:szCs w:val="19"/>
          <w:color w:val="auto"/>
        </w:rPr>
        <w:t xml:space="preserve">arrangements may include Borrowers cash collateralizing such Defaulting Lender’s Letter of Credit Exposure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2.3(g)(ii)</w:t>
      </w:r>
      <w:r>
        <w:rPr>
          <w:rFonts w:ascii="Arial" w:cs="Arial" w:eastAsia="Arial" w:hAnsi="Arial"/>
          <w:sz w:val="19"/>
          <w:szCs w:val="19"/>
          <w:color w:val="auto"/>
        </w:rPr>
        <w:t>. Additionally, no Issuing Bank shall have any obligation to issue or extend a Letter of Credit if (A) 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(B) the issuance of such Letter of Credit would violate one or more policies of such Issuing Bank applicable to letters of credit generally, or (C) if amounts demanded to be paid under any Letter of Credit will not or may not be in United States Dollars.</w:t>
      </w:r>
    </w:p>
    <w:p>
      <w:pPr>
        <w:spacing w:after="0" w:line="185" w:lineRule="exact"/>
        <w:rPr>
          <w:sz w:val="20"/>
          <w:szCs w:val="20"/>
          <w:color w:val="auto"/>
        </w:rPr>
      </w:pPr>
    </w:p>
    <w:p>
      <w:pPr>
        <w:jc w:val="both"/>
        <w:ind w:firstLine="1493"/>
        <w:spacing w:after="0" w:line="269" w:lineRule="auto"/>
        <w:tabs>
          <w:tab w:leader="none" w:pos="189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Each Issuing Bank (other than Wells Fargo or any of its Affiliates) shall notify Agent in writing no later than the Business Day prior to the Business Day on which such Issuing Bank issues any Letter of Credit. In addition, each Issuing Bank (other than Wells Fargo or any of its Affiliates) shall, on the first Business Day of each week, submit to Agent a report detailing the daily undrawn amount of each Letter of Credit issued by such Issuing Bank during the prior calendar week. Each Letter of Credit shall be in form and substance reasonably acceptable to the applicable Issuing Bank, including the requirement that the amounts payable thereunder must be payable in Dollars. If any Issuing Bank makes a payment under a Letter of Credit, Borrowers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(notwithstanding any failure to satisfy any condition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initially, shall bear interest at the rate then applicable to Revolving Loans that are Base Rate Loans. If a Letter of Credit Disbursement is deemed to be a Revolving Loan hereunder, Borrowers’ obligation to pay the amount of such Letter of Credit Disbursement to the applicable Issuing Bank shall be automatically converted into an obligation to pay the resulting Revolving Loan. Promptly following receipt by Agent of any payment from Borrowers pursuant to this paragraph, Agent shall distribute such payment to the applicable Issuing Bank or, to the extent that Revolving Lenders have made payments pursuant to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to reimburse the applicable Issuing Bank, then to such Revolving Lenders and the applicable Issuing Bank as their interests may appear.</w:t>
      </w:r>
    </w:p>
    <w:p>
      <w:pPr>
        <w:spacing w:after="0" w:line="174" w:lineRule="exact"/>
        <w:rPr>
          <w:rFonts w:ascii="Arial" w:cs="Arial" w:eastAsia="Arial" w:hAnsi="Arial"/>
          <w:sz w:val="18"/>
          <w:szCs w:val="18"/>
          <w:color w:val="auto"/>
        </w:rPr>
      </w:pPr>
    </w:p>
    <w:p>
      <w:pPr>
        <w:jc w:val="both"/>
        <w:ind w:firstLine="1493"/>
        <w:spacing w:after="0" w:line="254" w:lineRule="auto"/>
        <w:tabs>
          <w:tab w:leader="none" w:pos="189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Promptly following receipt of a notice of a Letter of Credit Disbursement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each Revolving Lender agrees to fund its Pro Rata Share of any Revolving Loan deemed made pursuant to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on the same terms and conditions as if Borrowers had requested the amount thereof as a Revolving Loan and Agent shall promptly pay to the applicable Issuing Bank the amounts so received by it from the Revolving Lenders. By the issuance of a Letter of Credit (or an amendment, renewal, or extension of a Letter of Credit) and without any further action on the part of the applicable Issuing Bank or the Revolving Lenders, the applicable Issuing Bank shall be deemed to have granted to each Revolving Lender, and each Revolving Lender shall be deemed to have purchased, a participation in each Letter of Credit issued by such Issuing Bank, in an amount equal to its Pro Rata Share of such Letter of Credit, and each such Revolving Lender agrees to pay to Agent, for the account of such Issuing Bank, such Revolving Lender’s Pro Rata Share of any Letter of Credit Disbursement made by such Issuing Bank under the applicable Letter of Credit. In consideration and in furtherance of the foregoing, each Revolving Lender hereby absolutely and unconditionally agrees to pay to Agent, for the account of the applicable Issuing Bank, such Revolving Lender’s Pro Rata Share of each Letter of Credit Disbursement made by such Issuing Bank and not reimbursed by Borrowers on the date due as provided in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or of any reimbursement payment that is required to be refunded (or that Agent or such Issuing Bank elects, based upon the advice of counsel, to refund) to Borrowers for any reason. Each Revolving Lender acknowledges and agrees that its obligation to deliver to Agent, for the account of the applicable Issuing Bank, an amount equal to its respective Pro Rata Share of each Letter of Credit Disbursement pursuant to this </w:t>
      </w:r>
      <w:r>
        <w:rPr>
          <w:rFonts w:ascii="Arial" w:cs="Arial" w:eastAsia="Arial" w:hAnsi="Arial"/>
          <w:sz w:val="19"/>
          <w:szCs w:val="19"/>
          <w:u w:val="single" w:color="auto"/>
          <w:color w:val="auto"/>
        </w:rPr>
        <w:t>Section 2.11(e)</w:t>
      </w:r>
      <w:r>
        <w:rPr>
          <w:rFonts w:ascii="Arial" w:cs="Arial" w:eastAsia="Arial" w:hAnsi="Arial"/>
          <w:sz w:val="19"/>
          <w:szCs w:val="19"/>
          <w:color w:val="auto"/>
        </w:rPr>
        <w:t xml:space="preserve"> shall be absolute and unconditional and such</w:t>
      </w: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199" w:name="page200"/>
    <w:bookmarkEnd w:id="199"/>
    <w:p>
      <w:pPr>
        <w:jc w:val="both"/>
        <w:spacing w:after="0" w:line="260" w:lineRule="auto"/>
        <w:rPr>
          <w:sz w:val="20"/>
          <w:szCs w:val="20"/>
          <w:color w:val="auto"/>
        </w:rPr>
      </w:pPr>
      <w:r>
        <w:rPr>
          <w:rFonts w:ascii="Arial" w:cs="Arial" w:eastAsia="Arial" w:hAnsi="Arial"/>
          <w:sz w:val="19"/>
          <w:szCs w:val="19"/>
          <w:color w:val="auto"/>
        </w:rPr>
        <w:t xml:space="preserve">remittance shall be made notwithstanding the occurrence or continuation of an Event of Default or Default or the failure to satisfy any condition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If any such Revolving Lender fails to make available to Agent the amount of such Revolving Lender’s Pro Rata Share of a Letter of Credit Disbursement as provided in this Section, such Revolving Lender shall be deemed to be a Defaulting Lender and Agent (for the account of the applicable Issuing Bank) shall be entitled to recover such amount on demand from such Revolving Lender together with interest thereon at the Defaulting Lender Rate until paid in full.</w:t>
      </w:r>
    </w:p>
    <w:p>
      <w:pPr>
        <w:spacing w:after="0" w:line="178" w:lineRule="exact"/>
        <w:rPr>
          <w:sz w:val="20"/>
          <w:szCs w:val="20"/>
          <w:color w:val="auto"/>
        </w:rPr>
      </w:pPr>
    </w:p>
    <w:p>
      <w:pPr>
        <w:jc w:val="both"/>
        <w:ind w:firstLine="1493"/>
        <w:spacing w:after="0" w:line="269" w:lineRule="auto"/>
        <w:tabs>
          <w:tab w:leader="none" w:pos="18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Without limitation of, but without duplication of, any obligations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each Borrower agrees to indemnify, defend and hold harmless each member of the Lender Group (including each Issuing Bank and its branches, Affiliates, and correspondents) and each such Person’s respective directors, officers, employees, attorneys and agents (each, including the applicable Issuing Bank, a “</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xml:space="preserve">”) (to the fullest extent permitted by law) from and against any and all claims, demands, suits, actions, investigations, proceedings, liabilities, fines, costs, penalties, and damages, and all reasonable and documented out-of-pocket fees and disbursements of attorneys, experts, or consultants and all other costs and expenses actually incurred in connection therewith or in connection with the enforcement of this indemnification (as and when they are incurred and irrespective of whether suit is brought) (which in the case of legal fees shall be limited to the attorneys’ fees of one outside counsel to all Letter of Credit Related Persons taken as a whole and one local counsel to all Letter of Credit Related Persons taken as a whole in each relevant jurisdiction (which may include a single counsel acting in multiple jurisdictions) (and, solely in the case of an actual or perceived conflict of interest where the Letter of Credit Related Person affected by such conflict of interest has informed Parent in writing of such conflict and thereafter retains its own counsel, one additional counsel in each relevant jurisdiction to each group of Letter of Credit Related Persons similarly situated taken as a whole, and, in all cases excluding, for the avoidance of doubt, the allocated costs of internal counsel)), which may be incurred by or awarded against any such Letter of Credit Related Person (other than Taxes, which shall be governed by </w:t>
      </w:r>
      <w:r>
        <w:rPr>
          <w:rFonts w:ascii="Arial" w:cs="Arial" w:eastAsia="Arial" w:hAnsi="Arial"/>
          <w:sz w:val="18"/>
          <w:szCs w:val="18"/>
          <w:u w:val="single" w:color="auto"/>
          <w:color w:val="auto"/>
        </w:rPr>
        <w:t>Section 16</w:t>
      </w:r>
      <w:r>
        <w:rPr>
          <w:rFonts w:ascii="Arial" w:cs="Arial" w:eastAsia="Arial" w:hAnsi="Arial"/>
          <w:sz w:val="18"/>
          <w:szCs w:val="18"/>
          <w:color w:val="auto"/>
        </w:rPr>
        <w:t>) (the “</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Indemnified Costs</w:t>
      </w:r>
      <w:r>
        <w:rPr>
          <w:rFonts w:ascii="Arial" w:cs="Arial" w:eastAsia="Arial" w:hAnsi="Arial"/>
          <w:sz w:val="18"/>
          <w:szCs w:val="18"/>
          <w:color w:val="auto"/>
        </w:rPr>
        <w:t>”), and which arise out of or in connection with, or as a result of:</w:t>
      </w:r>
    </w:p>
    <w:p>
      <w:pPr>
        <w:spacing w:after="0" w:line="174" w:lineRule="exact"/>
        <w:rPr>
          <w:rFonts w:ascii="Arial" w:cs="Arial" w:eastAsia="Arial" w:hAnsi="Arial"/>
          <w:sz w:val="18"/>
          <w:szCs w:val="18"/>
          <w:color w:val="auto"/>
        </w:rPr>
      </w:pPr>
    </w:p>
    <w:p>
      <w:pPr>
        <w:ind w:left="2440" w:hanging="386"/>
        <w:spacing w:after="0"/>
        <w:tabs>
          <w:tab w:leader="none" w:pos="244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any Letter of Credit or any pre-advice of its issuance;</w:t>
      </w:r>
    </w:p>
    <w:p>
      <w:pPr>
        <w:spacing w:after="0" w:line="214" w:lineRule="exact"/>
        <w:rPr>
          <w:rFonts w:ascii="Arial" w:cs="Arial" w:eastAsia="Arial" w:hAnsi="Arial"/>
          <w:sz w:val="20"/>
          <w:szCs w:val="20"/>
          <w:color w:val="auto"/>
        </w:rPr>
      </w:pPr>
    </w:p>
    <w:p>
      <w:pPr>
        <w:ind w:left="560" w:right="20" w:firstLine="1494"/>
        <w:spacing w:after="0" w:line="260" w:lineRule="auto"/>
        <w:tabs>
          <w:tab w:leader="none" w:pos="2453"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any transfer, sale, delivery, surrender or endorsement (or lack thereof) of any Drawing Document at any time(s) held by any such Letter of Credit Related Person in connection with any Letter of Credit;</w:t>
      </w:r>
    </w:p>
    <w:p>
      <w:pPr>
        <w:spacing w:after="0" w:line="175" w:lineRule="exact"/>
        <w:rPr>
          <w:rFonts w:ascii="Arial" w:cs="Arial" w:eastAsia="Arial" w:hAnsi="Arial"/>
          <w:sz w:val="20"/>
          <w:szCs w:val="20"/>
          <w:color w:val="auto"/>
        </w:rPr>
      </w:pPr>
    </w:p>
    <w:p>
      <w:pPr>
        <w:jc w:val="both"/>
        <w:ind w:left="560" w:firstLine="1494"/>
        <w:spacing w:after="0" w:line="290" w:lineRule="auto"/>
        <w:tabs>
          <w:tab w:leader="none" w:pos="245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53" w:lineRule="exact"/>
        <w:rPr>
          <w:rFonts w:ascii="Arial" w:cs="Arial" w:eastAsia="Arial" w:hAnsi="Arial"/>
          <w:sz w:val="18"/>
          <w:szCs w:val="18"/>
          <w:color w:val="auto"/>
        </w:rPr>
      </w:pPr>
    </w:p>
    <w:p>
      <w:pPr>
        <w:ind w:left="2440" w:hanging="386"/>
        <w:spacing w:after="0"/>
        <w:tabs>
          <w:tab w:leader="none" w:pos="244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any independent undertakings issued by the beneficiary of any Letter of Credit;</w:t>
      </w:r>
    </w:p>
    <w:p>
      <w:pPr>
        <w:spacing w:after="0" w:line="214" w:lineRule="exact"/>
        <w:rPr>
          <w:rFonts w:ascii="Arial" w:cs="Arial" w:eastAsia="Arial" w:hAnsi="Arial"/>
          <w:sz w:val="20"/>
          <w:szCs w:val="20"/>
          <w:color w:val="auto"/>
        </w:rPr>
      </w:pPr>
    </w:p>
    <w:p>
      <w:pPr>
        <w:jc w:val="both"/>
        <w:ind w:left="560" w:firstLine="1494"/>
        <w:spacing w:after="0" w:line="246" w:lineRule="auto"/>
        <w:tabs>
          <w:tab w:leader="none" w:pos="2453"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any unauthorized instruction or request made to the applicable Issuing Bank in connection with any Letter of Credit or requested Letter of Credit, or any error, omission, interruption or delay in such instruction or request, whether transmitted by mail, courier, electronic transmission, SWIFT, or any other telecommunication including communications through a correspondent;</w:t>
      </w:r>
    </w:p>
    <w:p>
      <w:pPr>
        <w:spacing w:after="0" w:line="189" w:lineRule="exact"/>
        <w:rPr>
          <w:rFonts w:ascii="Arial" w:cs="Arial" w:eastAsia="Arial" w:hAnsi="Arial"/>
          <w:sz w:val="20"/>
          <w:szCs w:val="20"/>
          <w:color w:val="auto"/>
        </w:rPr>
      </w:pPr>
    </w:p>
    <w:p>
      <w:pPr>
        <w:ind w:left="2440" w:hanging="386"/>
        <w:spacing w:after="0"/>
        <w:tabs>
          <w:tab w:leader="none" w:pos="24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 adviser, confirmer or other nominated person seeking to be reimbursed, indemnified or compensated;</w:t>
      </w: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00" w:name="page201"/>
    <w:bookmarkEnd w:id="200"/>
    <w:p>
      <w:pPr>
        <w:ind w:left="760" w:right="40" w:firstLine="1494"/>
        <w:spacing w:after="0" w:line="260" w:lineRule="auto"/>
        <w:tabs>
          <w:tab w:leader="none" w:pos="265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any third party seeking to enforce the rights of an applicant, beneficiary, nominated person, transferee, assignee of Letter of Credit proceeds or holder of an instrument or document;</w:t>
      </w:r>
    </w:p>
    <w:p>
      <w:pPr>
        <w:spacing w:after="0" w:line="175" w:lineRule="exact"/>
        <w:rPr>
          <w:rFonts w:ascii="Arial" w:cs="Arial" w:eastAsia="Arial" w:hAnsi="Arial"/>
          <w:sz w:val="20"/>
          <w:szCs w:val="20"/>
          <w:color w:val="auto"/>
        </w:rPr>
      </w:pPr>
    </w:p>
    <w:p>
      <w:pPr>
        <w:ind w:left="3040" w:hanging="786"/>
        <w:spacing w:after="0"/>
        <w:tabs>
          <w:tab w:leader="none" w:pos="30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fraud, forgery or illegal action of parties other than the Letter of Credit Related Person;</w:t>
      </w:r>
    </w:p>
    <w:p>
      <w:pPr>
        <w:spacing w:after="0" w:line="214" w:lineRule="exact"/>
        <w:rPr>
          <w:rFonts w:ascii="Arial" w:cs="Arial" w:eastAsia="Arial" w:hAnsi="Arial"/>
          <w:sz w:val="20"/>
          <w:szCs w:val="20"/>
          <w:color w:val="auto"/>
        </w:rPr>
      </w:pPr>
    </w:p>
    <w:p>
      <w:pPr>
        <w:jc w:val="both"/>
        <w:ind w:left="760" w:firstLine="1494"/>
        <w:spacing w:after="0" w:line="249" w:lineRule="auto"/>
        <w:tabs>
          <w:tab w:leader="none" w:pos="265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any prohibition on payment or delay in payment of any amount payable by the applicable Issuing Bank to a beneficiary or transferee beneficiary of a Letter of Credit arising out of Anti-Corruption Laws, Anti-Money Laundering Laws, or Sanctions;</w:t>
      </w:r>
    </w:p>
    <w:p>
      <w:pPr>
        <w:spacing w:after="0" w:line="187" w:lineRule="exact"/>
        <w:rPr>
          <w:rFonts w:ascii="Arial" w:cs="Arial" w:eastAsia="Arial" w:hAnsi="Arial"/>
          <w:sz w:val="20"/>
          <w:szCs w:val="20"/>
          <w:color w:val="auto"/>
        </w:rPr>
      </w:pPr>
    </w:p>
    <w:p>
      <w:pPr>
        <w:ind w:left="760" w:right="40" w:firstLine="1494"/>
        <w:spacing w:after="0" w:line="260" w:lineRule="auto"/>
        <w:tabs>
          <w:tab w:leader="none" w:pos="265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applicable Issuing Bank’s performance of the obligations of a confirming institution or entity that wrongfully dishonors a confirmation;</w:t>
      </w:r>
    </w:p>
    <w:p>
      <w:pPr>
        <w:spacing w:after="0" w:line="175" w:lineRule="exact"/>
        <w:rPr>
          <w:rFonts w:ascii="Arial" w:cs="Arial" w:eastAsia="Arial" w:hAnsi="Arial"/>
          <w:sz w:val="20"/>
          <w:szCs w:val="20"/>
          <w:color w:val="auto"/>
        </w:rPr>
      </w:pPr>
    </w:p>
    <w:p>
      <w:pPr>
        <w:ind w:left="2640" w:hanging="386"/>
        <w:spacing w:after="0"/>
        <w:tabs>
          <w:tab w:leader="none" w:pos="2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foreign language translation provided to the applicable Issuing Bank in connection with any Letter of</w:t>
      </w:r>
    </w:p>
    <w:p>
      <w:pPr>
        <w:spacing w:after="0" w:line="3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Credit;</w:t>
      </w:r>
    </w:p>
    <w:p>
      <w:pPr>
        <w:spacing w:after="0" w:line="198" w:lineRule="exact"/>
        <w:rPr>
          <w:rFonts w:ascii="Arial" w:cs="Arial" w:eastAsia="Arial" w:hAnsi="Arial"/>
          <w:sz w:val="18"/>
          <w:szCs w:val="18"/>
          <w:color w:val="auto"/>
        </w:rPr>
      </w:pPr>
    </w:p>
    <w:p>
      <w:pPr>
        <w:jc w:val="both"/>
        <w:ind w:left="760" w:right="20" w:firstLine="1494"/>
        <w:spacing w:after="0" w:line="249" w:lineRule="auto"/>
        <w:tabs>
          <w:tab w:leader="none" w:pos="265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any foreign law or usage as it relates to the applicable Issuing Bank’s issuance of a Letter of Credit in support of a foreign guaranty including without limitation the expiration of such guaranty after the related Letter of Credit expiration date and any resulting drawing paid by such Issuing Bank in connection therewith; or</w:t>
      </w:r>
    </w:p>
    <w:p>
      <w:pPr>
        <w:spacing w:after="0" w:line="187" w:lineRule="exact"/>
        <w:rPr>
          <w:rFonts w:ascii="Arial" w:cs="Arial" w:eastAsia="Arial" w:hAnsi="Arial"/>
          <w:sz w:val="20"/>
          <w:szCs w:val="20"/>
          <w:color w:val="auto"/>
        </w:rPr>
      </w:pPr>
    </w:p>
    <w:p>
      <w:pPr>
        <w:ind w:left="760" w:right="40" w:firstLine="1494"/>
        <w:spacing w:after="0" w:line="260" w:lineRule="auto"/>
        <w:tabs>
          <w:tab w:leader="none" w:pos="304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acts or omissions, whether rightful or wrongful, of any present or future de jure or de facto governmental or regulatory authority or cause or event beyond the control of the Letter of Credit Related Person;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such indemnity shall not be available to any Letter of Credit Related Person claiming indemnification under clauses (i) through</w:t>
      </w:r>
    </w:p>
    <w:p>
      <w:pPr>
        <w:spacing w:after="0" w:line="38" w:lineRule="exact"/>
        <w:rPr>
          <w:sz w:val="20"/>
          <w:szCs w:val="20"/>
          <w:color w:val="auto"/>
        </w:rPr>
      </w:pPr>
    </w:p>
    <w:p>
      <w:pPr>
        <w:jc w:val="both"/>
        <w:ind w:firstLine="8"/>
        <w:spacing w:after="0" w:line="272" w:lineRule="auto"/>
        <w:tabs>
          <w:tab w:leader="none" w:pos="46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above to the extent that such Letter of Credit Indemnified Costs may be finally determined in a final, non-appealable judgment of a court of competent jurisdiction to have resulted directly from the gross negligence, bad faith, or willful misconduct of the Letter of Credit Related Person claiming indemnity. Borrowers hereby agree to pay the Letter of Credit Related Person claiming indemnity on demand from time to time all amounts owing under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If and to the extent that the obligations of Borrowers under this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w:t>
      </w:r>
    </w:p>
    <w:p>
      <w:pPr>
        <w:spacing w:after="0" w:line="167" w:lineRule="exact"/>
        <w:rPr>
          <w:rFonts w:ascii="Arial" w:cs="Arial" w:eastAsia="Arial" w:hAnsi="Arial"/>
          <w:sz w:val="18"/>
          <w:szCs w:val="18"/>
          <w:color w:val="auto"/>
        </w:rPr>
      </w:pPr>
    </w:p>
    <w:p>
      <w:pPr>
        <w:jc w:val="both"/>
        <w:ind w:left="200" w:firstLine="1493"/>
        <w:spacing w:after="0" w:line="271" w:lineRule="auto"/>
        <w:tabs>
          <w:tab w:leader="none" w:pos="209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liability of each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such Issuing Bank’s gross negligence, bad faith, or willful misconduct in</w:t>
      </w:r>
    </w:p>
    <w:p>
      <w:pPr>
        <w:spacing w:after="0" w:line="2" w:lineRule="exact"/>
        <w:rPr>
          <w:rFonts w:ascii="Arial" w:cs="Arial" w:eastAsia="Arial" w:hAnsi="Arial"/>
          <w:sz w:val="18"/>
          <w:szCs w:val="18"/>
          <w:color w:val="auto"/>
        </w:rPr>
      </w:pPr>
    </w:p>
    <w:p>
      <w:pPr>
        <w:jc w:val="both"/>
        <w:ind w:left="200"/>
        <w:spacing w:after="0" w:line="254" w:lineRule="auto"/>
        <w:rPr>
          <w:rFonts w:ascii="Arial" w:cs="Arial" w:eastAsia="Arial" w:hAnsi="Arial"/>
          <w:sz w:val="18"/>
          <w:szCs w:val="18"/>
          <w:color w:val="auto"/>
        </w:rPr>
      </w:pPr>
      <w:r>
        <w:rPr>
          <w:rFonts w:ascii="Arial" w:cs="Arial" w:eastAsia="Arial" w:hAnsi="Arial"/>
          <w:sz w:val="19"/>
          <w:szCs w:val="19"/>
          <w:color w:val="auto"/>
        </w:rPr>
        <w:t xml:space="preserve">(i)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Borrowers’ aggregate remedies against each Issuing Bank and any Letter of Credit Related Person for wrongfully honoring a presentation under any Letter of Credit or wrongfully retaining honored Drawing Documents shall in no event exceed the aggregate amount paid by Borrowers to such Issuing Bank in respect of the honored presentation in connection with such Letter of Credit under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at the rate then applicable to Base Rate Loans hereunder. Borrowers shall take commercially reasonable action to avoid and mitigate the amount of any damages claimed against each Issuing Bank or any other Letter of Credit Related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1" w:name="page202"/>
    <w:bookmarkEnd w:id="201"/>
    <w:p>
      <w:pPr>
        <w:jc w:val="both"/>
        <w:spacing w:after="0" w:line="244" w:lineRule="auto"/>
        <w:rPr>
          <w:sz w:val="20"/>
          <w:szCs w:val="20"/>
          <w:color w:val="auto"/>
        </w:rPr>
      </w:pPr>
      <w:r>
        <w:rPr>
          <w:rFonts w:ascii="Arial" w:cs="Arial" w:eastAsia="Arial" w:hAnsi="Arial"/>
          <w:sz w:val="20"/>
          <w:szCs w:val="20"/>
          <w:color w:val="auto"/>
        </w:rPr>
        <w:t>Person, including by enforcing its rights against the beneficiaries of the Letters of Credit. Any claim by Borrowers under or in connection with any Letter of Credit shall be reduced by an amount equal to the sum of (A) the amount (if any) saved by Borrowers as a result of the breach or alleged wrongful conduct complained of, and (B) the amount (if any) of the loss that would have been avoided had Borrowers taken commercially reasonable steps to mitigate any loss, and in case of a claim of wrongful dishonor, by specifically and timely authorizing the applicable Issuing Bank to effect a cure.</w:t>
      </w:r>
    </w:p>
    <w:p>
      <w:pPr>
        <w:spacing w:after="0" w:line="193" w:lineRule="exact"/>
        <w:rPr>
          <w:sz w:val="20"/>
          <w:szCs w:val="20"/>
          <w:color w:val="auto"/>
        </w:rPr>
      </w:pPr>
    </w:p>
    <w:p>
      <w:pPr>
        <w:jc w:val="both"/>
        <w:ind w:firstLine="1493"/>
        <w:spacing w:after="0" w:line="268" w:lineRule="auto"/>
        <w:tabs>
          <w:tab w:leader="none" w:pos="189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Borrowers are responsible for the final text of the Letter of Credit as issued by each Issuing Bank, irrespective of any assistance such Issuing Bank may provide such as drafting or recommending text or by such Issuing Bank’s use or refusal to use text submitted by Borrowers. Borrowers understand that the final form of any Letter of Credit may be subject to such revisions and changes as are deemed necessary or appropriate by the applicable Issuing Bank, and Borrowers hereby consent to such revisions and changes not materially different from the application executed in connection therewith. Borrowers are solely responsible for the suitability of the Letter of Credit for Borrowers’ purposes. If Borrowers request any Issuing Bank to issue a Letter of Credit for an affiliated or unaffiliated third party (an “</w:t>
      </w:r>
      <w:r>
        <w:rPr>
          <w:rFonts w:ascii="Arial" w:cs="Arial" w:eastAsia="Arial" w:hAnsi="Arial"/>
          <w:sz w:val="18"/>
          <w:szCs w:val="18"/>
          <w:u w:val="single" w:color="auto"/>
          <w:color w:val="auto"/>
        </w:rPr>
        <w:t>Account Party</w:t>
      </w:r>
      <w:r>
        <w:rPr>
          <w:rFonts w:ascii="Arial" w:cs="Arial" w:eastAsia="Arial" w:hAnsi="Arial"/>
          <w:sz w:val="18"/>
          <w:szCs w:val="18"/>
          <w:color w:val="auto"/>
        </w:rPr>
        <w:t>”), (i) such Account Party shall have no rights against such Issuing Bank; (ii) Borrowers shall be responsible for the application and obligations under this Agreement; and (iii) communications (including notices) related to the respective Letter of Credit shall be among such Issuing Bank and Borrowers. Borrowers will examine the copy of the Letter of Credit and any other documents sent by the applicable Issuing Bank in connection therewith and shall promptly notify such Issuing Bank (not later than three Business Days following Borrowers’ receipt of documents from such Issuing Bank) of any non-compliance with Borrowers’ instructions and of any discrepancy in any document under any presentment or other irregularity. Borrowers understand and agree that no Issuing Bank is required to extend the expiration date of any Letter of Credit for any reason. With respect to any Letter of Credit containing an “automatic amendment” to extend the expiration date of such Letter of Credit, the applicable Issuing Bank, in its sole and absolute discretion, may give notice of non-extension of such Letter of Credit and, if Borrowers do not at any time want the then current expiration date of such Letter of Credit to be extended, Borrowers will so notify Agent and the applicable Issuing Bank at least 30 calendar days before such Issuing Bank is required to notify the beneficiary of such Letter of Credit or any advising bank of such non-extension pursuant to the terms of such Letter of Credit.</w:t>
      </w:r>
    </w:p>
    <w:p>
      <w:pPr>
        <w:spacing w:after="0" w:line="181" w:lineRule="exact"/>
        <w:rPr>
          <w:rFonts w:ascii="Arial" w:cs="Arial" w:eastAsia="Arial" w:hAnsi="Arial"/>
          <w:sz w:val="18"/>
          <w:szCs w:val="18"/>
          <w:color w:val="auto"/>
        </w:rPr>
      </w:pPr>
    </w:p>
    <w:p>
      <w:pPr>
        <w:jc w:val="both"/>
        <w:ind w:firstLine="1493"/>
        <w:spacing w:after="0" w:line="249" w:lineRule="auto"/>
        <w:tabs>
          <w:tab w:leader="none" w:pos="189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Borrowers’ reimbursement and payment obligations under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are absolute, unconditional and irrevocable and shall be performed strictly in accordance with the terms of this Agreement under any and all circumstances whatsoever, including:</w:t>
      </w:r>
    </w:p>
    <w:p>
      <w:pPr>
        <w:spacing w:after="0" w:line="187" w:lineRule="exact"/>
        <w:rPr>
          <w:rFonts w:ascii="Arial" w:cs="Arial" w:eastAsia="Arial" w:hAnsi="Arial"/>
          <w:sz w:val="20"/>
          <w:szCs w:val="20"/>
          <w:color w:val="auto"/>
        </w:rPr>
      </w:pPr>
    </w:p>
    <w:p>
      <w:pPr>
        <w:ind w:left="560" w:right="40" w:firstLine="1494"/>
        <w:spacing w:after="0" w:line="260" w:lineRule="auto"/>
        <w:tabs>
          <w:tab w:leader="none" w:pos="2453" w:val="left"/>
        </w:tabs>
        <w:numPr>
          <w:ilvl w:val="1"/>
          <w:numId w:val="189"/>
        </w:numPr>
        <w:rPr>
          <w:rFonts w:ascii="Arial" w:cs="Arial" w:eastAsia="Arial" w:hAnsi="Arial"/>
          <w:sz w:val="20"/>
          <w:szCs w:val="20"/>
          <w:color w:val="auto"/>
        </w:rPr>
      </w:pPr>
      <w:r>
        <w:rPr>
          <w:rFonts w:ascii="Arial" w:cs="Arial" w:eastAsia="Arial" w:hAnsi="Arial"/>
          <w:sz w:val="20"/>
          <w:szCs w:val="20"/>
          <w:color w:val="auto"/>
        </w:rPr>
        <w:t>any lack of validity, enforceability or legal effect of any Letter of Credit, any Issuer Document, this Agreement, or any Loan Document, or any term or provision therein or herein;</w:t>
      </w:r>
    </w:p>
    <w:p>
      <w:pPr>
        <w:spacing w:after="0" w:line="175" w:lineRule="exact"/>
        <w:rPr>
          <w:rFonts w:ascii="Arial" w:cs="Arial" w:eastAsia="Arial" w:hAnsi="Arial"/>
          <w:sz w:val="20"/>
          <w:szCs w:val="20"/>
          <w:color w:val="auto"/>
        </w:rPr>
      </w:pPr>
    </w:p>
    <w:p>
      <w:pPr>
        <w:jc w:val="both"/>
        <w:ind w:left="560" w:firstLine="1494"/>
        <w:spacing w:after="0" w:line="282" w:lineRule="auto"/>
        <w:tabs>
          <w:tab w:leader="none" w:pos="245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59" w:lineRule="exact"/>
        <w:rPr>
          <w:rFonts w:ascii="Arial" w:cs="Arial" w:eastAsia="Arial" w:hAnsi="Arial"/>
          <w:sz w:val="18"/>
          <w:szCs w:val="18"/>
          <w:color w:val="auto"/>
        </w:rPr>
      </w:pPr>
    </w:p>
    <w:p>
      <w:pPr>
        <w:ind w:left="2440" w:hanging="386"/>
        <w:spacing w:after="0"/>
        <w:tabs>
          <w:tab w:leader="none" w:pos="24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applicable Issuing Bank or any of its branches or Affiliates being the beneficiary of any Letter of Credit;</w:t>
      </w: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02" w:name="page203"/>
    <w:bookmarkEnd w:id="202"/>
    <w:p>
      <w:pPr>
        <w:jc w:val="both"/>
        <w:ind w:left="760" w:firstLine="1494"/>
        <w:spacing w:after="0" w:line="249" w:lineRule="auto"/>
        <w:tabs>
          <w:tab w:leader="none" w:pos="265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applicable 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87" w:lineRule="exact"/>
        <w:rPr>
          <w:rFonts w:ascii="Arial" w:cs="Arial" w:eastAsia="Arial" w:hAnsi="Arial"/>
          <w:sz w:val="20"/>
          <w:szCs w:val="20"/>
          <w:color w:val="auto"/>
        </w:rPr>
      </w:pPr>
    </w:p>
    <w:p>
      <w:pPr>
        <w:jc w:val="both"/>
        <w:ind w:left="760" w:firstLine="1494"/>
        <w:spacing w:after="0" w:line="249" w:lineRule="auto"/>
        <w:tabs>
          <w:tab w:leader="none" w:pos="265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 that any Loan Party or any of its Restricted Subsidiaries may have at any time against any beneficiary or transferee beneficiary, any assignee of proceeds, the applicable Issuing Bank or any other Person;</w:t>
      </w:r>
    </w:p>
    <w:p>
      <w:pPr>
        <w:spacing w:after="0" w:line="187" w:lineRule="exact"/>
        <w:rPr>
          <w:rFonts w:ascii="Arial" w:cs="Arial" w:eastAsia="Arial" w:hAnsi="Arial"/>
          <w:sz w:val="20"/>
          <w:szCs w:val="20"/>
          <w:color w:val="auto"/>
        </w:rPr>
      </w:pPr>
    </w:p>
    <w:p>
      <w:pPr>
        <w:jc w:val="both"/>
        <w:ind w:left="760" w:right="20" w:firstLine="1494"/>
        <w:spacing w:after="0" w:line="249" w:lineRule="auto"/>
        <w:tabs>
          <w:tab w:leader="none" w:pos="265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applicable Issuing Bank or any correspondent honoring a drawing upon receipt of an electronic presentation under a Letter of Credit requiring the same, regardless of whether the original Drawing Documents arrive at such Issuing Bank’s counters or are different from the electronic presentation;</w:t>
      </w:r>
    </w:p>
    <w:p>
      <w:pPr>
        <w:spacing w:after="0" w:line="187" w:lineRule="exact"/>
        <w:rPr>
          <w:rFonts w:ascii="Arial" w:cs="Arial" w:eastAsia="Arial" w:hAnsi="Arial"/>
          <w:sz w:val="20"/>
          <w:szCs w:val="20"/>
          <w:color w:val="auto"/>
        </w:rPr>
      </w:pPr>
    </w:p>
    <w:p>
      <w:pPr>
        <w:jc w:val="both"/>
        <w:ind w:left="760" w:firstLine="1494"/>
        <w:spacing w:after="0" w:line="244" w:lineRule="auto"/>
        <w:tabs>
          <w:tab w:leader="none" w:pos="265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any other event, circumstance or conduct whatsoever, whether or not similar to any of the foregoing that might, but for this </w:t>
      </w:r>
      <w:r>
        <w:rPr>
          <w:rFonts w:ascii="Arial" w:cs="Arial" w:eastAsia="Arial" w:hAnsi="Arial"/>
          <w:sz w:val="20"/>
          <w:szCs w:val="20"/>
          <w:u w:val="single" w:color="auto"/>
          <w:color w:val="auto"/>
        </w:rPr>
        <w:t>Section 2.11(i)</w:t>
      </w:r>
      <w:r>
        <w:rPr>
          <w:rFonts w:ascii="Arial" w:cs="Arial" w:eastAsia="Arial" w:hAnsi="Arial"/>
          <w:sz w:val="20"/>
          <w:szCs w:val="20"/>
          <w:color w:val="auto"/>
        </w:rPr>
        <w:t>, constitute a legal or equitable defense (other than a defense of payment or performance in full) to or discharge of, or provide a right of set-off against, any Borrower’s or any of its Restricted Subsidiaries’ reimbursement and other payment obligations and liabilities, arising under, or in connection with, any Letter of Credit, whether against the applicable Issuing Bank, the beneficiary or any other Person; or</w:t>
      </w:r>
    </w:p>
    <w:p>
      <w:pPr>
        <w:spacing w:after="0" w:line="192" w:lineRule="exact"/>
        <w:rPr>
          <w:rFonts w:ascii="Arial" w:cs="Arial" w:eastAsia="Arial" w:hAnsi="Arial"/>
          <w:sz w:val="20"/>
          <w:szCs w:val="20"/>
          <w:color w:val="auto"/>
        </w:rPr>
      </w:pPr>
    </w:p>
    <w:p>
      <w:pPr>
        <w:ind w:left="3040" w:hanging="786"/>
        <w:spacing w:after="0"/>
        <w:tabs>
          <w:tab w:leader="none" w:pos="30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fact that any Default or Event of Default shall have occurred and be continuing;</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w:t>
      </w:r>
      <w:r>
        <w:rPr>
          <w:rFonts w:ascii="Arial" w:cs="Arial" w:eastAsia="Arial" w:hAnsi="Arial"/>
          <w:sz w:val="20"/>
          <w:szCs w:val="20"/>
          <w:u w:val="single" w:color="auto"/>
          <w:color w:val="auto"/>
        </w:rPr>
        <w:t>Section 2.11(g)</w:t>
      </w:r>
      <w:r>
        <w:rPr>
          <w:rFonts w:ascii="Arial" w:cs="Arial" w:eastAsia="Arial" w:hAnsi="Arial"/>
          <w:sz w:val="20"/>
          <w:szCs w:val="20"/>
          <w:color w:val="auto"/>
        </w:rPr>
        <w:t xml:space="preserve"> above, the foregoing shall not release any Issuing Bank from such liability to Borrowers as may be finally determined in a final, non-appealable judgment of a court of competent jurisdiction against such Issuing Bank following reimbursement or payment of the obligations and liabilities, including reimbursement and other payment obligations, of Borrowers to such Issuing Bank arising under, or in connection with,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or any Letter of Credit.</w:t>
      </w:r>
    </w:p>
    <w:p>
      <w:pPr>
        <w:spacing w:after="0" w:line="190" w:lineRule="exact"/>
        <w:rPr>
          <w:sz w:val="20"/>
          <w:szCs w:val="20"/>
          <w:color w:val="auto"/>
        </w:rPr>
      </w:pPr>
    </w:p>
    <w:p>
      <w:pPr>
        <w:jc w:val="both"/>
        <w:ind w:left="200" w:firstLine="1493"/>
        <w:spacing w:after="0" w:line="290" w:lineRule="auto"/>
        <w:tabs>
          <w:tab w:leader="none" w:pos="209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the applicable Issuing Bank and each other Letter of Credit Related Person (if applicable) shall not be responsible to Borrowers for, and such Issuing Bank’s rights and remedies against Borrowers and the obligation of Borrowers to reimburse such Issuing Bank for each drawing under each Letter of Credit shall not be impaired by:</w:t>
      </w:r>
    </w:p>
    <w:p>
      <w:pPr>
        <w:spacing w:after="0" w:line="153" w:lineRule="exact"/>
        <w:rPr>
          <w:rFonts w:ascii="Arial" w:cs="Arial" w:eastAsia="Arial" w:hAnsi="Arial"/>
          <w:sz w:val="18"/>
          <w:szCs w:val="18"/>
          <w:color w:val="auto"/>
        </w:rPr>
      </w:pPr>
    </w:p>
    <w:p>
      <w:pPr>
        <w:ind w:left="760" w:right="20" w:firstLine="1494"/>
        <w:spacing w:after="0" w:line="260" w:lineRule="auto"/>
        <w:tabs>
          <w:tab w:leader="none" w:pos="2653" w:val="left"/>
        </w:tabs>
        <w:numPr>
          <w:ilvl w:val="1"/>
          <w:numId w:val="191"/>
        </w:numPr>
        <w:rPr>
          <w:rFonts w:ascii="Arial" w:cs="Arial" w:eastAsia="Arial" w:hAnsi="Arial"/>
          <w:sz w:val="20"/>
          <w:szCs w:val="20"/>
          <w:color w:val="auto"/>
        </w:rPr>
      </w:pPr>
      <w:r>
        <w:rPr>
          <w:rFonts w:ascii="Arial" w:cs="Arial" w:eastAsia="Arial" w:hAnsi="Arial"/>
          <w:sz w:val="20"/>
          <w:szCs w:val="20"/>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75" w:lineRule="exact"/>
        <w:rPr>
          <w:rFonts w:ascii="Arial" w:cs="Arial" w:eastAsia="Arial" w:hAnsi="Arial"/>
          <w:sz w:val="20"/>
          <w:szCs w:val="20"/>
          <w:color w:val="auto"/>
        </w:rPr>
      </w:pPr>
    </w:p>
    <w:p>
      <w:pPr>
        <w:jc w:val="both"/>
        <w:ind w:left="760" w:firstLine="1494"/>
        <w:spacing w:after="0" w:line="249" w:lineRule="auto"/>
        <w:tabs>
          <w:tab w:leader="none" w:pos="2653" w:val="left"/>
        </w:tabs>
        <w:numPr>
          <w:ilvl w:val="1"/>
          <w:numId w:val="191"/>
        </w:numPr>
        <w:rPr>
          <w:rFonts w:ascii="Arial" w:cs="Arial" w:eastAsia="Arial" w:hAnsi="Arial"/>
          <w:sz w:val="20"/>
          <w:szCs w:val="20"/>
          <w:color w:val="auto"/>
        </w:rPr>
      </w:pPr>
      <w:r>
        <w:rPr>
          <w:rFonts w:ascii="Arial" w:cs="Arial" w:eastAsia="Arial" w:hAnsi="Arial"/>
          <w:sz w:val="20"/>
          <w:szCs w:val="20"/>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7" w:lineRule="exact"/>
        <w:rPr>
          <w:rFonts w:ascii="Arial" w:cs="Arial" w:eastAsia="Arial" w:hAnsi="Arial"/>
          <w:sz w:val="20"/>
          <w:szCs w:val="20"/>
          <w:color w:val="auto"/>
        </w:rPr>
      </w:pPr>
    </w:p>
    <w:p>
      <w:pPr>
        <w:jc w:val="both"/>
        <w:ind w:left="760" w:firstLine="1494"/>
        <w:spacing w:after="0" w:line="249" w:lineRule="auto"/>
        <w:tabs>
          <w:tab w:leader="none" w:pos="2653" w:val="left"/>
        </w:tabs>
        <w:numPr>
          <w:ilvl w:val="1"/>
          <w:numId w:val="191"/>
        </w:numPr>
        <w:rPr>
          <w:rFonts w:ascii="Arial" w:cs="Arial" w:eastAsia="Arial" w:hAnsi="Arial"/>
          <w:sz w:val="20"/>
          <w:szCs w:val="20"/>
          <w:color w:val="auto"/>
        </w:rPr>
      </w:pPr>
      <w:r>
        <w:rPr>
          <w:rFonts w:ascii="Arial" w:cs="Arial" w:eastAsia="Arial" w:hAnsi="Arial"/>
          <w:sz w:val="20"/>
          <w:szCs w:val="20"/>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87" w:lineRule="exact"/>
        <w:rPr>
          <w:rFonts w:ascii="Arial" w:cs="Arial" w:eastAsia="Arial" w:hAnsi="Arial"/>
          <w:sz w:val="20"/>
          <w:szCs w:val="20"/>
          <w:color w:val="auto"/>
        </w:rPr>
      </w:pPr>
    </w:p>
    <w:p>
      <w:pPr>
        <w:ind w:left="760" w:right="60" w:firstLine="1494"/>
        <w:spacing w:after="0" w:line="260" w:lineRule="auto"/>
        <w:tabs>
          <w:tab w:leader="none" w:pos="2653" w:val="left"/>
        </w:tabs>
        <w:numPr>
          <w:ilvl w:val="1"/>
          <w:numId w:val="191"/>
        </w:numPr>
        <w:rPr>
          <w:rFonts w:ascii="Arial" w:cs="Arial" w:eastAsia="Arial" w:hAnsi="Arial"/>
          <w:sz w:val="20"/>
          <w:szCs w:val="20"/>
          <w:color w:val="auto"/>
        </w:rPr>
      </w:pPr>
      <w:r>
        <w:rPr>
          <w:rFonts w:ascii="Arial" w:cs="Arial" w:eastAsia="Arial" w:hAnsi="Arial"/>
          <w:sz w:val="20"/>
          <w:szCs w:val="20"/>
          <w:color w:val="auto"/>
        </w:rPr>
        <w:t>the identity or authority of any presenter or signer of any Drawing Document or the form, accuracy, genuineness or legal effect of any Drawing Document (other than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3" w:name="page204"/>
    <w:bookmarkEnd w:id="203"/>
    <w:p>
      <w:pPr>
        <w:ind w:left="560"/>
        <w:spacing w:after="0" w:line="260" w:lineRule="auto"/>
        <w:rPr>
          <w:sz w:val="20"/>
          <w:szCs w:val="20"/>
          <w:color w:val="auto"/>
        </w:rPr>
      </w:pPr>
      <w:r>
        <w:rPr>
          <w:rFonts w:ascii="Arial" w:cs="Arial" w:eastAsia="Arial" w:hAnsi="Arial"/>
          <w:sz w:val="20"/>
          <w:szCs w:val="20"/>
          <w:color w:val="auto"/>
        </w:rPr>
        <w:t>such Issuing Bank’s determination that such Drawing Document appears on its face substantially to comply with the terms and conditions of the Letter of Credit);</w:t>
      </w:r>
    </w:p>
    <w:p>
      <w:pPr>
        <w:spacing w:after="0" w:line="176" w:lineRule="exact"/>
        <w:rPr>
          <w:sz w:val="20"/>
          <w:szCs w:val="20"/>
          <w:color w:val="auto"/>
        </w:rPr>
      </w:pPr>
    </w:p>
    <w:p>
      <w:pPr>
        <w:ind w:left="560" w:right="20" w:firstLine="1494"/>
        <w:spacing w:after="0" w:line="286" w:lineRule="auto"/>
        <w:tabs>
          <w:tab w:leader="none" w:pos="2453"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acting upon any instruction or request relative to a Letter of Credit or requested Letter of Credit that such Issuing Bank in good faith believes to have been given by a Person authorized to give such instruction or request;</w:t>
      </w:r>
    </w:p>
    <w:p>
      <w:pPr>
        <w:spacing w:after="0" w:line="153" w:lineRule="exact"/>
        <w:rPr>
          <w:rFonts w:ascii="Arial" w:cs="Arial" w:eastAsia="Arial" w:hAnsi="Arial"/>
          <w:sz w:val="19"/>
          <w:szCs w:val="19"/>
          <w:color w:val="auto"/>
        </w:rPr>
      </w:pPr>
    </w:p>
    <w:p>
      <w:pPr>
        <w:jc w:val="both"/>
        <w:ind w:left="560" w:right="20" w:firstLine="1494"/>
        <w:spacing w:after="0" w:line="249" w:lineRule="auto"/>
        <w:tabs>
          <w:tab w:leader="none" w:pos="2453"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187" w:lineRule="exact"/>
        <w:rPr>
          <w:rFonts w:ascii="Arial" w:cs="Arial" w:eastAsia="Arial" w:hAnsi="Arial"/>
          <w:sz w:val="20"/>
          <w:szCs w:val="20"/>
          <w:color w:val="auto"/>
        </w:rPr>
      </w:pPr>
    </w:p>
    <w:p>
      <w:pPr>
        <w:jc w:val="both"/>
        <w:ind w:left="560" w:firstLine="1494"/>
        <w:spacing w:after="0" w:line="249" w:lineRule="auto"/>
        <w:tabs>
          <w:tab w:leader="none" w:pos="2453"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87" w:lineRule="exact"/>
        <w:rPr>
          <w:rFonts w:ascii="Arial" w:cs="Arial" w:eastAsia="Arial" w:hAnsi="Arial"/>
          <w:sz w:val="20"/>
          <w:szCs w:val="20"/>
          <w:color w:val="auto"/>
        </w:rPr>
      </w:pPr>
    </w:p>
    <w:p>
      <w:pPr>
        <w:ind w:left="560" w:right="20" w:firstLine="1494"/>
        <w:spacing w:after="0" w:line="260" w:lineRule="auto"/>
        <w:tabs>
          <w:tab w:leader="none" w:pos="2848"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assertion or waiver of any provision of the ISP or UCP that primarily benefits an issuer of a letter of credit, including any requirement that any Drawing Document be presented to it at a particular hour or place;</w:t>
      </w:r>
    </w:p>
    <w:p>
      <w:pPr>
        <w:spacing w:after="0" w:line="175" w:lineRule="exact"/>
        <w:rPr>
          <w:rFonts w:ascii="Arial" w:cs="Arial" w:eastAsia="Arial" w:hAnsi="Arial"/>
          <w:sz w:val="20"/>
          <w:szCs w:val="20"/>
          <w:color w:val="auto"/>
        </w:rPr>
      </w:pPr>
    </w:p>
    <w:p>
      <w:pPr>
        <w:jc w:val="both"/>
        <w:ind w:left="560" w:firstLine="1494"/>
        <w:spacing w:after="0" w:line="249" w:lineRule="auto"/>
        <w:tabs>
          <w:tab w:leader="none" w:pos="2453" w:val="left"/>
        </w:tabs>
        <w:numPr>
          <w:ilvl w:val="1"/>
          <w:numId w:val="192"/>
        </w:numPr>
        <w:rPr>
          <w:rFonts w:ascii="Arial" w:cs="Arial" w:eastAsia="Arial" w:hAnsi="Arial"/>
          <w:sz w:val="20"/>
          <w:szCs w:val="20"/>
          <w:color w:val="auto"/>
        </w:rPr>
      </w:pPr>
      <w:r>
        <w:rPr>
          <w:rFonts w:ascii="Arial" w:cs="Arial" w:eastAsia="Arial" w:hAnsi="Arial"/>
          <w:sz w:val="20"/>
          <w:szCs w:val="20"/>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187" w:lineRule="exact"/>
        <w:rPr>
          <w:rFonts w:ascii="Arial" w:cs="Arial" w:eastAsia="Arial" w:hAnsi="Arial"/>
          <w:sz w:val="20"/>
          <w:szCs w:val="20"/>
          <w:color w:val="auto"/>
        </w:rPr>
      </w:pPr>
    </w:p>
    <w:p>
      <w:pPr>
        <w:ind w:left="560" w:right="20" w:firstLine="1494"/>
        <w:spacing w:after="0" w:line="286" w:lineRule="auto"/>
        <w:tabs>
          <w:tab w:leader="none" w:pos="2453"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acting or failing to act as required or permitted under Standard Letter of Credit Practice applicable to where such Issuing Bank has issued, confirmed, advised or negotiated such Letter of Credit, as the case may be;</w:t>
      </w:r>
    </w:p>
    <w:p>
      <w:pPr>
        <w:spacing w:after="0" w:line="153" w:lineRule="exact"/>
        <w:rPr>
          <w:rFonts w:ascii="Arial" w:cs="Arial" w:eastAsia="Arial" w:hAnsi="Arial"/>
          <w:sz w:val="19"/>
          <w:szCs w:val="19"/>
          <w:color w:val="auto"/>
        </w:rPr>
      </w:pPr>
    </w:p>
    <w:p>
      <w:pPr>
        <w:jc w:val="both"/>
        <w:ind w:left="560" w:firstLine="1494"/>
        <w:spacing w:after="0" w:line="249" w:lineRule="auto"/>
        <w:tabs>
          <w:tab w:leader="none" w:pos="2453" w:val="left"/>
        </w:tabs>
        <w:numPr>
          <w:ilvl w:val="1"/>
          <w:numId w:val="192"/>
        </w:numPr>
        <w:rPr>
          <w:rFonts w:ascii="Arial" w:cs="Arial" w:eastAsia="Arial" w:hAnsi="Arial"/>
          <w:sz w:val="20"/>
          <w:szCs w:val="20"/>
          <w:color w:val="auto"/>
        </w:rPr>
      </w:pPr>
      <w:r>
        <w:rPr>
          <w:rFonts w:ascii="Arial" w:cs="Arial" w:eastAsia="Arial" w:hAnsi="Arial"/>
          <w:sz w:val="20"/>
          <w:szCs w:val="20"/>
          <w:color w:val="auto"/>
        </w:rPr>
        <w:t>honor of a presentation after the expiration date of any Letter of Credit notwithstanding that a presentation was made prior to such expiration date and dishonored by such Issuing Bank if subsequently such Issuing Bank or any court or other finder of fact determines such presentation should have been honored;</w:t>
      </w:r>
    </w:p>
    <w:p>
      <w:pPr>
        <w:spacing w:after="0" w:line="187" w:lineRule="exact"/>
        <w:rPr>
          <w:rFonts w:ascii="Arial" w:cs="Arial" w:eastAsia="Arial" w:hAnsi="Arial"/>
          <w:sz w:val="20"/>
          <w:szCs w:val="20"/>
          <w:color w:val="auto"/>
        </w:rPr>
      </w:pPr>
    </w:p>
    <w:p>
      <w:pPr>
        <w:ind w:left="2440" w:hanging="386"/>
        <w:spacing w:after="0"/>
        <w:tabs>
          <w:tab w:leader="none" w:pos="24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dishonor of any presentation that does not strictly comply or that is fraudulent, forged or otherwise not</w:t>
      </w:r>
    </w:p>
    <w:p>
      <w:pPr>
        <w:spacing w:after="0" w:line="26" w:lineRule="exact"/>
        <w:rPr>
          <w:rFonts w:ascii="Arial" w:cs="Arial" w:eastAsia="Arial" w:hAnsi="Arial"/>
          <w:sz w:val="19"/>
          <w:szCs w:val="19"/>
          <w:color w:val="auto"/>
        </w:rPr>
      </w:pPr>
    </w:p>
    <w:p>
      <w:pPr>
        <w:ind w:left="560"/>
        <w:spacing w:after="0"/>
        <w:rPr>
          <w:rFonts w:ascii="Arial" w:cs="Arial" w:eastAsia="Arial" w:hAnsi="Arial"/>
          <w:sz w:val="19"/>
          <w:szCs w:val="19"/>
          <w:color w:val="auto"/>
        </w:rPr>
      </w:pPr>
      <w:r>
        <w:rPr>
          <w:rFonts w:ascii="Arial" w:cs="Arial" w:eastAsia="Arial" w:hAnsi="Arial"/>
          <w:sz w:val="20"/>
          <w:szCs w:val="20"/>
          <w:color w:val="auto"/>
        </w:rPr>
        <w:t>entitled to honor; or</w:t>
      </w:r>
    </w:p>
    <w:p>
      <w:pPr>
        <w:spacing w:after="0" w:line="198" w:lineRule="exact"/>
        <w:rPr>
          <w:rFonts w:ascii="Arial" w:cs="Arial" w:eastAsia="Arial" w:hAnsi="Arial"/>
          <w:sz w:val="19"/>
          <w:szCs w:val="19"/>
          <w:color w:val="auto"/>
        </w:rPr>
      </w:pPr>
    </w:p>
    <w:p>
      <w:pPr>
        <w:ind w:left="560" w:right="20" w:firstLine="1494"/>
        <w:spacing w:after="0" w:line="315" w:lineRule="auto"/>
        <w:tabs>
          <w:tab w:leader="none" w:pos="284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honor of a presentation that is subsequently determined by such Issuing Bank to have been made in violation of international, federal, state or local restrictions on the transaction of business with certain prohibited Persons.</w:t>
      </w:r>
    </w:p>
    <w:p>
      <w:pPr>
        <w:spacing w:after="0" w:line="130" w:lineRule="exact"/>
        <w:rPr>
          <w:rFonts w:ascii="Arial" w:cs="Arial" w:eastAsia="Arial" w:hAnsi="Arial"/>
          <w:sz w:val="18"/>
          <w:szCs w:val="18"/>
          <w:color w:val="auto"/>
        </w:rPr>
      </w:pPr>
    </w:p>
    <w:p>
      <w:pPr>
        <w:jc w:val="both"/>
        <w:ind w:firstLine="1493"/>
        <w:spacing w:after="0" w:line="256" w:lineRule="auto"/>
        <w:tabs>
          <w:tab w:leader="none" w:pos="189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Borrowers shall pay immediately upon demand to Agent for the account of the applicable Issuing Bank as non-refundable fees, commissions, and charges (it being acknowledged and agreed that any charging of such fees, commissions, and charges to the Loan Account pursuant to the provisions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shall be deemed to constitute a demand for payment thereof for the purposes of this </w:t>
      </w:r>
      <w:r>
        <w:rPr>
          <w:rFonts w:ascii="Arial" w:cs="Arial" w:eastAsia="Arial" w:hAnsi="Arial"/>
          <w:sz w:val="19"/>
          <w:szCs w:val="19"/>
          <w:u w:val="single" w:color="auto"/>
          <w:color w:val="auto"/>
        </w:rPr>
        <w:t>Section 2.11(k))</w:t>
      </w:r>
      <w:r>
        <w:rPr>
          <w:rFonts w:ascii="Arial" w:cs="Arial" w:eastAsia="Arial" w:hAnsi="Arial"/>
          <w:sz w:val="19"/>
          <w:szCs w:val="19"/>
          <w:color w:val="auto"/>
        </w:rPr>
        <w:t xml:space="preserve">: (i) a fronting fee which shall be imposed by such Issuing Bank equal to 0.125% per annum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average amount of the Letter of Credit Usage during the immediately preceding month (or portion thereof),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any and all other customary commissions, fees and charges then in effect imposed by, and any and all reasonable and documented out-of-pocket expenses incurred by, such Issuing Bank, or by any adviser, confirming institution or entity or other nominated person, relating to Letters of Credit, at the time of issuance of any Letter of Credit and upon the occurrence of any other</w:t>
      </w: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04" w:name="page205"/>
    <w:bookmarkEnd w:id="204"/>
    <w:p>
      <w:pPr>
        <w:ind w:left="200"/>
        <w:spacing w:after="0" w:line="260" w:lineRule="auto"/>
        <w:rPr>
          <w:sz w:val="20"/>
          <w:szCs w:val="20"/>
          <w:color w:val="auto"/>
        </w:rPr>
      </w:pPr>
      <w:r>
        <w:rPr>
          <w:rFonts w:ascii="Arial" w:cs="Arial" w:eastAsia="Arial" w:hAnsi="Arial"/>
          <w:sz w:val="20"/>
          <w:szCs w:val="20"/>
          <w:color w:val="auto"/>
        </w:rPr>
        <w:t>activity with respect to such Letter of Credit (including transfers, assignments of proceeds, amendments, drawings, extensions, renewals or cancellations).</w:t>
      </w:r>
    </w:p>
    <w:p>
      <w:pPr>
        <w:spacing w:after="0" w:line="176" w:lineRule="exact"/>
        <w:rPr>
          <w:sz w:val="20"/>
          <w:szCs w:val="20"/>
          <w:color w:val="auto"/>
        </w:rPr>
      </w:pPr>
    </w:p>
    <w:p>
      <w:pPr>
        <w:jc w:val="both"/>
        <w:ind w:left="200" w:firstLine="1493"/>
        <w:spacing w:after="0" w:line="246" w:lineRule="auto"/>
        <w:tabs>
          <w:tab w:leader="none" w:pos="209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If by reason of (x) any Change in Law, or (y) compliance by the applicable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89" w:lineRule="exact"/>
        <w:rPr>
          <w:rFonts w:ascii="Arial" w:cs="Arial" w:eastAsia="Arial" w:hAnsi="Arial"/>
          <w:sz w:val="20"/>
          <w:szCs w:val="20"/>
          <w:color w:val="auto"/>
        </w:rPr>
      </w:pPr>
    </w:p>
    <w:p>
      <w:pPr>
        <w:ind w:left="760" w:right="20" w:firstLine="1494"/>
        <w:spacing w:after="0" w:line="315" w:lineRule="auto"/>
        <w:tabs>
          <w:tab w:leader="none" w:pos="265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reserve, deposit, or similar requirement is or shall be imposed or modified in respect of any Letter of Credit issued or caused to be issued hereunder or hereby, or any Loans or obligations to make Loans hereunder or hereby, or</w:t>
      </w:r>
    </w:p>
    <w:p>
      <w:pPr>
        <w:spacing w:after="0" w:line="130" w:lineRule="exact"/>
        <w:rPr>
          <w:rFonts w:ascii="Arial" w:cs="Arial" w:eastAsia="Arial" w:hAnsi="Arial"/>
          <w:sz w:val="18"/>
          <w:szCs w:val="18"/>
          <w:color w:val="auto"/>
        </w:rPr>
      </w:pPr>
    </w:p>
    <w:p>
      <w:pPr>
        <w:ind w:left="760" w:right="20" w:firstLine="1494"/>
        <w:spacing w:after="0" w:line="260" w:lineRule="auto"/>
        <w:tabs>
          <w:tab w:leader="none" w:pos="2653" w:val="left"/>
        </w:tabs>
        <w:numPr>
          <w:ilvl w:val="1"/>
          <w:numId w:val="194"/>
        </w:numPr>
        <w:rPr>
          <w:rFonts w:ascii="Arial" w:cs="Arial" w:eastAsia="Arial" w:hAnsi="Arial"/>
          <w:sz w:val="20"/>
          <w:szCs w:val="20"/>
          <w:color w:val="auto"/>
        </w:rPr>
      </w:pPr>
      <w:r>
        <w:rPr>
          <w:rFonts w:ascii="Arial" w:cs="Arial" w:eastAsia="Arial" w:hAnsi="Arial"/>
          <w:sz w:val="20"/>
          <w:szCs w:val="20"/>
          <w:color w:val="auto"/>
        </w:rPr>
        <w:t>there shall be imposed on such Issuing Bank or any other member of the Lender Group any other condition regarding any Letter of Credit, Loans, or obligations to make Loans hereunder,</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and the result of the foregoing is to increase, directly or indirectly, the cost to such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Borrowers, and Borrowers shall pay within 30 days after demand therefor, such amounts as Agent may specify to be necessary to compensate such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2"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Borrowers shall not be required to provide any compensation pursuant to this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for any such amounts incurred more than</w:t>
      </w:r>
    </w:p>
    <w:p>
      <w:pPr>
        <w:spacing w:after="0" w:line="22"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20"/>
          <w:szCs w:val="20"/>
          <w:color w:val="auto"/>
        </w:rPr>
        <w:t xml:space="preserve">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20"/>
          <w:szCs w:val="20"/>
          <w:u w:val="single" w:color="auto"/>
          <w:color w:val="auto"/>
        </w:rPr>
        <w:t>Section 2.11(l)</w:t>
      </w:r>
      <w:r>
        <w:rPr>
          <w:rFonts w:ascii="Arial" w:cs="Arial" w:eastAsia="Arial" w:hAnsi="Arial"/>
          <w:sz w:val="20"/>
          <w:szCs w:val="20"/>
          <w:color w:val="auto"/>
        </w:rPr>
        <w:t>, as set forth in a certificate setting forth the calculation thereof in reasonable detail, shall, in the absence of manifest or demonstrable error, be final and conclusive and binding on all of the parties hereto.</w:t>
      </w:r>
    </w:p>
    <w:p>
      <w:pPr>
        <w:spacing w:after="0" w:line="196" w:lineRule="exact"/>
        <w:rPr>
          <w:rFonts w:ascii="Arial" w:cs="Arial" w:eastAsia="Arial" w:hAnsi="Arial"/>
          <w:sz w:val="18"/>
          <w:szCs w:val="18"/>
          <w:color w:val="auto"/>
        </w:rPr>
      </w:pPr>
    </w:p>
    <w:p>
      <w:pPr>
        <w:jc w:val="both"/>
        <w:ind w:left="200" w:firstLine="1493"/>
        <w:spacing w:after="0" w:line="258" w:lineRule="auto"/>
        <w:tabs>
          <w:tab w:leader="none" w:pos="2093"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Each standby Letter of Credit shall expire not later than the date that is 12 months after the date of the issuance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standby Letter of Credit may provide for the automatic extension thereof for any number of additional periods each of up to one year in duration;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with respect to any Letter of Credit which extends beyond the Maturity Date, Letter of Credit Collateralization shall be provided therefor on or before the date that is five Business Days prior to the Maturity Date. Each commercial Letter of Credit shall expire on the earlier of (i) 120 days after the date of the issuance of such commercial Letter of Credit and (ii) five Business Days prior to the Maturity Date.</w:t>
      </w:r>
    </w:p>
    <w:p>
      <w:pPr>
        <w:spacing w:after="0" w:line="181" w:lineRule="exact"/>
        <w:rPr>
          <w:rFonts w:ascii="Arial" w:cs="Arial" w:eastAsia="Arial" w:hAnsi="Arial"/>
          <w:sz w:val="19"/>
          <w:szCs w:val="19"/>
          <w:color w:val="auto"/>
        </w:rPr>
      </w:pPr>
    </w:p>
    <w:p>
      <w:pPr>
        <w:jc w:val="both"/>
        <w:ind w:left="200" w:firstLine="1493"/>
        <w:spacing w:after="0" w:line="260" w:lineRule="auto"/>
        <w:tabs>
          <w:tab w:leader="none" w:pos="2093"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Letter of Credit Exposure representing greater than 50% of the total Letter of Credit Exposure) demanding Letter of Credit Collateralization pursuant to this </w:t>
      </w:r>
      <w:r>
        <w:rPr>
          <w:rFonts w:ascii="Arial" w:cs="Arial" w:eastAsia="Arial" w:hAnsi="Arial"/>
          <w:sz w:val="19"/>
          <w:szCs w:val="19"/>
          <w:u w:val="single" w:color="auto"/>
          <w:color w:val="auto"/>
        </w:rPr>
        <w:t>Section 2.11(n)</w:t>
      </w:r>
      <w:r>
        <w:rPr>
          <w:rFonts w:ascii="Arial" w:cs="Arial" w:eastAsia="Arial" w:hAnsi="Arial"/>
          <w:sz w:val="19"/>
          <w:szCs w:val="19"/>
          <w:color w:val="auto"/>
        </w:rPr>
        <w:t xml:space="preserve"> upon such demand, Borrowers shall provide Letter of Credit Collateralization with respect to the then existing Letter of Credit Usage.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5" w:name="page206"/>
    <w:bookmarkEnd w:id="205"/>
    <w:p>
      <w:pPr>
        <w:ind w:firstLine="1493"/>
        <w:spacing w:after="0" w:line="315" w:lineRule="auto"/>
        <w:tabs>
          <w:tab w:leader="none" w:pos="189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Unless otherwise expressly agreed by Issuing Bank and Borrowers when a Letter of Credit is issued, (i) the rules of the ISP shall apply to each standby Letter of Credit, and (ii) the rules of the UCP shall apply to each commercial Letter of Credit.</w:t>
      </w:r>
    </w:p>
    <w:p>
      <w:pPr>
        <w:spacing w:after="0" w:line="130" w:lineRule="exact"/>
        <w:rPr>
          <w:rFonts w:ascii="Arial" w:cs="Arial" w:eastAsia="Arial" w:hAnsi="Arial"/>
          <w:sz w:val="18"/>
          <w:szCs w:val="18"/>
          <w:color w:val="auto"/>
        </w:rPr>
      </w:pPr>
    </w:p>
    <w:p>
      <w:pPr>
        <w:ind w:right="20" w:firstLine="1493"/>
        <w:spacing w:after="0" w:line="260" w:lineRule="auto"/>
        <w:tabs>
          <w:tab w:leader="none" w:pos="189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Each Issuing Bank shall be deemed to have acted with due diligence and reasonable care if such Issuing Bank’s conduct is in accordance with Standard Letter of Credit Practice or in accordance with this Agreement.</w:t>
      </w:r>
    </w:p>
    <w:p>
      <w:pPr>
        <w:spacing w:after="0" w:line="175" w:lineRule="exact"/>
        <w:rPr>
          <w:rFonts w:ascii="Arial" w:cs="Arial" w:eastAsia="Arial" w:hAnsi="Arial"/>
          <w:sz w:val="20"/>
          <w:szCs w:val="20"/>
          <w:color w:val="auto"/>
        </w:rPr>
      </w:pPr>
    </w:p>
    <w:p>
      <w:pPr>
        <w:jc w:val="both"/>
        <w:ind w:firstLine="1493"/>
        <w:spacing w:after="0" w:line="246" w:lineRule="auto"/>
        <w:tabs>
          <w:tab w:leader="none" w:pos="189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In the event of a direct conflict between the provisions of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control and govern.</w:t>
      </w:r>
    </w:p>
    <w:p>
      <w:pPr>
        <w:spacing w:after="0" w:line="189" w:lineRule="exact"/>
        <w:rPr>
          <w:rFonts w:ascii="Arial" w:cs="Arial" w:eastAsia="Arial" w:hAnsi="Arial"/>
          <w:sz w:val="20"/>
          <w:szCs w:val="20"/>
          <w:color w:val="auto"/>
        </w:rPr>
      </w:pPr>
    </w:p>
    <w:p>
      <w:pPr>
        <w:ind w:firstLine="1493"/>
        <w:spacing w:after="0" w:line="260" w:lineRule="auto"/>
        <w:tabs>
          <w:tab w:leader="none" w:pos="189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survive the termination of this Agreement and the repayment in full of the Obligations with respect to any Letters of Credit that remain outstanding.</w:t>
      </w:r>
    </w:p>
    <w:p>
      <w:pPr>
        <w:spacing w:after="0" w:line="175" w:lineRule="exact"/>
        <w:rPr>
          <w:rFonts w:ascii="Arial" w:cs="Arial" w:eastAsia="Arial" w:hAnsi="Arial"/>
          <w:sz w:val="20"/>
          <w:szCs w:val="20"/>
          <w:color w:val="auto"/>
        </w:rPr>
      </w:pPr>
    </w:p>
    <w:p>
      <w:pPr>
        <w:jc w:val="both"/>
        <w:ind w:firstLine="1493"/>
        <w:spacing w:after="0" w:line="272" w:lineRule="auto"/>
        <w:tabs>
          <w:tab w:leader="none" w:pos="189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Borrowers’ costs and expense, Borrowers shall execute and deliver to the applicable Issuing Bank such additional certificates, instruments and/or documents and take such additional action as may be reasonably requested by such Issuing Bank to enable such Issuing Bank to issue any Letter of Credit pursuant to this Agreement and related Issuer Document, to protect, exercise and/or enforce such Issuing Banks’ rights and interests under this Agreement or to give effect to the terms and provisions of this Agreement or any Issuer Document. Each Borrower irrevocably appoints each Issuing Bank as its attorney-in-fact and authorizes such Issuing Bank, without notice to Borrowers, to execute and deliver ancillary documents and letters customary in the letter of credit business that may include but are not limited to advisements, indemnities, checks, bills of exchange and issuance documents. The power of attorney granted by the Borrowers is limited solely to such actions related to the issuance, confirmation or amendment of any Letter of Credit and to ancillary documents or letters customary in the letter of credit business. This appointment is coupled with an interest.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2.12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SOFR Option</w:t>
      </w:r>
      <w:r>
        <w:rPr>
          <w:rFonts w:ascii="Arial" w:cs="Arial" w:eastAsia="Arial" w:hAnsi="Arial"/>
          <w:sz w:val="20"/>
          <w:szCs w:val="20"/>
          <w:color w:val="auto"/>
        </w:rPr>
        <w:t>.</w:t>
      </w:r>
    </w:p>
    <w:p>
      <w:pPr>
        <w:spacing w:after="0" w:line="215" w:lineRule="exact"/>
        <w:rPr>
          <w:sz w:val="20"/>
          <w:szCs w:val="20"/>
          <w:color w:val="auto"/>
        </w:rPr>
      </w:pPr>
    </w:p>
    <w:p>
      <w:pPr>
        <w:jc w:val="both"/>
        <w:ind w:firstLine="1493"/>
        <w:spacing w:after="0" w:line="270" w:lineRule="auto"/>
        <w:tabs>
          <w:tab w:leader="none" w:pos="1906"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Interest and Interest Payment Dates</w:t>
      </w:r>
      <w:r>
        <w:rPr>
          <w:rFonts w:ascii="Arial" w:cs="Arial" w:eastAsia="Arial" w:hAnsi="Arial"/>
          <w:sz w:val="18"/>
          <w:szCs w:val="18"/>
          <w:color w:val="auto"/>
        </w:rPr>
        <w:t>. In lieu of having interest charged at the rate based upon the Base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Borrowers shall have the option, subject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SOFR Option</w:t>
      </w:r>
      <w:r>
        <w:rPr>
          <w:rFonts w:ascii="Arial" w:cs="Arial" w:eastAsia="Arial" w:hAnsi="Arial"/>
          <w:sz w:val="18"/>
          <w:szCs w:val="18"/>
          <w:color w:val="auto"/>
        </w:rPr>
        <w:t xml:space="preserve">”) to have interest on all or a portion of the Revolving Loans be charged (whether at the time when made (unless otherwise provided herein), upon conversion from a Base Rate Loan to a SOFR Loan, or upon continuation of a SOFR Loan as a SOFR Loan) at a rate of interest based upon Adjusted Term SOFR. Interest on SOFR Loans shall be payable on the earliest of (i) the last day of the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 On the last day of each applicable Interest Period, unless Borrowers have properly exercised the SOFR Option with respect thereto, the interest rate applicable to such SOFR Loan automatically shall convert to the rate of interest then applicable to Base Rate Loans of the same type hereunder. At any time that an Event of Default has occurred and is continuing, Borrowers no longer shall have the option to request that Revolving Loans bear interest at a rate based upon Adjusted Term SOFR.</w:t>
      </w:r>
    </w:p>
    <w:p>
      <w:pPr>
        <w:spacing w:after="0" w:line="200" w:lineRule="exact"/>
        <w:rPr>
          <w:sz w:val="20"/>
          <w:szCs w:val="20"/>
          <w:color w:val="auto"/>
        </w:rPr>
      </w:pP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06" w:name="page207"/>
    <w:bookmarkEnd w:id="206"/>
    <w:p>
      <w:pPr>
        <w:ind w:left="1880" w:hanging="387"/>
        <w:spacing w:after="0"/>
        <w:tabs>
          <w:tab w:leader="none" w:pos="1880" w:val="left"/>
        </w:tabs>
        <w:numPr>
          <w:ilvl w:val="0"/>
          <w:numId w:val="198"/>
        </w:numPr>
        <w:rPr>
          <w:rFonts w:ascii="Arial" w:cs="Arial" w:eastAsia="Arial" w:hAnsi="Arial"/>
          <w:sz w:val="20"/>
          <w:szCs w:val="20"/>
          <w:color w:val="auto"/>
        </w:rPr>
      </w:pPr>
      <w:r>
        <w:rPr>
          <w:rFonts w:ascii="Arial" w:cs="Arial" w:eastAsia="Arial" w:hAnsi="Arial"/>
          <w:sz w:val="20"/>
          <w:szCs w:val="20"/>
          <w:b w:val="1"/>
          <w:bCs w:val="1"/>
          <w:color w:val="auto"/>
        </w:rPr>
        <w:t>SOFR Election</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left="560" w:firstLine="1494"/>
        <w:spacing w:after="0" w:line="258" w:lineRule="auto"/>
        <w:tabs>
          <w:tab w:leader="none" w:pos="2453" w:val="left"/>
        </w:tabs>
        <w:numPr>
          <w:ilvl w:val="1"/>
          <w:numId w:val="198"/>
        </w:numPr>
        <w:rPr>
          <w:rFonts w:ascii="Arial" w:cs="Arial" w:eastAsia="Arial" w:hAnsi="Arial"/>
          <w:sz w:val="19"/>
          <w:szCs w:val="19"/>
          <w:color w:val="auto"/>
        </w:rPr>
      </w:pPr>
      <w:r>
        <w:rPr>
          <w:rFonts w:ascii="Arial" w:cs="Arial" w:eastAsia="Arial" w:hAnsi="Arial"/>
          <w:sz w:val="19"/>
          <w:szCs w:val="19"/>
          <w:color w:val="auto"/>
        </w:rPr>
        <w:t>Borrowers may, at any time and from time to time, so long as no Event of Default has occurred and is continuing, elect to exercise the SOFR Option by notifying Agent prior to 12:00 p.m. at least three U.S. Government Securities Business Days prior to the commencement of the proposed Interest Period (the “</w:t>
      </w:r>
      <w:r>
        <w:rPr>
          <w:rFonts w:ascii="Arial" w:cs="Arial" w:eastAsia="Arial" w:hAnsi="Arial"/>
          <w:sz w:val="19"/>
          <w:szCs w:val="19"/>
          <w:u w:val="single" w:color="auto"/>
          <w:color w:val="auto"/>
        </w:rPr>
        <w:t>SOFR Deadline</w:t>
      </w:r>
      <w:r>
        <w:rPr>
          <w:rFonts w:ascii="Arial" w:cs="Arial" w:eastAsia="Arial" w:hAnsi="Arial"/>
          <w:sz w:val="19"/>
          <w:szCs w:val="19"/>
          <w:color w:val="auto"/>
        </w:rPr>
        <w:t>”). Notice of Borrowers’ election of the SOFR Option for a permitted portion of the Revolving Loans and an Interest Period pursuant to this Section shall be made by delivery to Agent of a SOFR Notice received by Agent before the SOFR Deadline. Promptly upon its receipt of each such SOFR Notice, Agent shall provide a notice thereof to each of the affected Lenders.</w:t>
      </w:r>
    </w:p>
    <w:p>
      <w:pPr>
        <w:spacing w:after="0" w:line="181" w:lineRule="exact"/>
        <w:rPr>
          <w:rFonts w:ascii="Arial" w:cs="Arial" w:eastAsia="Arial" w:hAnsi="Arial"/>
          <w:sz w:val="19"/>
          <w:szCs w:val="19"/>
          <w:color w:val="auto"/>
        </w:rPr>
      </w:pPr>
    </w:p>
    <w:p>
      <w:pPr>
        <w:jc w:val="both"/>
        <w:ind w:left="560" w:firstLine="1494"/>
        <w:spacing w:after="0" w:line="242" w:lineRule="auto"/>
        <w:tabs>
          <w:tab w:leader="none" w:pos="245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Each SOFR Notice shall be irrevocable and binding on Borrowers. In connection with each SOFR Loan, each Borrower shall indemnify, defend, and hold Agent and the Lenders harmless against any loss, cost, or expense actually incurred by Agent or any Lender as a result of (A) the payment or required assignment of any principal of any SOFR Loan other than on the last day of an Interest Period applicable thereto (including as a result of an Event of Default), (B) the conversion of any SOFR Loan other than on the last day of the Interest Period applicable thereto, or (C) the failure to borrow, convert, continue or prepay any SOFR Loan on the date specified in any SOFR Notice delivered pursuant hereto (such losses, costs, or expenses, “</w:t>
      </w:r>
      <w:r>
        <w:rPr>
          <w:rFonts w:ascii="Arial" w:cs="Arial" w:eastAsia="Arial" w:hAnsi="Arial"/>
          <w:sz w:val="20"/>
          <w:szCs w:val="20"/>
          <w:u w:val="single" w:color="auto"/>
          <w:color w:val="auto"/>
        </w:rPr>
        <w:t>Funding Losses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left="560" w:firstLine="1494"/>
        <w:spacing w:after="0" w:line="241" w:lineRule="auto"/>
        <w:tabs>
          <w:tab w:leader="none" w:pos="245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 xml:space="preserve">A certificate of Agent or a Lender delivered to Borrowers setting forth in reasonable detail any amount or amounts that Agent or such Lender is entitled to receive pursuant to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conclusive absent manifest error. Borrowers shall pay such amount to Agent or the Lender, as applicable, within 30 days of the date of its receipt of such certificate. If a payment of a SOFR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 amounts to the payment of the applicable SOFR Loan on such last day of such Interest Period, it being agreed that Agent has no obligation to so defer the application of payments to any SOFR Loan and that, in the event that Agent does not defer such application, Borrowers shall be obligated to pay any resulting Funding Losses.</w:t>
      </w:r>
    </w:p>
    <w:p>
      <w:pPr>
        <w:spacing w:after="0" w:line="200" w:lineRule="exact"/>
        <w:rPr>
          <w:rFonts w:ascii="Arial" w:cs="Arial" w:eastAsia="Arial" w:hAnsi="Arial"/>
          <w:sz w:val="20"/>
          <w:szCs w:val="20"/>
          <w:color w:val="auto"/>
        </w:rPr>
      </w:pPr>
    </w:p>
    <w:p>
      <w:pPr>
        <w:ind w:left="560" w:firstLine="1494"/>
        <w:spacing w:after="0" w:line="315" w:lineRule="auto"/>
        <w:tabs>
          <w:tab w:leader="none" w:pos="245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Unless Agent, in its sole discretion, agrees otherwise, Borrowers shall have not more than five SOFR Loans in effect at any given time. Borrowers may only exercise the SOFR Option for proposed SOFR Loans of at least $1,000,000.</w:t>
      </w:r>
    </w:p>
    <w:p>
      <w:pPr>
        <w:spacing w:after="0" w:line="124" w:lineRule="exact"/>
        <w:rPr>
          <w:rFonts w:ascii="Arial" w:cs="Arial" w:eastAsia="Arial" w:hAnsi="Arial"/>
          <w:sz w:val="18"/>
          <w:szCs w:val="18"/>
          <w:color w:val="auto"/>
        </w:rPr>
      </w:pPr>
    </w:p>
    <w:p>
      <w:pPr>
        <w:jc w:val="both"/>
        <w:ind w:firstLine="1493"/>
        <w:spacing w:after="0" w:line="277" w:lineRule="auto"/>
        <w:tabs>
          <w:tab w:leader="none" w:pos="1906"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Conversion; Prepayment</w:t>
      </w:r>
      <w:r>
        <w:rPr>
          <w:rFonts w:ascii="Arial" w:cs="Arial" w:eastAsia="Arial" w:hAnsi="Arial"/>
          <w:sz w:val="18"/>
          <w:szCs w:val="18"/>
          <w:color w:val="auto"/>
        </w:rPr>
        <w:t>. Borrowers may convert SOFR Loans to Base Rate Loans or prepay SOFR Loans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SOFR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for any other reason, including early termination of the term of this Agreement or acceleration of all or any portion of the Obligations pursuant to the terms hereof, each Borrower shall indemnify, defend, and hold Agent and the Lenders and their Participants harmless against any and all Funding Losses in accordance with </w:t>
      </w:r>
      <w:r>
        <w:rPr>
          <w:rFonts w:ascii="Arial" w:cs="Arial" w:eastAsia="Arial" w:hAnsi="Arial"/>
          <w:sz w:val="18"/>
          <w:szCs w:val="18"/>
          <w:u w:val="single" w:color="auto"/>
          <w:color w:val="auto"/>
        </w:rPr>
        <w:t>Section 2.12(b)(ii)</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880" w:hanging="387"/>
        <w:spacing w:after="0"/>
        <w:tabs>
          <w:tab w:leader="none" w:pos="1880" w:val="left"/>
        </w:tabs>
        <w:numPr>
          <w:ilvl w:val="0"/>
          <w:numId w:val="198"/>
        </w:numPr>
        <w:rPr>
          <w:rFonts w:ascii="Arial" w:cs="Arial" w:eastAsia="Arial" w:hAnsi="Arial"/>
          <w:sz w:val="20"/>
          <w:szCs w:val="20"/>
          <w:color w:val="auto"/>
        </w:rPr>
      </w:pPr>
      <w:r>
        <w:rPr>
          <w:rFonts w:ascii="Arial" w:cs="Arial" w:eastAsia="Arial" w:hAnsi="Arial"/>
          <w:sz w:val="20"/>
          <w:szCs w:val="20"/>
          <w:b w:val="1"/>
          <w:bCs w:val="1"/>
          <w:color w:val="auto"/>
        </w:rPr>
        <w:t>Special Provisions Applicable to Adjusted Term SOFR</w:t>
      </w:r>
      <w:r>
        <w:rPr>
          <w:rFonts w:ascii="Arial" w:cs="Arial" w:eastAsia="Arial" w:hAnsi="Arial"/>
          <w:sz w:val="20"/>
          <w:szCs w:val="20"/>
          <w:color w:val="auto"/>
        </w:rPr>
        <w:t>.</w:t>
      </w:r>
    </w:p>
    <w:p>
      <w:pPr>
        <w:spacing w:after="0" w:line="220" w:lineRule="exact"/>
        <w:rPr>
          <w:rFonts w:ascii="Arial" w:cs="Arial" w:eastAsia="Arial" w:hAnsi="Arial"/>
          <w:sz w:val="20"/>
          <w:szCs w:val="20"/>
          <w:color w:val="auto"/>
        </w:rPr>
      </w:pPr>
    </w:p>
    <w:p>
      <w:pPr>
        <w:jc w:val="both"/>
        <w:ind w:left="560" w:right="20" w:firstLine="1494"/>
        <w:spacing w:after="0" w:line="249" w:lineRule="auto"/>
        <w:tabs>
          <w:tab w:leader="none" w:pos="245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 xml:space="preserve">Adjusted Term SOFR may be adjusted by Agent with respect to any Lender on a prospective basis to take into account any additional or increased costs (other than Taxes which shall be governed by </w:t>
      </w:r>
      <w:r>
        <w:rPr>
          <w:rFonts w:ascii="Arial" w:cs="Arial" w:eastAsia="Arial" w:hAnsi="Arial"/>
          <w:sz w:val="20"/>
          <w:szCs w:val="20"/>
          <w:u w:val="single" w:color="auto"/>
          <w:color w:val="auto"/>
        </w:rPr>
        <w:t>Section 16</w:t>
      </w:r>
      <w:r>
        <w:rPr>
          <w:rFonts w:ascii="Arial" w:cs="Arial" w:eastAsia="Arial" w:hAnsi="Arial"/>
          <w:sz w:val="20"/>
          <w:szCs w:val="20"/>
          <w:color w:val="auto"/>
        </w:rPr>
        <w:t>), in each case, due to changes in applicable law occurring</w:t>
      </w: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46" w:right="339" w:bottom="1440" w:gutter="0" w:footer="0" w:header="0"/>
        </w:sectPr>
      </w:pPr>
    </w:p>
    <w:bookmarkStart w:id="207" w:name="page208"/>
    <w:bookmarkEnd w:id="207"/>
    <w:p>
      <w:pPr>
        <w:jc w:val="both"/>
        <w:ind w:left="760"/>
        <w:spacing w:after="0" w:line="256" w:lineRule="auto"/>
        <w:rPr>
          <w:sz w:val="20"/>
          <w:szCs w:val="20"/>
          <w:color w:val="auto"/>
        </w:rPr>
      </w:pPr>
      <w:r>
        <w:rPr>
          <w:rFonts w:ascii="Arial" w:cs="Arial" w:eastAsia="Arial" w:hAnsi="Arial"/>
          <w:sz w:val="19"/>
          <w:szCs w:val="19"/>
          <w:color w:val="auto"/>
        </w:rPr>
        <w:t xml:space="preserve">subsequent to the commencement of the then applicable Interest Period, or pursuant to any Change in Law or change in the reserve requirements imposed by the Board of Governors, which additional or increased costs would increase the cost of funding or maintaining loans bearing interest at Adjusted Term SOFR.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Adjusted Term SOFR and the method for determining the amount of such adjustment, or (B) repay the SOFR Loans or Base Rate Loans determined with reference to Term SOFR, in each case, of such Lender with respect to which such adjustment is made (together with any amounts due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2.12(b)(ii)</w:t>
      </w:r>
      <w:r>
        <w:rPr>
          <w:rFonts w:ascii="Arial" w:cs="Arial" w:eastAsia="Arial" w:hAnsi="Arial"/>
          <w:sz w:val="19"/>
          <w:szCs w:val="19"/>
          <w:color w:val="auto"/>
        </w:rPr>
        <w:t>).</w:t>
      </w:r>
    </w:p>
    <w:p>
      <w:pPr>
        <w:spacing w:after="0" w:line="181" w:lineRule="exact"/>
        <w:rPr>
          <w:sz w:val="20"/>
          <w:szCs w:val="20"/>
          <w:color w:val="auto"/>
        </w:rPr>
      </w:pPr>
    </w:p>
    <w:p>
      <w:pPr>
        <w:jc w:val="both"/>
        <w:ind w:left="760" w:firstLine="1494"/>
        <w:spacing w:after="0" w:line="305" w:lineRule="auto"/>
        <w:tabs>
          <w:tab w:leader="none" w:pos="265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Subject to the provisions set forth in </w:t>
      </w:r>
      <w:r>
        <w:rPr>
          <w:rFonts w:ascii="Arial" w:cs="Arial" w:eastAsia="Arial" w:hAnsi="Arial"/>
          <w:sz w:val="16"/>
          <w:szCs w:val="16"/>
          <w:u w:val="single" w:color="auto"/>
          <w:color w:val="auto"/>
        </w:rPr>
        <w:t>Section 2.12(d)(iii)</w:t>
      </w:r>
      <w:r>
        <w:rPr>
          <w:rFonts w:ascii="Arial" w:cs="Arial" w:eastAsia="Arial" w:hAnsi="Arial"/>
          <w:sz w:val="16"/>
          <w:szCs w:val="16"/>
          <w:color w:val="auto"/>
        </w:rPr>
        <w:t xml:space="preserve"> below, in the event that any change in market conditions or any Change in Law shall at any time after the date hereof, in the reasonable opinion of any Lender, make it unlawful or impractical for such Lender to fund or maintain SOFR Loans (or Base Rate Loans determined with reference to Term SOFR) or to continue such funding or maintaining, or to determine or charge interest rates at the Term SOFR Reference Rate, Adjusted Term SOFR, Term SOFR or SOFR, such Lender shall give notice of such changed circumstances to Agent and Borrowers and Agent promptly shall transmit the notice to each other Lender and (A)(1) in the case of any SOFR Loans of such Lender that are outstanding, such SOFR Loans of such Lender will be deemed to have been converted Base Rate Loans on the last day of the Interest Period of such SOFR Loans, if such Lender may lawfully continue to maintain such SOFR Loans, or immediately, if such Lender may not lawfully continue to maintain such SOFR Loans, and thereafter interest upon the SOFR Loans of such Lender thereafter shall accrue interest at the rate then applicable to Base Rate Loans (and if applicable, without reference to the Term SOFR component thereof) and (2) in the case of any such Base Rate Loans of such Lender that are outstanding and that are determined with reference to Term SOFR, interest upon the Base Rate Loans of such Lender after the date specified in such Lender’s notice shall accrue interest at the rate then applicable to Base Rate Loans without reference to the Term SOFR component thereof and (B) Borrowers shall not be entitled to elect the SOFR Option and Base Rate Loans shall not be determined with reference to the Term SOFR component thereof, in each case, until such Lender determines that it would no longer be unlawful or impractical to do so.</w:t>
      </w:r>
    </w:p>
    <w:p>
      <w:pPr>
        <w:spacing w:after="0" w:line="374" w:lineRule="exact"/>
        <w:rPr>
          <w:rFonts w:ascii="Arial" w:cs="Arial" w:eastAsia="Arial" w:hAnsi="Arial"/>
          <w:sz w:val="16"/>
          <w:szCs w:val="16"/>
          <w:color w:val="auto"/>
        </w:rPr>
      </w:pPr>
    </w:p>
    <w:p>
      <w:pPr>
        <w:ind w:left="2640" w:hanging="386"/>
        <w:spacing w:after="0"/>
        <w:tabs>
          <w:tab w:leader="none" w:pos="2640" w:val="left"/>
        </w:tabs>
        <w:numPr>
          <w:ilvl w:val="0"/>
          <w:numId w:val="199"/>
        </w:numPr>
        <w:rPr>
          <w:rFonts w:ascii="Arial" w:cs="Arial" w:eastAsia="Arial" w:hAnsi="Arial"/>
          <w:sz w:val="20"/>
          <w:szCs w:val="20"/>
          <w:b w:val="1"/>
          <w:bCs w:val="1"/>
          <w:color w:val="auto"/>
        </w:rPr>
      </w:pPr>
      <w:r>
        <w:rPr>
          <w:rFonts w:ascii="Arial" w:cs="Arial" w:eastAsia="Arial" w:hAnsi="Arial"/>
          <w:sz w:val="20"/>
          <w:szCs w:val="20"/>
          <w:b w:val="1"/>
          <w:bCs w:val="1"/>
          <w:color w:val="auto"/>
        </w:rPr>
        <w:t>Benchmark Replacement Setting</w:t>
      </w:r>
      <w:r>
        <w:rPr>
          <w:rFonts w:ascii="Arial" w:cs="Arial" w:eastAsia="Arial" w:hAnsi="Arial"/>
          <w:sz w:val="20"/>
          <w:szCs w:val="20"/>
          <w:color w:val="auto"/>
        </w:rPr>
        <w:t>.</w:t>
      </w:r>
    </w:p>
    <w:p>
      <w:pPr>
        <w:spacing w:after="0" w:line="220" w:lineRule="exact"/>
        <w:rPr>
          <w:rFonts w:ascii="Arial" w:cs="Arial" w:eastAsia="Arial" w:hAnsi="Arial"/>
          <w:sz w:val="20"/>
          <w:szCs w:val="20"/>
          <w:b w:val="1"/>
          <w:bCs w:val="1"/>
          <w:color w:val="auto"/>
        </w:rPr>
      </w:pPr>
    </w:p>
    <w:p>
      <w:pPr>
        <w:jc w:val="both"/>
        <w:ind w:firstLine="3003"/>
        <w:spacing w:after="0" w:line="257" w:lineRule="auto"/>
        <w:tabs>
          <w:tab w:leader="none" w:pos="3404"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upon the occurrence of a Benchmark Transition Event, Agent and Administrative Borrower may amend this Agreement to replace the then-current Benchmark with a Benchmark Replacement. Any such amendment with respect to a Benchmark Transition Event will become effective at 5:00 p.m. on the fifth Business Day after Agent has posted such proposed amendment to all affected Lenders and Administrative Borrower so long as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9"/>
          <w:szCs w:val="19"/>
          <w:u w:val="single" w:color="auto"/>
          <w:color w:val="auto"/>
        </w:rPr>
        <w:t>Section 2.12(d)(iii)</w:t>
      </w:r>
      <w:r>
        <w:rPr>
          <w:rFonts w:ascii="Arial" w:cs="Arial" w:eastAsia="Arial" w:hAnsi="Arial"/>
          <w:sz w:val="19"/>
          <w:szCs w:val="19"/>
          <w:color w:val="auto"/>
        </w:rPr>
        <w:t xml:space="preserve"> will occur prior to the applicable Benchmark Transition Start Date.</w:t>
      </w:r>
    </w:p>
    <w:p>
      <w:pPr>
        <w:spacing w:after="0" w:line="182" w:lineRule="exact"/>
        <w:rPr>
          <w:rFonts w:ascii="Arial" w:cs="Arial" w:eastAsia="Arial" w:hAnsi="Arial"/>
          <w:sz w:val="19"/>
          <w:szCs w:val="19"/>
          <w:color w:val="auto"/>
        </w:rPr>
      </w:pPr>
    </w:p>
    <w:p>
      <w:pPr>
        <w:jc w:val="both"/>
        <w:ind w:firstLine="3003"/>
        <w:spacing w:after="0" w:line="282" w:lineRule="auto"/>
        <w:tabs>
          <w:tab w:leader="none" w:pos="3431"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8" w:name="page209"/>
    <w:bookmarkEnd w:id="208"/>
    <w:p>
      <w:pPr>
        <w:jc w:val="both"/>
        <w:ind w:firstLine="3003"/>
        <w:spacing w:after="0" w:line="272" w:lineRule="auto"/>
        <w:tabs>
          <w:tab w:leader="none" w:pos="339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Agent will promptly notify Administrative Borrower and the Lenders of (1) the implementation of any Benchmark Replacement and (2) the effectiveness of any Conforming Changes in connection with the use, administration, adoption or implementation of a Benchmark Replacement. Agent will notify Administrative Borrower of (I) the removal or reinstatement of any tenor of a Benchmark pursuant to </w:t>
      </w:r>
      <w:r>
        <w:rPr>
          <w:rFonts w:ascii="Arial" w:cs="Arial" w:eastAsia="Arial" w:hAnsi="Arial"/>
          <w:sz w:val="18"/>
          <w:szCs w:val="18"/>
          <w:u w:val="single" w:color="auto"/>
          <w:color w:val="auto"/>
        </w:rPr>
        <w:t>Section 2.12(d)(iii)(D)</w:t>
      </w:r>
      <w:r>
        <w:rPr>
          <w:rFonts w:ascii="Arial" w:cs="Arial" w:eastAsia="Arial" w:hAnsi="Arial"/>
          <w:sz w:val="18"/>
          <w:szCs w:val="18"/>
          <w:color w:val="auto"/>
        </w:rPr>
        <w:t xml:space="preserve"> and (II) the commencement of any Benchmark Unavailability Period. Any determination, decision or election that may be made by Agent or, if applicable, any Lender (or group of Lenders) pursuant to this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2.12(d)(iii)</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3003"/>
        <w:spacing w:after="0" w:line="270" w:lineRule="auto"/>
        <w:tabs>
          <w:tab w:leader="none" w:pos="339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(1) if the then-current Benchmark is a term rate (including the Term SOFR Reference Rate)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not or will not be representative, then Agent may modify the definition of “Interest Period”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Agent may modify the definition of “Interest Period” (or any similar or analogous definition) for all Benchmark settings at or after such time to reinstate such previously removed tenor.</w:t>
      </w:r>
    </w:p>
    <w:p>
      <w:pPr>
        <w:spacing w:after="0" w:line="175" w:lineRule="exact"/>
        <w:rPr>
          <w:rFonts w:ascii="Arial" w:cs="Arial" w:eastAsia="Arial" w:hAnsi="Arial"/>
          <w:sz w:val="18"/>
          <w:szCs w:val="18"/>
          <w:color w:val="auto"/>
        </w:rPr>
      </w:pPr>
    </w:p>
    <w:p>
      <w:pPr>
        <w:jc w:val="both"/>
        <w:ind w:firstLine="3003"/>
        <w:spacing w:after="0" w:line="256" w:lineRule="auto"/>
        <w:tabs>
          <w:tab w:leader="none" w:pos="3431"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Administrative Borrower’s receipt of notice of the commencement of a Benchmark Unavailability Period, (1) Administrative Borrower may revoke any pending request for a borrowing of, conversion to or continuation of SOFR Loans to be made, converted or continued during any Benchmark Unavailability Period and, failing that, Administrative Borrower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9" w:lineRule="exact"/>
        <w:rPr>
          <w:sz w:val="20"/>
          <w:szCs w:val="20"/>
          <w:color w:val="auto"/>
        </w:rPr>
      </w:pPr>
    </w:p>
    <w:p>
      <w:pPr>
        <w:jc w:val="both"/>
        <w:ind w:left="200" w:firstLine="1493"/>
        <w:spacing w:after="0" w:line="252" w:lineRule="auto"/>
        <w:tabs>
          <w:tab w:leader="none" w:pos="2120" w:val="left"/>
        </w:tabs>
        <w:numPr>
          <w:ilvl w:val="0"/>
          <w:numId w:val="201"/>
        </w:numPr>
        <w:rPr>
          <w:rFonts w:ascii="Arial" w:cs="Arial" w:eastAsia="Arial" w:hAnsi="Arial"/>
          <w:sz w:val="20"/>
          <w:szCs w:val="20"/>
          <w:color w:val="auto"/>
        </w:rPr>
      </w:pPr>
      <w:r>
        <w:rPr>
          <w:rFonts w:ascii="Arial" w:cs="Arial" w:eastAsia="Arial" w:hAnsi="Arial"/>
          <w:sz w:val="20"/>
          <w:szCs w:val="20"/>
          <w:b w:val="1"/>
          <w:bCs w:val="1"/>
          <w:color w:val="auto"/>
        </w:rPr>
        <w:t>No Requirement of Matched Funding</w:t>
      </w:r>
      <w:r>
        <w:rPr>
          <w:rFonts w:ascii="Arial" w:cs="Arial" w:eastAsia="Arial" w:hAnsi="Arial"/>
          <w:sz w:val="20"/>
          <w:szCs w:val="20"/>
          <w:color w:val="auto"/>
        </w:rPr>
        <w:t>. Anything to the contrary contained herein notwithstanding,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Agent, nor any Lender, nor any of their Participants, is required actually to match fund any Obligation as to which interest accrues at Adjusted Term SOFR or the Term SOFR Reference Rate.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2.13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Capital Requirements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90" w:lineRule="auto"/>
        <w:tabs>
          <w:tab w:leader="none" w:pos="209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after the date hereof, any Issuing Bank or any Lender determines that (i) any Change in Law regarding capital, liquidity or reserve requirements for banks or bank holding companies, or (ii) compliance by such Issuing Bank or such Lender, or their respective parent bank holding companies, with any guideline, request or directive of any Governmental Authority regarding capital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9" w:name="page210"/>
    <w:bookmarkEnd w:id="209"/>
    <w:p>
      <w:pPr>
        <w:jc w:val="both"/>
        <w:ind w:left="5"/>
        <w:spacing w:after="0" w:line="304" w:lineRule="auto"/>
        <w:rPr>
          <w:sz w:val="20"/>
          <w:szCs w:val="20"/>
          <w:color w:val="auto"/>
        </w:rPr>
      </w:pPr>
      <w:r>
        <w:rPr>
          <w:rFonts w:ascii="Arial" w:cs="Arial" w:eastAsia="Arial" w:hAnsi="Arial"/>
          <w:sz w:val="16"/>
          <w:szCs w:val="16"/>
          <w:color w:val="auto"/>
        </w:rPr>
        <w:t xml:space="preserve">adequacy or liquidity requirements (whether or not having the force of law), has the effect of reducing the return on such Issuing Bank’s, such Lender’s, or such holding companies’ capital or liquidity as a consequence of such Issuing Bank’s or such Lender’s commitments, Loans, participations or other obligations hereunder to a level below that which such Issuing Bank, such Lender, or such holding companies could have achieved but for such Change in Law or compliance (taking into consideration such Issuing Bank’s, such Lender’s, or such holding companies’ then existing policies with respect to capital adequacy or liquidity requirements and assuming the full utilization of such entity’s capital) by any amount deemed by such Issuing Bank or such Lender to be material, then such Issuing Bank or such Lender may notify Borrowers and Agent thereof. Following receipt of such notice, Borrowers agree to pay such Issuing Bank or such Lender on demand the amount of such reduction of return of capital as and when such reduction is determined, payable within 30 days after presentation by such Issuing Bank or such Lender of a statement in the amount and setting forth in reasonable detail such Issuing Bank’s or such Lender’s calculation thereof and the assumptions upon which such calculation was based (which statement shall be deemed true and correct absent manifest error). In determining such amount, such Issuing Bank or such Lender may use any reasonable averaging and attribution methods. Failure or delay on the part of any Issuing Bank or any Lender to demand compensation pursuant to this Section shall not constitute a waiver of such Issuing Bank’s or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Borrowers shall not be required to compensate such Issuing Bank or a Lender pursuant to this Section for any reductions in return incurred more than 180 days prior to the date that such Issuing Bank or such Lender notifies Borrowers of such Change in Law giving rise to such reductions and of such Issuing Bank’s or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claim arises by reason of the Change in Law that is retroactive, then the 180-day period referred to above shall be extended to include the period of retroactive effect thereof. The provisions of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shall survive the termination of this Agreement and the repayment in full of the Obligations.</w:t>
      </w:r>
    </w:p>
    <w:p>
      <w:pPr>
        <w:spacing w:after="0" w:line="380" w:lineRule="exact"/>
        <w:rPr>
          <w:sz w:val="20"/>
          <w:szCs w:val="20"/>
          <w:color w:val="auto"/>
        </w:rPr>
      </w:pPr>
    </w:p>
    <w:p>
      <w:pPr>
        <w:ind w:left="1885" w:hanging="387"/>
        <w:spacing w:after="0"/>
        <w:tabs>
          <w:tab w:leader="none" w:pos="1885"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If Issuing Bank or any Lender requests additional or increased costs referred to in </w:t>
      </w:r>
      <w:r>
        <w:rPr>
          <w:rFonts w:ascii="Arial" w:cs="Arial" w:eastAsia="Arial" w:hAnsi="Arial"/>
          <w:sz w:val="16"/>
          <w:szCs w:val="16"/>
          <w:u w:val="single" w:color="auto"/>
          <w:color w:val="auto"/>
        </w:rPr>
        <w:t>Section 2.11(l)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2.12(d)</w:t>
      </w:r>
    </w:p>
    <w:p>
      <w:pPr>
        <w:spacing w:after="0" w:line="61" w:lineRule="exact"/>
        <w:rPr>
          <w:rFonts w:ascii="Arial" w:cs="Arial" w:eastAsia="Arial" w:hAnsi="Arial"/>
          <w:sz w:val="16"/>
          <w:szCs w:val="16"/>
          <w:color w:val="auto"/>
        </w:rPr>
      </w:pPr>
    </w:p>
    <w:p>
      <w:pPr>
        <w:jc w:val="both"/>
        <w:ind w:left="5" w:hanging="5"/>
        <w:spacing w:after="0" w:line="267" w:lineRule="auto"/>
        <w:tabs>
          <w:tab w:leader="none" w:pos="254" w:val="left"/>
        </w:tabs>
        <w:numPr>
          <w:ilvl w:val="0"/>
          <w:numId w:val="204"/>
        </w:numPr>
        <w:rPr>
          <w:rFonts w:ascii="Arial" w:cs="Arial" w:eastAsia="Arial" w:hAnsi="Arial"/>
          <w:sz w:val="18"/>
          <w:szCs w:val="18"/>
          <w:u w:val="single" w:color="auto"/>
          <w:color w:val="auto"/>
        </w:rPr>
      </w:pPr>
      <w:r>
        <w:rPr>
          <w:rFonts w:ascii="Arial" w:cs="Arial" w:eastAsia="Arial" w:hAnsi="Arial"/>
          <w:sz w:val="18"/>
          <w:szCs w:val="18"/>
          <w:color w:val="auto"/>
        </w:rPr>
        <w:t xml:space="preserve">or amounts under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or sends a notice under </w:t>
      </w:r>
      <w:r>
        <w:rPr>
          <w:rFonts w:ascii="Arial" w:cs="Arial" w:eastAsia="Arial" w:hAnsi="Arial"/>
          <w:sz w:val="18"/>
          <w:szCs w:val="18"/>
          <w:u w:val="single" w:color="auto"/>
          <w:color w:val="auto"/>
        </w:rPr>
        <w:t>Section 2.12(d)(ii)</w:t>
      </w:r>
      <w:r>
        <w:rPr>
          <w:rFonts w:ascii="Arial" w:cs="Arial" w:eastAsia="Arial" w:hAnsi="Arial"/>
          <w:sz w:val="18"/>
          <w:szCs w:val="18"/>
          <w:color w:val="auto"/>
        </w:rPr>
        <w:t xml:space="preserve"> relative to changed circumstances (such Issuing Bank or Lender, an “</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or would eliminate the illegality or impracticality of funding or maintaining SOFR Loans (or Base Rate Loans determined with reference to Term SOFR), and (ii) in the reasonable judgment of such Affected Lender, such designation or assignment would not subject it to any material unreimbursed cost or expense and would not otherwise be materially disadvantageous to it. Borrowers agree to pay all reasonable and documented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or to enable Borrowers to obtain SOFR Loans (or Base Rate Loans determined with reference to Term SOFR), then Borrowers (without prejudice to any amounts then due to such Affected Lender under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may, unless prior to the effective date of any such assignment the Affected Lender withdraws its request for such additional amounts under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as applicable, or indicates that it is no longer unlawful or impractical to fund or maintain SOFR Loans (or Base Rate Loans determined with reference to Term SOFR), may designate a different Issuing Bank or substitute a Lender or prospective Lender, in each case, reasonably acceptable to Agent to purchase the Obligations owed to such Affected Lender and such Affected Lender’s commitments hereunder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and if such Replacement Lender agrees to such purchase, such Affected Lender shall assign to the Replacement Lender its Obligations</w:t>
      </w:r>
    </w:p>
    <w:p>
      <w:pPr>
        <w:spacing w:after="0" w:line="200" w:lineRule="exact"/>
        <w:rPr>
          <w:sz w:val="20"/>
          <w:szCs w:val="20"/>
          <w:color w:val="auto"/>
        </w:rPr>
      </w:pPr>
    </w:p>
    <w:p>
      <w:pPr>
        <w:spacing w:after="0" w:line="212" w:lineRule="exact"/>
        <w:rPr>
          <w:sz w:val="20"/>
          <w:szCs w:val="20"/>
          <w:color w:val="auto"/>
        </w:rPr>
      </w:pPr>
    </w:p>
    <w:p>
      <w:pPr>
        <w:jc w:val="center"/>
        <w:ind w:right="175"/>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113030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5"/>
          </w:cols>
          <w:pgMar w:left="515" w:top="352" w:right="339" w:bottom="1440" w:gutter="0" w:footer="0" w:header="0"/>
        </w:sectPr>
      </w:pPr>
    </w:p>
    <w:bookmarkStart w:id="210" w:name="page211"/>
    <w:bookmarkEnd w:id="210"/>
    <w:p>
      <w:pPr>
        <w:jc w:val="both"/>
        <w:ind w:right="20"/>
        <w:spacing w:after="0" w:line="249" w:lineRule="auto"/>
        <w:rPr>
          <w:sz w:val="20"/>
          <w:szCs w:val="20"/>
          <w:color w:val="auto"/>
        </w:rPr>
      </w:pPr>
      <w:r>
        <w:rPr>
          <w:rFonts w:ascii="Arial" w:cs="Arial" w:eastAsia="Arial" w:hAnsi="Arial"/>
          <w:sz w:val="20"/>
          <w:szCs w:val="20"/>
          <w:color w:val="auto"/>
        </w:rPr>
        <w:t>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188" w:lineRule="exact"/>
        <w:rPr>
          <w:sz w:val="20"/>
          <w:szCs w:val="20"/>
          <w:color w:val="auto"/>
        </w:rPr>
      </w:pPr>
    </w:p>
    <w:p>
      <w:pPr>
        <w:jc w:val="both"/>
        <w:ind w:firstLine="1493"/>
        <w:spacing w:after="0" w:line="257" w:lineRule="auto"/>
        <w:tabs>
          <w:tab w:leader="none" w:pos="189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the protection of </w:t>
      </w:r>
      <w:r>
        <w:rPr>
          <w:rFonts w:ascii="Arial" w:cs="Arial" w:eastAsia="Arial" w:hAnsi="Arial"/>
          <w:sz w:val="19"/>
          <w:szCs w:val="19"/>
          <w:u w:val="single" w:color="auto"/>
          <w:color w:val="auto"/>
        </w:rPr>
        <w:t>Sections 2.11(l)</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shall be available to each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no Issuing Bank or Lender shall demand compensation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if it shall not at the time be the general policy or practice of such Issuing Bank or such Lender (as the case may be) to demand such compensation in similar circumstances under comparable provisions of other credit agreements, if any.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2.14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Incremental Facilities</w:t>
      </w:r>
      <w:r>
        <w:rPr>
          <w:rFonts w:ascii="Arial" w:cs="Arial" w:eastAsia="Arial" w:hAnsi="Arial"/>
          <w:sz w:val="20"/>
          <w:szCs w:val="20"/>
          <w:color w:val="auto"/>
        </w:rPr>
        <w:t>.</w:t>
      </w:r>
    </w:p>
    <w:p>
      <w:pPr>
        <w:spacing w:after="0" w:line="221" w:lineRule="exact"/>
        <w:rPr>
          <w:sz w:val="20"/>
          <w:szCs w:val="20"/>
          <w:color w:val="auto"/>
        </w:rPr>
      </w:pPr>
    </w:p>
    <w:p>
      <w:pPr>
        <w:jc w:val="both"/>
        <w:ind w:firstLine="1493"/>
        <w:spacing w:after="0" w:line="272" w:lineRule="auto"/>
        <w:tabs>
          <w:tab w:leader="none" w:pos="189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 any time during the period from and after the Sixth Restatement Effective Date, at the option of Borrowers (but subject to the conditions set forth in clause (b) below), the Revolver Commitments and the Maximum Revolver Amount may be increased by an amount in the aggregate for all such increases of the Revolver Commitments and the Maximum Revolver Amount not to exceed the Available Increase Amount (each such increase, an “</w:t>
      </w:r>
      <w:r>
        <w:rPr>
          <w:rFonts w:ascii="Arial" w:cs="Arial" w:eastAsia="Arial" w:hAnsi="Arial"/>
          <w:sz w:val="18"/>
          <w:szCs w:val="18"/>
          <w:u w:val="single" w:color="auto"/>
          <w:color w:val="auto"/>
        </w:rPr>
        <w:t>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the Revolver Commitments and the Maximum Revolver Amount be increased by an amount in excess of the Available Increase Amount. Agent may invite one or more Lenders to increase its Revolver Commitments (as the case may be) (it being understood that no Lender shall be obligated to increase its Revolver Commitments) in connection with a proposed Increase and Agent or Borrowers may invite any prospective lender who is reasonably satisfactory to Agent and Borrowers to become a Lender in connection with a proposed Increase. Any Increase shall be in an amount of at least $25,000,000 and integral multiples of $5,000,000 in excess thereof.</w:t>
      </w:r>
    </w:p>
    <w:p>
      <w:pPr>
        <w:spacing w:after="0" w:line="167" w:lineRule="exact"/>
        <w:rPr>
          <w:rFonts w:ascii="Arial" w:cs="Arial" w:eastAsia="Arial" w:hAnsi="Arial"/>
          <w:sz w:val="18"/>
          <w:szCs w:val="18"/>
          <w:color w:val="auto"/>
        </w:rPr>
      </w:pPr>
    </w:p>
    <w:p>
      <w:pPr>
        <w:ind w:right="60" w:firstLine="1493"/>
        <w:spacing w:after="0" w:line="260" w:lineRule="auto"/>
        <w:tabs>
          <w:tab w:leader="none" w:pos="1893" w:val="left"/>
        </w:tabs>
        <w:numPr>
          <w:ilvl w:val="0"/>
          <w:numId w:val="206"/>
        </w:numPr>
        <w:rPr>
          <w:rFonts w:ascii="Arial" w:cs="Arial" w:eastAsia="Arial" w:hAnsi="Arial"/>
          <w:sz w:val="20"/>
          <w:szCs w:val="20"/>
          <w:color w:val="auto"/>
        </w:rPr>
      </w:pPr>
      <w:r>
        <w:rPr>
          <w:rFonts w:ascii="Arial" w:cs="Arial" w:eastAsia="Arial" w:hAnsi="Arial"/>
          <w:sz w:val="20"/>
          <w:szCs w:val="20"/>
          <w:color w:val="auto"/>
        </w:rPr>
        <w:t>Each of the following shall be conditions precedent to any Increase of the Revolver Commitments and the Maximum Revolver Amount in connection therewith:</w:t>
      </w:r>
    </w:p>
    <w:p>
      <w:pPr>
        <w:spacing w:after="0" w:line="175" w:lineRule="exact"/>
        <w:rPr>
          <w:rFonts w:ascii="Arial" w:cs="Arial" w:eastAsia="Arial" w:hAnsi="Arial"/>
          <w:sz w:val="20"/>
          <w:szCs w:val="20"/>
          <w:color w:val="auto"/>
        </w:rPr>
      </w:pPr>
    </w:p>
    <w:p>
      <w:pPr>
        <w:jc w:val="both"/>
        <w:ind w:left="560" w:firstLine="1494"/>
        <w:spacing w:after="0" w:line="282" w:lineRule="auto"/>
        <w:tabs>
          <w:tab w:leader="none" w:pos="2453"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Agent or Borrowers shall have obtained the commitment of one or more Lenders or other prospective lenders reasonably satisfactory to Agent and Borrowers to provide the applicable Increase and any such Lenders or prospective lenders, Borrowers, and Agent have signed a joinder agreement to this Agreement (an “</w:t>
      </w:r>
      <w:r>
        <w:rPr>
          <w:rFonts w:ascii="Arial" w:cs="Arial" w:eastAsia="Arial" w:hAnsi="Arial"/>
          <w:sz w:val="18"/>
          <w:szCs w:val="18"/>
          <w:u w:val="single" w:color="auto"/>
          <w:color w:val="auto"/>
        </w:rPr>
        <w:t>Increase Joinder</w:t>
      </w:r>
      <w:r>
        <w:rPr>
          <w:rFonts w:ascii="Arial" w:cs="Arial" w:eastAsia="Arial" w:hAnsi="Arial"/>
          <w:sz w:val="18"/>
          <w:szCs w:val="18"/>
          <w:color w:val="auto"/>
        </w:rPr>
        <w:t>”), in form and substance reasonably satisfactory to Agent, to which such Lenders or prospective lenders, Borrowers, and Agent are party,</w:t>
      </w:r>
    </w:p>
    <w:p>
      <w:pPr>
        <w:spacing w:after="0" w:line="159" w:lineRule="exact"/>
        <w:rPr>
          <w:rFonts w:ascii="Arial" w:cs="Arial" w:eastAsia="Arial" w:hAnsi="Arial"/>
          <w:sz w:val="18"/>
          <w:szCs w:val="18"/>
          <w:color w:val="auto"/>
        </w:rPr>
      </w:pPr>
    </w:p>
    <w:p>
      <w:pPr>
        <w:ind w:left="560" w:firstLine="1494"/>
        <w:spacing w:after="0" w:line="260" w:lineRule="auto"/>
        <w:tabs>
          <w:tab w:leader="none" w:pos="2453" w:val="left"/>
        </w:tabs>
        <w:numPr>
          <w:ilvl w:val="1"/>
          <w:numId w:val="206"/>
        </w:numPr>
        <w:rPr>
          <w:rFonts w:ascii="Arial" w:cs="Arial" w:eastAsia="Arial" w:hAnsi="Arial"/>
          <w:sz w:val="20"/>
          <w:szCs w:val="20"/>
          <w:color w:val="auto"/>
        </w:rPr>
      </w:pPr>
      <w:r>
        <w:rPr>
          <w:rFonts w:ascii="Arial" w:cs="Arial" w:eastAsia="Arial" w:hAnsi="Arial"/>
          <w:sz w:val="20"/>
          <w:szCs w:val="20"/>
          <w:color w:val="auto"/>
        </w:rPr>
        <w:t xml:space="preserve">each of the conditions precedent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shall be satisfied (or waived in accordance with the terms of this Agreement),</w:t>
      </w:r>
    </w:p>
    <w:p>
      <w:pPr>
        <w:spacing w:after="0" w:line="175" w:lineRule="exact"/>
        <w:rPr>
          <w:rFonts w:ascii="Arial" w:cs="Arial" w:eastAsia="Arial" w:hAnsi="Arial"/>
          <w:sz w:val="20"/>
          <w:szCs w:val="20"/>
          <w:color w:val="auto"/>
        </w:rPr>
      </w:pPr>
    </w:p>
    <w:p>
      <w:pPr>
        <w:jc w:val="both"/>
        <w:ind w:left="560" w:firstLine="1494"/>
        <w:spacing w:after="0" w:line="244" w:lineRule="auto"/>
        <w:tabs>
          <w:tab w:leader="none" w:pos="2453" w:val="left"/>
        </w:tabs>
        <w:numPr>
          <w:ilvl w:val="1"/>
          <w:numId w:val="206"/>
        </w:numPr>
        <w:rPr>
          <w:rFonts w:ascii="Arial" w:cs="Arial" w:eastAsia="Arial" w:hAnsi="Arial"/>
          <w:sz w:val="20"/>
          <w:szCs w:val="20"/>
          <w:color w:val="auto"/>
        </w:rPr>
      </w:pPr>
      <w:r>
        <w:rPr>
          <w:rFonts w:ascii="Arial" w:cs="Arial" w:eastAsia="Arial" w:hAnsi="Arial"/>
          <w:sz w:val="20"/>
          <w:szCs w:val="20"/>
          <w:color w:val="auto"/>
        </w:rPr>
        <w:t>in connection with any Increase, if any Loan Party or any of its Subsidiaries owns or will acquire any Margin Stock, Borrowers shall have delivered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Federal Reserve Board,</w:t>
      </w:r>
    </w:p>
    <w:p>
      <w:pPr>
        <w:spacing w:after="0" w:line="200" w:lineRule="exact"/>
        <w:rPr>
          <w:sz w:val="20"/>
          <w:szCs w:val="20"/>
          <w:color w:val="auto"/>
        </w:rPr>
      </w:pP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11" w:name="page212"/>
    <w:bookmarkEnd w:id="211"/>
    <w:p>
      <w:pPr>
        <w:ind w:left="560" w:right="20" w:firstLine="1494"/>
        <w:spacing w:after="0" w:line="260" w:lineRule="auto"/>
        <w:tabs>
          <w:tab w:leader="none" w:pos="2453" w:val="left"/>
        </w:tabs>
        <w:numPr>
          <w:ilvl w:val="1"/>
          <w:numId w:val="207"/>
        </w:numPr>
        <w:rPr>
          <w:rFonts w:ascii="Arial" w:cs="Arial" w:eastAsia="Arial" w:hAnsi="Arial"/>
          <w:sz w:val="20"/>
          <w:szCs w:val="20"/>
          <w:color w:val="auto"/>
        </w:rPr>
      </w:pPr>
      <w:r>
        <w:rPr>
          <w:rFonts w:ascii="Arial" w:cs="Arial" w:eastAsia="Arial" w:hAnsi="Arial"/>
          <w:sz w:val="20"/>
          <w:szCs w:val="20"/>
          <w:color w:val="auto"/>
        </w:rPr>
        <w:t>Borrowers shall have delivered to Agent updated pro forma Projections (after giving effect to the applicable Increase) for the Loan Parties and their Subsidiaries, and</w:t>
      </w:r>
    </w:p>
    <w:p>
      <w:pPr>
        <w:spacing w:after="0" w:line="175" w:lineRule="exact"/>
        <w:rPr>
          <w:rFonts w:ascii="Arial" w:cs="Arial" w:eastAsia="Arial" w:hAnsi="Arial"/>
          <w:sz w:val="20"/>
          <w:szCs w:val="20"/>
          <w:color w:val="auto"/>
        </w:rPr>
      </w:pPr>
    </w:p>
    <w:p>
      <w:pPr>
        <w:jc w:val="both"/>
        <w:ind w:left="560" w:firstLine="1494"/>
        <w:spacing w:after="0" w:line="271" w:lineRule="auto"/>
        <w:tabs>
          <w:tab w:leader="none" w:pos="245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The terms applicable to Revolving Loans to be made pursuant to the increased Revolver Commitments (but not including upfront fees, arrangement fees, underwriting, or other similar fees) shall be identical to the terms applicable to all other Revolving Loans made under this Agreement immediately before the effectiveness of the increased Revolver Commitments and the Maximum Revolver Amount (meaning, among other things, that the Revolving Loans made pursuant to such increased Revolver Commitments shall not be made as a separate tranche, shall bear interest on the same terms and at the same rate as all other Revolving Loans, and shall be subject to the same mandatory prepayments and Maturity Date as all other Revolving Loans, with it being the express intention of all parties thereto that all Revolving Loans made pursuant to any increased Revolver Commitments be treated the same as all other Revolving Loans made hereunder). Any Increase Joinder may, with the consent of Agent, Borrowers and the Lenders or prospective lenders agreeing to the proposed Increase, effect such amendments to this Agreement and the other Loan Documents as may be necessary to effectuate the provisions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80" w:hanging="387"/>
        <w:spacing w:after="0"/>
        <w:tabs>
          <w:tab w:leader="none" w:pos="18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jc w:val="both"/>
        <w:ind w:firstLine="1493"/>
        <w:spacing w:after="0" w:line="249" w:lineRule="auto"/>
        <w:tabs>
          <w:tab w:leader="none" w:pos="189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Unless otherwise specifically provided herein, all references in this Agreement and any other Loan Document to Revolving Loans shall be deemed, unless the context otherwise requires, to include Revolving Loans made pursuant to the increased Revolver Commitments and Maximum Revolver Amount pursuant to this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firstLine="1493"/>
        <w:spacing w:after="0" w:line="258" w:lineRule="auto"/>
        <w:tabs>
          <w:tab w:leader="none" w:pos="189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Each of the Lenders having a Revolver Commitment before the Increase Date (the </w:t>
      </w:r>
      <w:r>
        <w:rPr>
          <w:rFonts w:ascii="Arial" w:cs="Arial" w:eastAsia="Arial" w:hAnsi="Arial"/>
          <w:sz w:val="19"/>
          <w:szCs w:val="19"/>
          <w:b w:val="1"/>
          <w:bCs w:val="1"/>
          <w:color w:val="auto"/>
        </w:rPr>
        <w:t>“</w:t>
      </w:r>
      <w:r>
        <w:rPr>
          <w:rFonts w:ascii="Arial" w:cs="Arial" w:eastAsia="Arial" w:hAnsi="Arial"/>
          <w:sz w:val="19"/>
          <w:szCs w:val="19"/>
          <w:u w:val="single" w:color="auto"/>
          <w:color w:val="auto"/>
        </w:rPr>
        <w:t>Pre-Increase Revolver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shall assign to any Lender which is acquiring a new or additional Revolver Commitment on the Increase Date (the “</w:t>
      </w:r>
      <w:r>
        <w:rPr>
          <w:rFonts w:ascii="Arial" w:cs="Arial" w:eastAsia="Arial" w:hAnsi="Arial"/>
          <w:sz w:val="19"/>
          <w:szCs w:val="19"/>
          <w:u w:val="single" w:color="auto"/>
          <w:color w:val="auto"/>
        </w:rPr>
        <w:t>Post-Increase Revolver Lenders</w:t>
      </w:r>
      <w:r>
        <w:rPr>
          <w:rFonts w:ascii="Arial" w:cs="Arial" w:eastAsia="Arial" w:hAnsi="Arial"/>
          <w:sz w:val="19"/>
          <w:szCs w:val="19"/>
          <w:color w:val="auto"/>
        </w:rPr>
        <w:t>”), and such Post-Increase Revolver Lenders shall purchase from each Pre-Increase Revolver Lender, at the principal amount thereof, such interests in the Revolving Loans and participation interests in Letters of Credit on such Increase Date as shall be necessary so that, after giving effect to all such assignments and purchases, such Revolving Loans and participation interests in Letters of Credit will be held by Pre-Increase Revolver Lenders and Post-Increase Revolver Lenders ratably in accordance with their Pro Rata Share after giving effect to such increased Revolver Commitments.</w:t>
      </w:r>
    </w:p>
    <w:p>
      <w:pPr>
        <w:spacing w:after="0" w:line="182" w:lineRule="exact"/>
        <w:rPr>
          <w:rFonts w:ascii="Arial" w:cs="Arial" w:eastAsia="Arial" w:hAnsi="Arial"/>
          <w:sz w:val="19"/>
          <w:szCs w:val="19"/>
          <w:color w:val="auto"/>
        </w:rPr>
      </w:pPr>
    </w:p>
    <w:p>
      <w:pPr>
        <w:jc w:val="both"/>
        <w:ind w:firstLine="1493"/>
        <w:spacing w:after="0" w:line="242" w:lineRule="auto"/>
        <w:tabs>
          <w:tab w:leader="none" w:pos="189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The Revolving Loans, Revolver Commitments, and Maximum Revolver Amount established pursuant to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shall constitute Revolving Loans, Revolver Commitments, and Maximum Revolver Amount under, and shall be entitled to all the benefits afforded by, this Agreement and the other Loan Documents, and shall, without limiting the foregoing, benefit equally and ratably from any guarantees and the security interests created by the Loan Documents. Borrowers shall take any actions reasonably required by Agent to ensure and demonstrate that the Liens and security interests granted by the Loan Documents continue to be perfected under the Code or otherwise after giving effect to the establishment of any such new Revolver Commitments and Maximum Revolver Amount.</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2.15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Joint and Several Liability of Borrowers</w:t>
      </w:r>
      <w:r>
        <w:rPr>
          <w:rFonts w:ascii="Arial" w:cs="Arial" w:eastAsia="Arial" w:hAnsi="Arial"/>
          <w:sz w:val="20"/>
          <w:szCs w:val="20"/>
          <w:color w:val="auto"/>
        </w:rPr>
        <w:t>.</w:t>
      </w:r>
    </w:p>
    <w:p>
      <w:pPr>
        <w:spacing w:after="0" w:line="221" w:lineRule="exact"/>
        <w:rPr>
          <w:sz w:val="20"/>
          <w:szCs w:val="20"/>
          <w:color w:val="auto"/>
        </w:rPr>
      </w:pPr>
    </w:p>
    <w:p>
      <w:pPr>
        <w:jc w:val="both"/>
        <w:ind w:right="20" w:firstLine="1493"/>
        <w:spacing w:after="0" w:line="246" w:lineRule="auto"/>
        <w:tabs>
          <w:tab w:leader="none" w:pos="189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Each Borrower is accepting joint and several liability hereunder and under the other Loan Documents in consideration of the financial accommodations to be provided by the Lender Group under this Agreement, for the mutual benefit, directly and indirectly, of each Borrower and in consideration of the undertakings of the other Borrowers to accept joint and several liability for the Obligations.</w:t>
      </w: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12" w:name="page213"/>
    <w:bookmarkEnd w:id="212"/>
    <w:p>
      <w:pPr>
        <w:jc w:val="both"/>
        <w:ind w:firstLine="1493"/>
        <w:spacing w:after="0" w:line="243" w:lineRule="auto"/>
        <w:tabs>
          <w:tab w:leader="none" w:pos="189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Arial" w:cs="Arial" w:eastAsia="Arial" w:hAnsi="Arial"/>
          <w:sz w:val="20"/>
          <w:szCs w:val="20"/>
          <w:u w:val="single" w:color="auto"/>
          <w:color w:val="auto"/>
        </w:rPr>
        <w:t>Section 2.15</w:t>
      </w:r>
      <w:r>
        <w:rPr>
          <w:rFonts w:ascii="Arial" w:cs="Arial" w:eastAsia="Arial" w:hAnsi="Arial"/>
          <w:sz w:val="20"/>
          <w:szCs w:val="20"/>
          <w:color w:val="auto"/>
        </w:rPr>
        <w:t>), but excluding any Excluded Swap Obligations for such Borrower,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spacing w:after="0" w:line="194" w:lineRule="exact"/>
        <w:rPr>
          <w:rFonts w:ascii="Arial" w:cs="Arial" w:eastAsia="Arial" w:hAnsi="Arial"/>
          <w:sz w:val="20"/>
          <w:szCs w:val="20"/>
          <w:color w:val="auto"/>
        </w:rPr>
      </w:pPr>
    </w:p>
    <w:p>
      <w:pPr>
        <w:jc w:val="both"/>
        <w:ind w:firstLine="1493"/>
        <w:spacing w:after="0" w:line="263" w:lineRule="auto"/>
        <w:tabs>
          <w:tab w:leader="none" w:pos="189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spacing w:after="0" w:line="174" w:lineRule="exact"/>
        <w:rPr>
          <w:rFonts w:ascii="Arial" w:cs="Arial" w:eastAsia="Arial" w:hAnsi="Arial"/>
          <w:sz w:val="19"/>
          <w:szCs w:val="19"/>
          <w:color w:val="auto"/>
        </w:rPr>
      </w:pPr>
    </w:p>
    <w:p>
      <w:pPr>
        <w:jc w:val="both"/>
        <w:ind w:firstLine="1493"/>
        <w:spacing w:after="0" w:line="246" w:lineRule="auto"/>
        <w:tabs>
          <w:tab w:leader="none" w:pos="189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The Obligations of each Borrower under the provisions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Arial" w:cs="Arial" w:eastAsia="Arial" w:hAnsi="Arial"/>
          <w:sz w:val="20"/>
          <w:szCs w:val="20"/>
          <w:u w:val="single" w:color="auto"/>
          <w:color w:val="auto"/>
        </w:rPr>
        <w:t>Section 2.15(d)</w:t>
      </w:r>
      <w:r>
        <w:rPr>
          <w:rFonts w:ascii="Arial" w:cs="Arial" w:eastAsia="Arial" w:hAnsi="Arial"/>
          <w:sz w:val="20"/>
          <w:szCs w:val="20"/>
          <w:color w:val="auto"/>
        </w:rPr>
        <w:t>) or any other circumstances whatsoever.</w:t>
      </w:r>
    </w:p>
    <w:p>
      <w:pPr>
        <w:spacing w:after="0" w:line="189" w:lineRule="exact"/>
        <w:rPr>
          <w:rFonts w:ascii="Arial" w:cs="Arial" w:eastAsia="Arial" w:hAnsi="Arial"/>
          <w:sz w:val="20"/>
          <w:szCs w:val="20"/>
          <w:color w:val="auto"/>
        </w:rPr>
      </w:pPr>
    </w:p>
    <w:p>
      <w:pPr>
        <w:jc w:val="both"/>
        <w:ind w:firstLine="1493"/>
        <w:spacing w:after="0" w:line="267" w:lineRule="auto"/>
        <w:tabs>
          <w:tab w:leader="none" w:pos="18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Agent or Lenders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Borrower may now or at any time hereafter have against any other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any member of the Lender Group or any Bank Product Provider including any defense based upon an impairment or elimination of such Borrower’s rights of subrogation, reimbursement, contribution, or indemnity of such Borrower against any other Borrower (in each case other than a defense of payment or performance of the Obligations to the extent of such payment or performance).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w:t>
      </w:r>
    </w:p>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13" w:name="page214"/>
    <w:bookmarkEnd w:id="213"/>
    <w:p>
      <w:pPr>
        <w:jc w:val="both"/>
        <w:spacing w:after="0" w:line="268" w:lineRule="auto"/>
        <w:rPr>
          <w:sz w:val="20"/>
          <w:szCs w:val="20"/>
          <w:color w:val="auto"/>
        </w:rPr>
      </w:pPr>
      <w:r>
        <w:rPr>
          <w:rFonts w:ascii="Arial" w:cs="Arial" w:eastAsia="Arial" w:hAnsi="Arial"/>
          <w:sz w:val="18"/>
          <w:szCs w:val="18"/>
          <w:color w:val="auto"/>
        </w:rPr>
        <w:t xml:space="preserve">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any Agent or Lender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afford grounds for terminating, discharging or relieving any Borrower, in whole or in part, from any of its Obligations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it being the intention of each Borrower that, so long as any of the Obligations hereunder remain unsatisfied, the Obligations of each Borrower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discharged except by performance and then only to the extent of such performance. The Obligations of each Borrower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diminished or rendered unenforceable by any winding up, reorganization, arrangement, liquidation, reconstruction or similar proceeding with respect to any other Borrower or any Agent or Lender.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or performance of the Obligations to the extent of such payment or performance, based on or arising out of the disability of any Borrower or any other Person, or the validity, legality, or unenforceability of the Obligations or any part thereof from any cause, or the cessation from any cause of the liability of any Borrower other than payment of the Obligations to the extent of such payment. Agent may,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 any other member of the Lender Group, or any Bank Product Provider may have against any Borrower or any other Person, or any security, in each case, without affecting or impairing in any way the liability of any of the Borrowers hereunder except to the extent the Obligations have been paid or performed.</w:t>
      </w:r>
    </w:p>
    <w:p>
      <w:pPr>
        <w:spacing w:after="0" w:line="174" w:lineRule="exact"/>
        <w:rPr>
          <w:sz w:val="20"/>
          <w:szCs w:val="20"/>
          <w:color w:val="auto"/>
        </w:rPr>
      </w:pPr>
    </w:p>
    <w:p>
      <w:pPr>
        <w:jc w:val="both"/>
        <w:ind w:firstLine="1493"/>
        <w:spacing w:after="0" w:line="243" w:lineRule="auto"/>
        <w:tabs>
          <w:tab w:leader="none" w:pos="1893" w:val="left"/>
        </w:tabs>
        <w:numPr>
          <w:ilvl w:val="0"/>
          <w:numId w:val="211"/>
        </w:numPr>
        <w:rPr>
          <w:rFonts w:ascii="Arial" w:cs="Arial" w:eastAsia="Arial" w:hAnsi="Arial"/>
          <w:sz w:val="20"/>
          <w:szCs w:val="20"/>
          <w:color w:val="auto"/>
        </w:rPr>
      </w:pPr>
      <w:r>
        <w:rPr>
          <w:rFonts w:ascii="Arial" w:cs="Arial" w:eastAsia="Arial" w:hAnsi="Arial"/>
          <w:sz w:val="20"/>
          <w:szCs w:val="20"/>
          <w:color w:val="auto"/>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spacing w:after="0" w:line="194" w:lineRule="exact"/>
        <w:rPr>
          <w:rFonts w:ascii="Arial" w:cs="Arial" w:eastAsia="Arial" w:hAnsi="Arial"/>
          <w:sz w:val="20"/>
          <w:szCs w:val="20"/>
          <w:color w:val="auto"/>
        </w:rPr>
      </w:pPr>
    </w:p>
    <w:p>
      <w:pPr>
        <w:jc w:val="both"/>
        <w:ind w:firstLine="1493"/>
        <w:spacing w:after="0" w:line="255" w:lineRule="auto"/>
        <w:tabs>
          <w:tab w:leader="none" w:pos="189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are made for the benefit of Agent, each member of the Lender Group, each Bank Product Provider, and their respective successors and assigns, and may be enforced by it or them from time to time against any or all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will forthwith be reinstated in effect, as though such payment had not been made.</w:t>
      </w:r>
    </w:p>
    <w:p>
      <w:pPr>
        <w:spacing w:after="0" w:line="200" w:lineRule="exact"/>
        <w:rPr>
          <w:sz w:val="20"/>
          <w:szCs w:val="20"/>
          <w:color w:val="auto"/>
        </w:rPr>
      </w:pPr>
    </w:p>
    <w:p>
      <w:pPr>
        <w:spacing w:after="0" w:line="2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14" w:name="page215"/>
    <w:bookmarkEnd w:id="214"/>
    <w:p>
      <w:pPr>
        <w:jc w:val="both"/>
        <w:ind w:firstLine="1493"/>
        <w:spacing w:after="0" w:line="268" w:lineRule="auto"/>
        <w:tabs>
          <w:tab w:leader="none" w:pos="189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Each Borrower hereby agrees that it will not enforce any of its rights that arise from the existence, payment, performance or enforcement of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including rights of subrogation, reimbursement, exoneration, contribution or indemnification and any right to participate in any claim or remedy of Agent, any other member of the Lender Group, or any Bank Product Provider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any Agent or any member of the Lender Group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Agent, for the benefit of the Lender Group and the Bank Product Providers, and shall forthwith be paid to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Arial" w:cs="Arial" w:eastAsia="Arial" w:hAnsi="Arial"/>
          <w:sz w:val="18"/>
          <w:szCs w:val="18"/>
          <w:u w:val="single" w:color="auto"/>
          <w:color w:val="auto"/>
        </w:rPr>
        <w:t>Foreclosed Borrower</w:t>
      </w:r>
      <w:r>
        <w:rPr>
          <w:rFonts w:ascii="Arial" w:cs="Arial" w:eastAsia="Arial" w:hAnsi="Arial"/>
          <w:sz w:val="18"/>
          <w:szCs w:val="18"/>
          <w:color w:val="auto"/>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spacing w:after="0" w:line="175" w:lineRule="exact"/>
        <w:rPr>
          <w:rFonts w:ascii="Arial" w:cs="Arial" w:eastAsia="Arial" w:hAnsi="Arial"/>
          <w:sz w:val="18"/>
          <w:szCs w:val="18"/>
          <w:color w:val="auto"/>
        </w:rPr>
      </w:pPr>
    </w:p>
    <w:p>
      <w:pPr>
        <w:jc w:val="both"/>
        <w:ind w:firstLine="1493"/>
        <w:spacing w:after="0" w:line="260" w:lineRule="auto"/>
        <w:tabs>
          <w:tab w:leader="none" w:pos="189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Each of the Borrowers hereby acknowledges and affirms that it understands that to the extent the Obligations are secured by Real Property located in California, the Borrowers shall be liable for the full amount of the liability hereunder notwithstanding the foreclosure on such Real Property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Obligations have been paid in full:</w:t>
      </w:r>
    </w:p>
    <w:p>
      <w:pPr>
        <w:spacing w:after="0" w:line="178" w:lineRule="exact"/>
        <w:rPr>
          <w:rFonts w:ascii="Arial" w:cs="Arial" w:eastAsia="Arial" w:hAnsi="Arial"/>
          <w:sz w:val="19"/>
          <w:szCs w:val="19"/>
          <w:color w:val="auto"/>
        </w:rPr>
      </w:pPr>
    </w:p>
    <w:p>
      <w:pPr>
        <w:jc w:val="both"/>
        <w:ind w:left="560" w:right="20" w:firstLine="1494"/>
        <w:spacing w:after="0" w:line="249" w:lineRule="auto"/>
        <w:tabs>
          <w:tab w:leader="none" w:pos="2453" w:val="left"/>
        </w:tabs>
        <w:numPr>
          <w:ilvl w:val="1"/>
          <w:numId w:val="212"/>
        </w:numPr>
        <w:rPr>
          <w:rFonts w:ascii="Arial" w:cs="Arial" w:eastAsia="Arial" w:hAnsi="Arial"/>
          <w:sz w:val="20"/>
          <w:szCs w:val="20"/>
          <w:color w:val="auto"/>
        </w:rPr>
      </w:pPr>
      <w:r>
        <w:rPr>
          <w:rFonts w:ascii="Arial" w:cs="Arial" w:eastAsia="Arial" w:hAnsi="Arial"/>
          <w:sz w:val="20"/>
          <w:szCs w:val="20"/>
          <w:color w:val="auto"/>
        </w:rPr>
        <w:t>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spacing w:after="0" w:line="187" w:lineRule="exact"/>
        <w:rPr>
          <w:rFonts w:ascii="Arial" w:cs="Arial" w:eastAsia="Arial" w:hAnsi="Arial"/>
          <w:sz w:val="20"/>
          <w:szCs w:val="20"/>
          <w:color w:val="auto"/>
        </w:rPr>
      </w:pPr>
    </w:p>
    <w:p>
      <w:pPr>
        <w:ind w:left="2440" w:hanging="386"/>
        <w:spacing w:after="0"/>
        <w:tabs>
          <w:tab w:leader="none" w:pos="244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14" w:lineRule="exact"/>
        <w:rPr>
          <w:rFonts w:ascii="Arial" w:cs="Arial" w:eastAsia="Arial" w:hAnsi="Arial"/>
          <w:sz w:val="20"/>
          <w:szCs w:val="20"/>
          <w:color w:val="auto"/>
        </w:rPr>
      </w:pPr>
    </w:p>
    <w:p>
      <w:pPr>
        <w:jc w:val="both"/>
        <w:ind w:left="560" w:firstLine="1494"/>
        <w:spacing w:after="0" w:line="244" w:lineRule="auto"/>
        <w:tabs>
          <w:tab w:leader="none" w:pos="2453" w:val="left"/>
        </w:tabs>
        <w:numPr>
          <w:ilvl w:val="1"/>
          <w:numId w:val="212"/>
        </w:numPr>
        <w:rPr>
          <w:rFonts w:ascii="Arial" w:cs="Arial" w:eastAsia="Arial" w:hAnsi="Arial"/>
          <w:sz w:val="20"/>
          <w:szCs w:val="20"/>
          <w:color w:val="auto"/>
        </w:rPr>
      </w:pPr>
      <w:r>
        <w:rPr>
          <w:rFonts w:ascii="Arial" w:cs="Arial" w:eastAsia="Arial" w:hAnsi="Arial"/>
          <w:sz w:val="20"/>
          <w:szCs w:val="20"/>
          <w:color w:val="auto"/>
        </w:rPr>
        <w:t>all rights and defenses arising out of an election of remedies by Agent, the other members of the Lender Group, and the Bank Product Providers, even though that election of remedies, such as a nonjudicial foreclosure with respect to security for the Obligations, has destroyed the Borrowers’ rights of subrogation and reimbursement against any other Loan Party by the operation of Section 580d of the California Code of Civil Procedure or any similar laws of any other applicable jurisdiction or otherwise.</w:t>
      </w:r>
    </w:p>
    <w:p>
      <w:pPr>
        <w:spacing w:after="0" w:line="200" w:lineRule="exact"/>
        <w:rPr>
          <w:sz w:val="20"/>
          <w:szCs w:val="20"/>
          <w:color w:val="auto"/>
        </w:rPr>
      </w:pP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15" w:name="page216"/>
    <w:bookmarkEnd w:id="215"/>
    <w:p>
      <w:pPr>
        <w:ind w:left="400" w:hanging="392"/>
        <w:spacing w:after="0"/>
        <w:tabs>
          <w:tab w:leader="none" w:pos="400" w:val="left"/>
        </w:tabs>
        <w:numPr>
          <w:ilvl w:val="0"/>
          <w:numId w:val="213"/>
        </w:numPr>
        <w:rPr>
          <w:rFonts w:ascii="Arial" w:cs="Arial" w:eastAsia="Arial" w:hAnsi="Arial"/>
          <w:sz w:val="20"/>
          <w:szCs w:val="20"/>
          <w:color w:val="auto"/>
        </w:rPr>
      </w:pPr>
      <w:r>
        <w:rPr>
          <w:rFonts w:ascii="Arial" w:cs="Arial" w:eastAsia="Arial" w:hAnsi="Arial"/>
          <w:sz w:val="20"/>
          <w:szCs w:val="20"/>
          <w:b w:val="1"/>
          <w:bCs w:val="1"/>
          <w:color w:val="auto"/>
        </w:rPr>
        <w:t>CONDITIONS; TERM OF AGREEMENT.</w:t>
      </w:r>
    </w:p>
    <w:p>
      <w:pPr>
        <w:spacing w:after="0" w:line="21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3.1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Conditions Precedent to Sixth Restatement Effective Date</w:t>
      </w:r>
      <w:r>
        <w:rPr>
          <w:rFonts w:ascii="Arial" w:cs="Arial" w:eastAsia="Arial" w:hAnsi="Arial"/>
          <w:sz w:val="20"/>
          <w:szCs w:val="20"/>
          <w:color w:val="auto"/>
        </w:rPr>
        <w:t xml:space="preserve">. The effectiveness of this Agreement and the obligation of each Lender to make the extensions of credit provided for hereunder is subject to the fulfillment, to the satisfaction of Agent and each Lender, of each of the conditions precedent set forth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to this Agreement (the making of such initial extensions of credit by a Lender being conclusively deemed to be its satisfaction or waiver of the conditions precedent).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Conditions Precedent to all Extensions of Credit</w:t>
      </w:r>
      <w:r>
        <w:rPr>
          <w:rFonts w:ascii="Arial" w:cs="Arial" w:eastAsia="Arial" w:hAnsi="Arial"/>
          <w:sz w:val="18"/>
          <w:szCs w:val="18"/>
          <w:color w:val="auto"/>
        </w:rPr>
        <w:t>. The obligation of the Lender Group (or any member thereof) to make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Revolving Loans hereunder (or to extend any other credit hereunder) at any time shall be subject to the following conditions precedent:</w:t>
      </w:r>
    </w:p>
    <w:p>
      <w:pPr>
        <w:spacing w:after="0" w:line="222" w:lineRule="exact"/>
        <w:rPr>
          <w:sz w:val="20"/>
          <w:szCs w:val="20"/>
          <w:color w:val="auto"/>
        </w:rPr>
      </w:pPr>
    </w:p>
    <w:p>
      <w:pPr>
        <w:jc w:val="both"/>
        <w:ind w:left="200" w:right="20" w:firstLine="1493"/>
        <w:spacing w:after="0" w:line="244" w:lineRule="auto"/>
        <w:tabs>
          <w:tab w:leader="none" w:pos="209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each of the representations and warranties made by each Loan Party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and</w:t>
      </w:r>
    </w:p>
    <w:p>
      <w:pPr>
        <w:spacing w:after="0" w:line="192" w:lineRule="exact"/>
        <w:rPr>
          <w:rFonts w:ascii="Arial" w:cs="Arial" w:eastAsia="Arial" w:hAnsi="Arial"/>
          <w:sz w:val="20"/>
          <w:szCs w:val="20"/>
          <w:color w:val="auto"/>
        </w:rPr>
      </w:pPr>
    </w:p>
    <w:p>
      <w:pPr>
        <w:ind w:left="200" w:right="20" w:firstLine="1493"/>
        <w:spacing w:after="0" w:line="260" w:lineRule="auto"/>
        <w:tabs>
          <w:tab w:leader="none" w:pos="209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on the date of such extension of credit or would occur immediately after giving effect to such extension of credit;</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Revolving Loans or any incremental facilities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in each case, incurred to finance a Limited Condition Acquisition, the foregoing conditions shall be subject in all respects to </w:t>
      </w:r>
      <w:r>
        <w:rPr>
          <w:rFonts w:ascii="Arial" w:cs="Arial" w:eastAsia="Arial" w:hAnsi="Arial"/>
          <w:sz w:val="20"/>
          <w:szCs w:val="20"/>
          <w:u w:val="single" w:color="auto"/>
          <w:color w:val="auto"/>
        </w:rPr>
        <w:t>Section 1.7</w:t>
      </w:r>
      <w:r>
        <w:rPr>
          <w:rFonts w:ascii="Arial" w:cs="Arial" w:eastAsia="Arial" w:hAnsi="Arial"/>
          <w:sz w:val="20"/>
          <w:szCs w:val="20"/>
          <w:color w:val="auto"/>
        </w:rPr>
        <w:t>.</w:t>
      </w:r>
    </w:p>
    <w:p>
      <w:pPr>
        <w:spacing w:after="0" w:line="170"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u w:val="single" w:color="auto"/>
          <w:color w:val="auto"/>
        </w:rPr>
        <w:t>3.3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Maturity</w:t>
      </w:r>
      <w:r>
        <w:rPr>
          <w:rFonts w:ascii="Arial" w:cs="Arial" w:eastAsia="Arial" w:hAnsi="Arial"/>
          <w:sz w:val="20"/>
          <w:szCs w:val="20"/>
          <w:color w:val="auto"/>
        </w:rPr>
        <w:t>. The Commitments shall continue in full force and effect for a term ending on the Maturity Date (unless terminated earlier in accordance with the terms hereof).</w:t>
      </w:r>
    </w:p>
    <w:p>
      <w:pPr>
        <w:spacing w:after="0" w:line="16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Effect of Maturity</w:t>
      </w:r>
      <w:r>
        <w:rPr>
          <w:rFonts w:ascii="Arial" w:cs="Arial" w:eastAsia="Arial" w:hAnsi="Arial"/>
          <w:sz w:val="18"/>
          <w:szCs w:val="18"/>
          <w:color w:val="auto"/>
        </w:rPr>
        <w:t>. On the Maturity Date, all commitments of the Lender Group to provide additional credit hereunder shall 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When all of the Obligations have been paid in full,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Early Termination by Borrowers</w:t>
      </w:r>
      <w:r>
        <w:rPr>
          <w:rFonts w:ascii="Arial" w:cs="Arial" w:eastAsia="Arial" w:hAnsi="Arial"/>
          <w:sz w:val="19"/>
          <w:szCs w:val="19"/>
          <w:color w:val="auto"/>
        </w:rPr>
        <w:t>. Borrowers have the option, at any time upon ten days prior written notice to Agent, to repay all of the Obligations in full and terminate the Commitments. The foregoing notwithstanding, (a) Borrowers may rescind termination notices relative to proposed payments in full of the Obligations with the proceeds of third party Indebtedness if the closing for such issuance or incurrence does not happen on or before the date of the proposed termination (in which case, a new notice shall be required to be sent in connection with any subsequent termination), and (b) Borrowers may extend the date of termination at any time with the consent of Agent (which consent shall not be unreasonably withheld, conditioned or delayed).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6" w:name="page217"/>
    <w:bookmarkEnd w:id="216"/>
    <w:p>
      <w:pPr>
        <w:jc w:val="both"/>
        <w:ind w:firstLine="749"/>
        <w:spacing w:after="0" w:line="262" w:lineRule="auto"/>
        <w:rPr>
          <w:sz w:val="20"/>
          <w:szCs w:val="20"/>
          <w:color w:val="auto"/>
        </w:rPr>
      </w:pP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Post-Closing Covenants</w:t>
      </w:r>
      <w:r>
        <w:rPr>
          <w:rFonts w:ascii="Arial" w:cs="Arial" w:eastAsia="Arial" w:hAnsi="Arial"/>
          <w:sz w:val="19"/>
          <w:szCs w:val="19"/>
          <w:color w:val="auto"/>
        </w:rPr>
        <w:t xml:space="preserve">. The obligation of the Lender Group (or any member thereof) to continue to make Revolving Loans (or otherwise extend credit hereunder) is subject to the fulfillment, on or before the date applicable thereto, of the post-closing covenants set forth on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to this 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69" w:lineRule="exact"/>
        <w:rPr>
          <w:sz w:val="20"/>
          <w:szCs w:val="20"/>
          <w:color w:val="auto"/>
        </w:rPr>
      </w:pPr>
    </w:p>
    <w:p>
      <w:pPr>
        <w:ind w:left="400" w:hanging="392"/>
        <w:spacing w:after="0"/>
        <w:tabs>
          <w:tab w:leader="none" w:pos="400" w:val="left"/>
        </w:tabs>
        <w:numPr>
          <w:ilvl w:val="0"/>
          <w:numId w:val="215"/>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p>
    <w:p>
      <w:pPr>
        <w:spacing w:after="0" w:line="221" w:lineRule="exact"/>
        <w:rPr>
          <w:sz w:val="20"/>
          <w:szCs w:val="20"/>
          <w:color w:val="auto"/>
        </w:rPr>
      </w:pPr>
    </w:p>
    <w:p>
      <w:pPr>
        <w:jc w:val="both"/>
        <w:ind w:firstLine="1498"/>
        <w:spacing w:after="0" w:line="271" w:lineRule="auto"/>
        <w:rPr>
          <w:sz w:val="20"/>
          <w:szCs w:val="20"/>
          <w:color w:val="auto"/>
        </w:rPr>
      </w:pPr>
      <w:r>
        <w:rPr>
          <w:rFonts w:ascii="Arial" w:cs="Arial" w:eastAsia="Arial" w:hAnsi="Arial"/>
          <w:sz w:val="18"/>
          <w:szCs w:val="18"/>
          <w:color w:val="auto"/>
        </w:rPr>
        <w:t>To induce the Lender Group to enter into this Agreement,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Sixth Restatement Effective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Due Organization and Qualification; Restricted Subsidiaries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3" w:lineRule="auto"/>
        <w:tabs>
          <w:tab w:leader="none" w:pos="209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Parent and each of its Restricted Subsidiaries (i) is duly organized and existing and in good standing under the laws of the jurisdiction of its organization, (ii) is qualified to do business in any state where the failure to be so qualified could reasonably be expected to result in a Material Adverse Effect, (iii) except as could not reasonably be expected to have a Material Adverse Effect, has all requisite power and authority to own and operate its properties, to carry on its business as now conducted and as proposed to be conducted and (iv) has all requisite power and authority to enter into the Loan Documents to which it is a party and to carry out the transactions contemplated thereby.</w:t>
      </w:r>
    </w:p>
    <w:p>
      <w:pPr>
        <w:spacing w:after="0" w:line="194" w:lineRule="exact"/>
        <w:rPr>
          <w:rFonts w:ascii="Arial" w:cs="Arial" w:eastAsia="Arial" w:hAnsi="Arial"/>
          <w:sz w:val="20"/>
          <w:szCs w:val="20"/>
          <w:color w:val="auto"/>
        </w:rPr>
      </w:pPr>
    </w:p>
    <w:p>
      <w:pPr>
        <w:jc w:val="both"/>
        <w:ind w:left="200" w:firstLine="1493"/>
        <w:spacing w:after="0" w:line="258" w:lineRule="auto"/>
        <w:tabs>
          <w:tab w:leader="none" w:pos="209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4.1(b)</w:t>
      </w:r>
      <w:r>
        <w:rPr>
          <w:rFonts w:ascii="Arial" w:cs="Arial" w:eastAsia="Arial" w:hAnsi="Arial"/>
          <w:sz w:val="19"/>
          <w:szCs w:val="19"/>
          <w:color w:val="auto"/>
        </w:rPr>
        <w:t xml:space="preserve"> to this Agreement is a complete and accurate description of the authorized Equity Interests of each of Parent’s direct and indirect Restricted Subsidiaries as of the Sixth Restatement Effective Date, showing (i) the number of shares of each class of common and preferred Equity Interests authorized for each of such Restricted Subsidiaries and (ii) the number and the percentage of the outstanding shares of each such class owned directly or indirectly by Parent. All of the outstanding Equity Interests of each such Restricted Subsidiary have been validly issued and (to the extent applicable) are fully paid and non-assessable. As of the Sixth Restatement Effective Date, there are no Unrestricted Subsidiaries.</w:t>
      </w:r>
    </w:p>
    <w:p>
      <w:pPr>
        <w:spacing w:after="0" w:line="181" w:lineRule="exact"/>
        <w:rPr>
          <w:rFonts w:ascii="Arial" w:cs="Arial" w:eastAsia="Arial" w:hAnsi="Arial"/>
          <w:sz w:val="19"/>
          <w:szCs w:val="19"/>
          <w:color w:val="auto"/>
        </w:rPr>
      </w:pPr>
    </w:p>
    <w:p>
      <w:pPr>
        <w:ind w:left="2080" w:hanging="387"/>
        <w:spacing w:after="0"/>
        <w:tabs>
          <w:tab w:leader="none" w:pos="208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jc w:val="both"/>
        <w:ind w:left="200" w:firstLine="1493"/>
        <w:spacing w:after="0" w:line="282" w:lineRule="auto"/>
        <w:tabs>
          <w:tab w:leader="none" w:pos="20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4.1(d)</w:t>
      </w:r>
      <w:r>
        <w:rPr>
          <w:rFonts w:ascii="Arial" w:cs="Arial" w:eastAsia="Arial" w:hAnsi="Arial"/>
          <w:sz w:val="18"/>
          <w:szCs w:val="18"/>
          <w:color w:val="auto"/>
        </w:rPr>
        <w:t xml:space="preserve"> to this Agreement, as of the Sixth Restatement Effective Date, (i) there are no subscriptions, options, warrants, or calls relating to any shares of Parent or any of its Restricted Subsidiaries’ Equity Interests, including any right of conversion or exchange under any outstanding security or other instrument and (ii) neither Parent nor any of its Restricted Subsidiaries is subject to any obligation (contingent or otherwise) to repurchase or otherwise acquire or retire 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17" w:name="page218"/>
    <w:bookmarkEnd w:id="217"/>
    <w:p>
      <w:pPr>
        <w:ind w:left="200"/>
        <w:spacing w:after="0"/>
        <w:rPr>
          <w:sz w:val="20"/>
          <w:szCs w:val="20"/>
          <w:color w:val="auto"/>
        </w:rPr>
      </w:pPr>
      <w:r>
        <w:rPr>
          <w:rFonts w:ascii="Arial" w:cs="Arial" w:eastAsia="Arial" w:hAnsi="Arial"/>
          <w:sz w:val="20"/>
          <w:szCs w:val="20"/>
          <w:color w:val="auto"/>
        </w:rPr>
        <w:t>shares of its Equity Interests or any security convertible into or exchangeable for any of its Equity Interests.</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Due Authorization; No Conflict</w:t>
      </w:r>
      <w:r>
        <w:rPr>
          <w:rFonts w:ascii="Arial" w:cs="Arial" w:eastAsia="Arial" w:hAnsi="Arial"/>
          <w:sz w:val="20"/>
          <w:szCs w:val="20"/>
          <w:color w:val="auto"/>
        </w:rPr>
        <w:t>.</w:t>
      </w:r>
    </w:p>
    <w:p>
      <w:pPr>
        <w:spacing w:after="0" w:line="221" w:lineRule="exact"/>
        <w:rPr>
          <w:sz w:val="20"/>
          <w:szCs w:val="20"/>
          <w:color w:val="auto"/>
        </w:rPr>
      </w:pPr>
    </w:p>
    <w:p>
      <w:pPr>
        <w:ind w:left="200" w:right="20" w:firstLine="1493"/>
        <w:spacing w:after="0" w:line="260" w:lineRule="auto"/>
        <w:tabs>
          <w:tab w:leader="none" w:pos="209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As to each Loan Party, the execution, delivery, and performance by such Loan Party of the Loan Documents to which it is a party have been duly authorized by all necessary action on the part of such Loan Party.</w:t>
      </w:r>
    </w:p>
    <w:p>
      <w:pPr>
        <w:spacing w:after="0" w:line="175" w:lineRule="exact"/>
        <w:rPr>
          <w:rFonts w:ascii="Arial" w:cs="Arial" w:eastAsia="Arial" w:hAnsi="Arial"/>
          <w:sz w:val="20"/>
          <w:szCs w:val="20"/>
          <w:color w:val="auto"/>
        </w:rPr>
      </w:pPr>
    </w:p>
    <w:p>
      <w:pPr>
        <w:jc w:val="both"/>
        <w:ind w:left="200" w:firstLine="1493"/>
        <w:spacing w:after="0" w:line="254" w:lineRule="auto"/>
        <w:tabs>
          <w:tab w:leader="none" w:pos="2093"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As to each Loan Party, the execution, delivery, and performance by such Loan Party of the Loan Documents to which it is a party do not and will not (i) violate (A) any provision of federal, state, or local law or regulation applicable to Parent or any of its Restricted Subsidiaries, other than any such violations which, individually or in the aggregate, could not reasonably be expected to have a Material Adverse Effect, (B) the Governing Documents of Parent or any of its Restricted Subsidiaries, or (C) any order, judgment, or decree of any court or other Governmental Authority binding on Parent or any of its Restricted Subsidiaries, other than any such violations which, individually or in the aggregate, could not reasonably be expected to have a Material Adverse Effect, (ii) conflict with, result in a breach of, or constitute (with due notice or lapse of time or both) a default under any material agreement of Parent or any of its Restricted Subsidiaries where any such conflict, breach or default could individually or in the aggregate reasonably be expected to have a Material Adverse Effect, (iii) result in or require the creation or imposition of any Lien of any nature whatsoever upon any assets of Parent or any of its Restricted Subsidiaries, other than Permitted Liens, or (iv) require any approval of any holder of Equity Interests of Parent or any of its Restricted Subsidiaries or any approval or consent of any Person under any material agreement of Parent or any of its Restricted Subsidiaries, other than consents or approvals that have been obtained and that are still in force and effect and except, in the case of material agreements, for consents or approvals, the failure to obtain could not individually or in the aggregate reasonably be expected to have a Material Adverse Effect.</w:t>
      </w:r>
    </w:p>
    <w:p>
      <w:pPr>
        <w:spacing w:after="0" w:line="18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Governmental Consents</w:t>
      </w:r>
      <w:r>
        <w:rPr>
          <w:rFonts w:ascii="Arial" w:cs="Arial" w:eastAsia="Arial" w:hAnsi="Arial"/>
          <w:sz w:val="18"/>
          <w:szCs w:val="18"/>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and except for any other registrations, consents, approvals, notices or other actions the failure of which to obtain or make, individually or in the aggregate, could not reasonably be expected to have a Material Adverse Effect.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Binding Obligations; Perfected Liens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6" w:lineRule="auto"/>
        <w:tabs>
          <w:tab w:leader="none" w:pos="209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89" w:lineRule="exact"/>
        <w:rPr>
          <w:rFonts w:ascii="Arial" w:cs="Arial" w:eastAsia="Arial" w:hAnsi="Arial"/>
          <w:sz w:val="20"/>
          <w:szCs w:val="20"/>
          <w:color w:val="auto"/>
        </w:rPr>
      </w:pPr>
    </w:p>
    <w:p>
      <w:pPr>
        <w:jc w:val="both"/>
        <w:ind w:left="200" w:firstLine="1493"/>
        <w:spacing w:after="0" w:line="244" w:lineRule="auto"/>
        <w:tabs>
          <w:tab w:leader="none" w:pos="209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Guaranty and Security Agreement, upon execution and delivery thereof by the parties thereto, is effective to create in favor of Agent for the benefit of the Lenders a legal, valid and enforceable security interest in all right, title and interest of the Loan Parties in the Collateral pledged thereunder, except as enforcement may be limited by equitable principles or by bankruptcy, insolvency, reorganization, moratorium, or similar laws relating to or limiting creditors’ rights generally. When proper financing statements have been filed in the appropriate filing offices, Agent’s Liens shall constitute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18" w:name="page219"/>
    <w:bookmarkEnd w:id="218"/>
    <w:p>
      <w:pPr>
        <w:jc w:val="both"/>
        <w:ind w:left="200"/>
        <w:spacing w:after="0" w:line="256" w:lineRule="auto"/>
        <w:rPr>
          <w:sz w:val="20"/>
          <w:szCs w:val="20"/>
          <w:color w:val="auto"/>
        </w:rPr>
      </w:pPr>
      <w:r>
        <w:rPr>
          <w:rFonts w:ascii="Arial" w:cs="Arial" w:eastAsia="Arial" w:hAnsi="Arial"/>
          <w:sz w:val="19"/>
          <w:szCs w:val="19"/>
          <w:color w:val="auto"/>
        </w:rPr>
        <w:t>perfected first priority (subject to Permitted Liens) Liens on and security interests in all right, title and interest of the Loan Parties in such Collateral, solely to the extent that a Lien on or a security interest in such Collateral may be perfected by the filing of such financing statement. Upon the taking of possession or control by Agent of such Collateral with respect to which a security interest may be perfected only by possession or control, together with, to the extent applicable, all stock powers or other similar instruments of transfer endorsed in blank by the applicable Loan Party that owns such Collateral, and so long as Agent retains continuous possession or control of such Collateral, Agent’s Liens on such Collateral shall constitute perfected first priority (subject to Permitted Liens) on and security interests in all right, title and interest of the Loan Parties in such Collateral solely to the extent that a Lien on or security interest in such Collateral may be perfected by such possession or control.</w:t>
      </w:r>
    </w:p>
    <w:p>
      <w:pPr>
        <w:spacing w:after="0" w:line="179" w:lineRule="exact"/>
        <w:rPr>
          <w:sz w:val="20"/>
          <w:szCs w:val="20"/>
          <w:color w:val="auto"/>
        </w:rPr>
      </w:pPr>
    </w:p>
    <w:p>
      <w:pPr>
        <w:ind w:firstLine="749"/>
        <w:spacing w:after="0" w:line="278" w:lineRule="auto"/>
        <w:rPr>
          <w:sz w:val="20"/>
          <w:szCs w:val="20"/>
          <w:color w:val="auto"/>
        </w:rPr>
      </w:pPr>
      <w:r>
        <w:rPr>
          <w:rFonts w:ascii="Arial" w:cs="Arial" w:eastAsia="Arial" w:hAnsi="Arial"/>
          <w:sz w:val="18"/>
          <w:szCs w:val="18"/>
          <w:u w:val="single" w:color="auto"/>
          <w:color w:val="auto"/>
        </w:rPr>
        <w:t>4.5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Title to Assets; No Encumbrances</w:t>
      </w:r>
      <w:r>
        <w:rPr>
          <w:rFonts w:ascii="Arial" w:cs="Arial" w:eastAsia="Arial" w:hAnsi="Arial"/>
          <w:sz w:val="18"/>
          <w:szCs w:val="18"/>
          <w:color w:val="auto"/>
        </w:rPr>
        <w:t>. Parent and each of its Restricted Subsidiaries has (a) good, sufficient and legal title to (in the case of fee interests in Real Property), (b) valid leasehold interests in (in the case of leasehold interests in real or personal property), and</w:t>
      </w:r>
    </w:p>
    <w:p>
      <w:pPr>
        <w:spacing w:after="0" w:line="1" w:lineRule="exact"/>
        <w:rPr>
          <w:sz w:val="20"/>
          <w:szCs w:val="20"/>
          <w:color w:val="auto"/>
        </w:rPr>
      </w:pPr>
    </w:p>
    <w:p>
      <w:pPr>
        <w:jc w:val="both"/>
        <w:ind w:firstLine="8"/>
        <w:spacing w:after="0" w:line="276" w:lineRule="auto"/>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personal property, has good and marketable title to, or a valid leasehold interest in, all of their respective assets which are material to the conduct of such Person’s business, except (i) for assets disposed of since the date of such financial statements to the extent permitted hereby, (ii) [reserved], and (iii) minor defects in title that do not interfere with such Person’s ability to conduct its business or to utilize such properties for their intended purposes. All of such assets are free and clear of Liens except for Permitted Liens.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Litigation</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9" w:lineRule="auto"/>
        <w:tabs>
          <w:tab w:leader="none" w:pos="209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There are no actions, suits, or proceedings pending or, to the knowledge of Parent or any Borrower, after due inquiry, threatened in writing against Parent or any of its Restricted Subsidiaries that either individually or in the aggregate could reasonably be expected to result in a Material Adverse Effect.</w:t>
      </w:r>
    </w:p>
    <w:p>
      <w:pPr>
        <w:spacing w:after="0" w:line="187" w:lineRule="exact"/>
        <w:rPr>
          <w:rFonts w:ascii="Arial" w:cs="Arial" w:eastAsia="Arial" w:hAnsi="Arial"/>
          <w:sz w:val="20"/>
          <w:szCs w:val="20"/>
          <w:color w:val="auto"/>
        </w:rPr>
      </w:pPr>
    </w:p>
    <w:p>
      <w:pPr>
        <w:jc w:val="both"/>
        <w:ind w:left="200" w:firstLine="1493"/>
        <w:spacing w:after="0" w:line="244" w:lineRule="auto"/>
        <w:tabs>
          <w:tab w:leader="none" w:pos="2106"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Schedule 4.6(b)</w:t>
      </w:r>
      <w:r>
        <w:rPr>
          <w:rFonts w:ascii="Arial" w:cs="Arial" w:eastAsia="Arial" w:hAnsi="Arial"/>
          <w:sz w:val="20"/>
          <w:szCs w:val="20"/>
          <w:color w:val="auto"/>
        </w:rPr>
        <w:t xml:space="preserve"> to this Agreement sets forth a complete and accurate description of each of the actions, suits, or proceedings with asserted liabilities in excess of, or that would reasonably be expected to result in liabilities in excess of, $10,000,000 (in excess of insurance coverage therefor provided by an insurer which has not denied coverage therefor) that, as of the Sixth Restatement Effective Date, is pending or, to the knowledge of any Borrower, after due inquiry, threatened against Parent or any of its Restricted Subsidiaries.</w:t>
      </w:r>
    </w:p>
    <w:p>
      <w:pPr>
        <w:spacing w:after="0" w:line="18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4.7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Compliance with Laws</w:t>
      </w:r>
      <w:r>
        <w:rPr>
          <w:rFonts w:ascii="Arial" w:cs="Arial" w:eastAsia="Arial" w:hAnsi="Arial"/>
          <w:sz w:val="20"/>
          <w:szCs w:val="20"/>
          <w:color w:val="auto"/>
        </w:rPr>
        <w:t>. Neither Parent nor any of its Restricted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8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4.8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No Material Adverse Effect</w:t>
      </w:r>
      <w:r>
        <w:rPr>
          <w:rFonts w:ascii="Arial" w:cs="Arial" w:eastAsia="Arial" w:hAnsi="Arial"/>
          <w:sz w:val="20"/>
          <w:szCs w:val="20"/>
          <w:color w:val="auto"/>
        </w:rPr>
        <w:t>. All historical financial statements relating to Parent and its Restricted Subsidiaries that have been delivered by, or on behalf of, Parent to Agent have been prepared in accordance with GAAP and present fairly in all material respects, Parent’s and its Restricted Subsidiaries’ consolidated financial condition as of the date thereof and results of operations for the period then ended, subject, in the case of any unaudited financial statements, to the absence of footnote disclosures and year-end audit adjustments. Since December 31, 2016, no event, circumstance, or change has occurred that has or could reasonably be expected to result in a Material Adverse Effect.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19" w:name="page220"/>
    <w:bookmarkEnd w:id="219"/>
    <w:p>
      <w:pPr>
        <w:ind w:left="760"/>
        <w:spacing w:after="0"/>
        <w:rPr>
          <w:sz w:val="20"/>
          <w:szCs w:val="20"/>
          <w:color w:val="auto"/>
        </w:rPr>
      </w:pPr>
      <w:r>
        <w:rPr>
          <w:rFonts w:ascii="Arial" w:cs="Arial" w:eastAsia="Arial" w:hAnsi="Arial"/>
          <w:sz w:val="20"/>
          <w:szCs w:val="20"/>
          <w:u w:val="single" w:color="auto"/>
          <w:color w:val="auto"/>
        </w:rPr>
        <w:t>4.9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Solvency</w:t>
      </w:r>
      <w:r>
        <w:rPr>
          <w:rFonts w:ascii="Arial" w:cs="Arial" w:eastAsia="Arial" w:hAnsi="Arial"/>
          <w:sz w:val="20"/>
          <w:szCs w:val="20"/>
          <w:color w:val="auto"/>
        </w:rPr>
        <w:t>.</w:t>
      </w:r>
    </w:p>
    <w:p>
      <w:pPr>
        <w:spacing w:after="0" w:line="221" w:lineRule="exact"/>
        <w:rPr>
          <w:sz w:val="20"/>
          <w:szCs w:val="20"/>
          <w:color w:val="auto"/>
        </w:rPr>
      </w:pPr>
    </w:p>
    <w:p>
      <w:pPr>
        <w:ind w:left="2080" w:hanging="387"/>
        <w:spacing w:after="0"/>
        <w:tabs>
          <w:tab w:leader="none" w:pos="208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The Borrowers and their respective Restricted Subsidiaries, on a consolidated basis, are Solvent.</w:t>
      </w:r>
    </w:p>
    <w:p>
      <w:pPr>
        <w:spacing w:after="0" w:line="214" w:lineRule="exact"/>
        <w:rPr>
          <w:rFonts w:ascii="Arial" w:cs="Arial" w:eastAsia="Arial" w:hAnsi="Arial"/>
          <w:sz w:val="20"/>
          <w:szCs w:val="20"/>
          <w:color w:val="auto"/>
        </w:rPr>
      </w:pPr>
    </w:p>
    <w:p>
      <w:pPr>
        <w:jc w:val="both"/>
        <w:ind w:left="200" w:right="20" w:firstLine="1493"/>
        <w:spacing w:after="0" w:line="249" w:lineRule="auto"/>
        <w:tabs>
          <w:tab w:leader="none" w:pos="209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4.10</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w:t>
      </w:r>
    </w:p>
    <w:p>
      <w:pPr>
        <w:spacing w:after="0" w:line="221" w:lineRule="exact"/>
        <w:rPr>
          <w:sz w:val="20"/>
          <w:szCs w:val="20"/>
          <w:color w:val="auto"/>
        </w:rPr>
      </w:pPr>
    </w:p>
    <w:p>
      <w:pPr>
        <w:ind w:left="200" w:firstLine="1493"/>
        <w:spacing w:after="0" w:line="286" w:lineRule="auto"/>
        <w:tabs>
          <w:tab w:leader="none" w:pos="2093"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4.10</w:t>
      </w:r>
      <w:r>
        <w:rPr>
          <w:rFonts w:ascii="Arial" w:cs="Arial" w:eastAsia="Arial" w:hAnsi="Arial"/>
          <w:sz w:val="19"/>
          <w:szCs w:val="19"/>
          <w:color w:val="auto"/>
        </w:rPr>
        <w:t>, none of Parent, any Restricted Subsidiary, nor any of their ERISA Affiliates maintains or contributes to any Pension Plan or Multiemployer Plan as of the Sixth Restatement Effective Date.</w:t>
      </w:r>
    </w:p>
    <w:p>
      <w:pPr>
        <w:spacing w:after="0" w:line="153" w:lineRule="exact"/>
        <w:rPr>
          <w:rFonts w:ascii="Arial" w:cs="Arial" w:eastAsia="Arial" w:hAnsi="Arial"/>
          <w:sz w:val="19"/>
          <w:szCs w:val="19"/>
          <w:color w:val="auto"/>
        </w:rPr>
      </w:pPr>
    </w:p>
    <w:p>
      <w:pPr>
        <w:jc w:val="both"/>
        <w:ind w:left="200" w:firstLine="1493"/>
        <w:spacing w:after="0" w:line="249" w:lineRule="auto"/>
        <w:tabs>
          <w:tab w:leader="none" w:pos="209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either individually or in the aggregate, in a Material Adverse Effect, Parent, each of its Restricted Subsidiaries, and each of the ERISA Affiliates has complied with ERISA, the IRC and all applicable laws regarding each Employee Benefit Plan.</w:t>
      </w:r>
    </w:p>
    <w:p>
      <w:pPr>
        <w:spacing w:after="0" w:line="187" w:lineRule="exact"/>
        <w:rPr>
          <w:rFonts w:ascii="Arial" w:cs="Arial" w:eastAsia="Arial" w:hAnsi="Arial"/>
          <w:sz w:val="20"/>
          <w:szCs w:val="20"/>
          <w:color w:val="auto"/>
        </w:rPr>
      </w:pPr>
    </w:p>
    <w:p>
      <w:pPr>
        <w:jc w:val="both"/>
        <w:ind w:left="200" w:firstLine="1493"/>
        <w:spacing w:after="0" w:line="249" w:lineRule="auto"/>
        <w:tabs>
          <w:tab w:leader="none" w:pos="209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either individually or in the aggregate, in a Material Adverse Effect, each Employee Benefit Plan is, and has been, maintained in compliance with ERISA, the IRC, all applicable laws and the terms of each such Employee Benefit Plan.</w:t>
      </w:r>
    </w:p>
    <w:p>
      <w:pPr>
        <w:spacing w:after="0" w:line="187" w:lineRule="exact"/>
        <w:rPr>
          <w:rFonts w:ascii="Arial" w:cs="Arial" w:eastAsia="Arial" w:hAnsi="Arial"/>
          <w:sz w:val="20"/>
          <w:szCs w:val="20"/>
          <w:color w:val="auto"/>
        </w:rPr>
      </w:pPr>
    </w:p>
    <w:p>
      <w:pPr>
        <w:jc w:val="both"/>
        <w:ind w:left="200" w:firstLine="1493"/>
        <w:spacing w:after="0" w:line="244" w:lineRule="auto"/>
        <w:tabs>
          <w:tab w:leader="none" w:pos="209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either individually or in the aggregate, in a Material Adverse Effect, each Employee Benefit Plan that is intended to qualify under Section 401(a) of the IRC has received a favorable determination letter from the Internal Revenue Service or is entitled to rely on an opinion letter provided under a volume submitter program and (ii) to the knowledge of Parent, each of its Restricted Subsidiaries, and each ERISA Affiliate, nothing has occurred which would prevent, or cause the loss of, such qualification.</w:t>
      </w:r>
    </w:p>
    <w:p>
      <w:pPr>
        <w:spacing w:after="0" w:line="192" w:lineRule="exact"/>
        <w:rPr>
          <w:rFonts w:ascii="Arial" w:cs="Arial" w:eastAsia="Arial" w:hAnsi="Arial"/>
          <w:sz w:val="20"/>
          <w:szCs w:val="20"/>
          <w:color w:val="auto"/>
        </w:rPr>
      </w:pPr>
    </w:p>
    <w:p>
      <w:pPr>
        <w:jc w:val="both"/>
        <w:ind w:left="200" w:firstLine="1493"/>
        <w:spacing w:after="0" w:line="246" w:lineRule="auto"/>
        <w:tabs>
          <w:tab w:leader="none" w:pos="209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either individually or in the aggregate, in a Material Adverse Effect, no liability to the PBGC (other than for the payment of current premiums which are not past due) by Parent, any of its Restricted Subsidiaries, or any ERISA Affiliate has been incurred or is expected by Parent, any Restricted Subsidiary, or any ERISA Affiliate to be incurred with respect to any Pension Plan.</w:t>
      </w:r>
    </w:p>
    <w:p>
      <w:pPr>
        <w:spacing w:after="0" w:line="189" w:lineRule="exact"/>
        <w:rPr>
          <w:rFonts w:ascii="Arial" w:cs="Arial" w:eastAsia="Arial" w:hAnsi="Arial"/>
          <w:sz w:val="20"/>
          <w:szCs w:val="20"/>
          <w:color w:val="auto"/>
        </w:rPr>
      </w:pPr>
    </w:p>
    <w:p>
      <w:pPr>
        <w:ind w:left="200" w:right="20" w:firstLine="1493"/>
        <w:spacing w:after="0" w:line="260" w:lineRule="auto"/>
        <w:tabs>
          <w:tab w:leader="none" w:pos="209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either individually or in the aggregate, in a Material Adverse Effect, no Notification Event exists or has occurred in the past six years.</w:t>
      </w:r>
    </w:p>
    <w:p>
      <w:pPr>
        <w:spacing w:after="0" w:line="175" w:lineRule="exact"/>
        <w:rPr>
          <w:rFonts w:ascii="Arial" w:cs="Arial" w:eastAsia="Arial" w:hAnsi="Arial"/>
          <w:sz w:val="20"/>
          <w:szCs w:val="20"/>
          <w:color w:val="auto"/>
        </w:rPr>
      </w:pPr>
    </w:p>
    <w:p>
      <w:pPr>
        <w:ind w:left="200" w:right="20" w:firstLine="1493"/>
        <w:spacing w:after="0" w:line="315" w:lineRule="auto"/>
        <w:tabs>
          <w:tab w:leader="none" w:pos="209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either individually or in the aggregate, in a Material Adverse Effect, none of Parent, any Restricted Subsidiary, nor any ERISA Affiliate has provided any security under Section 436 of the IRC.</w:t>
      </w:r>
    </w:p>
    <w:p>
      <w:pPr>
        <w:spacing w:after="0" w:line="12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4.11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Environmental Condition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4.11</w:t>
      </w:r>
      <w:r>
        <w:rPr>
          <w:rFonts w:ascii="Arial" w:cs="Arial" w:eastAsia="Arial" w:hAnsi="Arial"/>
          <w:sz w:val="20"/>
          <w:szCs w:val="20"/>
          <w:color w:val="auto"/>
        </w:rPr>
        <w:t xml:space="preserve"> to this Agreement, (a) to Parent and each Borrower’s knowledge, none of Parent’s or any of its Restricted Subsidiaries’ properties or assets has ever been used by Parent, any of its Subsidiaries, or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except as, individually or in the aggregate, could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0" w:name="page221"/>
    <w:bookmarkEnd w:id="220"/>
    <w:p>
      <w:pPr>
        <w:jc w:val="both"/>
        <w:spacing w:after="0" w:line="272" w:lineRule="auto"/>
        <w:rPr>
          <w:sz w:val="20"/>
          <w:szCs w:val="20"/>
          <w:color w:val="auto"/>
        </w:rPr>
      </w:pPr>
      <w:r>
        <w:rPr>
          <w:rFonts w:ascii="Arial" w:cs="Arial" w:eastAsia="Arial" w:hAnsi="Arial"/>
          <w:sz w:val="18"/>
          <w:szCs w:val="18"/>
          <w:color w:val="auto"/>
        </w:rPr>
        <w:t>reasonably be expected to result in a Material Adverse Effect, (b) to Parent and each Borrower’s knowledge, after due inquiry, none of Parent’s or any of its Restricted Subsidiaries’ properties or assets has ever been designated or identified in any manner pursuant to any environmental protection statute as a Hazardous Materials disposal site, except as, individually or in the aggregate, could not reasonably be expected to result in a Material Adverse Effect, (c) neither Parent nor any of its Restricted Subsidiaries has received written notice that a Lien arising under any Environmental Law has attached to any revenues or to any Real Property owned or operated by Parent or any of its Restricted Subsidiaries, except as, individually or in the aggregate, could not reasonably be expected to result in a Material Adverse Effect, and (d) neither Parent nor any of its Restricted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16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u w:val="single" w:color="auto"/>
          <w:color w:val="auto"/>
        </w:rPr>
        <w:t>4.12</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Complete Disclosure</w:t>
      </w:r>
      <w:r>
        <w:rPr>
          <w:rFonts w:ascii="Arial" w:cs="Arial" w:eastAsia="Arial" w:hAnsi="Arial"/>
          <w:sz w:val="19"/>
          <w:szCs w:val="19"/>
          <w:color w:val="auto"/>
        </w:rPr>
        <w:t>. All factual information (other than the Projections, forward-looking information, other projections, budgets, estimates and information of a general economic nature and general information about the industry of any Loan Party or its Restricted Subsidiaries) furnished by or on behalf of Parent or any of its Restricted Subsidiaries in writing to Agent or any Lender for purposes of or in connection with this Agreement or the other Loan Documents (as modified or supplemented by other information so furnished), was, when furnished (whether before or after the Sixth Restatement Effective Date) and taken as a whole, true and accurate, in all material respects, and did not, when furnished and taken as a whole, contain any untrue statement of a material fact or omit to state a material fact necessary to make such information (taken as a whole) not misleading in any material respect at such time in light of the circumstances under which such information was provided. The Projections delivered to Agent prior to the Sixth Restatement Effective Date, and such additional Projections delivered to Agent in connection with the Loan Documents have been prepared in good faith based upon assumptions believed by Parent to be reasonable at the time such Projections were prepared (it being understood that such Projections are subject to significant uncertainties and contingencies, many of which are beyond the control of Parent and its Restricted Subsidiaries, and no assurances can be given that such Projections will be realized, are not to be viewed as facts, and that actual results during the period or periods covered by the Projections may differ materially from projected or estimated results). The information included in any Beneficial Ownership Certification delivered under this Agreement is true and correct in all respects on the date on which such Beneficial Ownership Certification is delivered.</w:t>
      </w:r>
    </w:p>
    <w:p>
      <w:pPr>
        <w:spacing w:after="0" w:line="186"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8"/>
          <w:szCs w:val="18"/>
          <w:u w:val="single" w:color="auto"/>
          <w:color w:val="auto"/>
        </w:rPr>
        <w:t>4.13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Patriot Act</w:t>
      </w:r>
      <w:r>
        <w:rPr>
          <w:rFonts w:ascii="Arial" w:cs="Arial" w:eastAsia="Arial" w:hAnsi="Arial"/>
          <w:sz w:val="18"/>
          <w:szCs w:val="18"/>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Arial" w:cs="Arial" w:eastAsia="Arial" w:hAnsi="Arial"/>
          <w:sz w:val="18"/>
          <w:szCs w:val="18"/>
          <w:u w:val="single" w:color="auto"/>
          <w:color w:val="auto"/>
        </w:rPr>
        <w:t>Patriot Act</w:t>
      </w:r>
      <w:r>
        <w:rPr>
          <w:rFonts w:ascii="Arial" w:cs="Arial" w:eastAsia="Arial" w:hAnsi="Arial"/>
          <w:sz w:val="18"/>
          <w:szCs w:val="18"/>
          <w:color w:val="auto"/>
        </w:rPr>
        <w:t>”).</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4.14</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1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4.15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Payment of Taxes</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5.5</w:t>
      </w:r>
      <w:r>
        <w:rPr>
          <w:rFonts w:ascii="Arial" w:cs="Arial" w:eastAsia="Arial" w:hAnsi="Arial"/>
          <w:sz w:val="18"/>
          <w:szCs w:val="18"/>
          <w:color w:val="auto"/>
        </w:rPr>
        <w:t>, all Tax returns and reports of Parent and each of its Restricted Subsidiaries required to be filed by any of them have been timely filed, and all Taxes shown or required to be shown on such Tax returns to be due and payable and all other Taxes upon Parent or any of its Restricted Subsidiaries and upon their respective assets, income, businesses and franchises that are due and payable have been paid when due and payable, except for (i) any Taxes which are the subject of a Permitted Protest, or (ii) to the extent that the failure of to pay such Taxes could not reasonably be expected to result in a Material Adverse Effect and does not give rise to any Lien which is not a Permitted Lien. Parent and each of its Restricted Subsidiaries have made adequate provision in accordance with GAAP for all Taxes not yet due and payable. Neither Parent nor any Borrower knows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1" w:name="page222"/>
    <w:bookmarkEnd w:id="221"/>
    <w:p>
      <w:pPr>
        <w:jc w:val="both"/>
        <w:spacing w:after="0" w:line="249" w:lineRule="auto"/>
        <w:rPr>
          <w:sz w:val="20"/>
          <w:szCs w:val="20"/>
          <w:color w:val="auto"/>
        </w:rPr>
      </w:pPr>
      <w:r>
        <w:rPr>
          <w:rFonts w:ascii="Arial" w:cs="Arial" w:eastAsia="Arial" w:hAnsi="Arial"/>
          <w:sz w:val="20"/>
          <w:szCs w:val="20"/>
          <w:color w:val="auto"/>
        </w:rPr>
        <w:t xml:space="preserve">any proposed Tax assessment against Parent or any of its Restricted Subsidiaries that is not being actively contested by Parent or such Restricted Subsidiary diligently, in good faith, and by appropriate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reserves or other appropriate provisions, if any, as shall be required in conformity with GAAP shall have been made or provided therefor.</w:t>
      </w:r>
    </w:p>
    <w:p>
      <w:pPr>
        <w:spacing w:after="0" w:line="18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u w:val="single" w:color="auto"/>
          <w:color w:val="auto"/>
        </w:rPr>
        <w:t>4.16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Margin Stock</w:t>
      </w:r>
      <w:r>
        <w:rPr>
          <w:rFonts w:ascii="Arial" w:cs="Arial" w:eastAsia="Arial" w:hAnsi="Arial"/>
          <w:sz w:val="18"/>
          <w:szCs w:val="18"/>
          <w:color w:val="auto"/>
        </w:rPr>
        <w:t>. Neither Parent nor any of its Restricted Subsidiaries owns any Margin Stock or is engaged principally, or as one of its important activities, in the business of extending credit for the purpose of purchasing or carrying any Margin Stock. No part of the proceeds of the Loans made to Borrowers or the proceeds of any Letter of Credit will be used to purchase or carry any Margin Stock or to extend credit to others for the purpose of purchasing or carrying any Margin Stock or for any purpose that violates the provisions of Regulation T, U or X of the Board of Governors. Neither Parent nor any of its Restricted Subsidiaries expects to acquire any Margin Stock.</w:t>
      </w:r>
    </w:p>
    <w:p>
      <w:pPr>
        <w:spacing w:after="0" w:line="154"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u w:val="single" w:color="auto"/>
          <w:color w:val="auto"/>
        </w:rPr>
        <w:t>4.17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Governmental Regulation</w:t>
      </w:r>
      <w:r>
        <w:rPr>
          <w:rFonts w:ascii="Arial" w:cs="Arial" w:eastAsia="Arial" w:hAnsi="Arial"/>
          <w:sz w:val="18"/>
          <w:szCs w:val="18"/>
          <w:color w:val="auto"/>
        </w:rPr>
        <w:t>. Neither Parent nor any of its Restricted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Neither Parent nor any of its Restricted Subsidiaries is a “registered investment company” or a company “controlled” by a “registered investment company” or a “principal underwriter” of a “registered investment company” as such terms are defined in the Investment Company Act of 1940.</w:t>
      </w:r>
    </w:p>
    <w:p>
      <w:pPr>
        <w:spacing w:after="0" w:line="15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4.18</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OFAC; Sanctions; Anti-Corruption Laws; Anti-Money Laundering Laws</w:t>
      </w:r>
      <w:r>
        <w:rPr>
          <w:rFonts w:ascii="Arial" w:cs="Arial" w:eastAsia="Arial" w:hAnsi="Arial"/>
          <w:sz w:val="19"/>
          <w:szCs w:val="19"/>
          <w:color w:val="auto"/>
        </w:rPr>
        <w:t>. 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reasonably designed to ensure compliance with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18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u w:val="single" w:color="auto"/>
          <w:color w:val="auto"/>
        </w:rPr>
        <w:t>4.19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Employee and Labor Matters</w:t>
      </w:r>
      <w:r>
        <w:rPr>
          <w:rFonts w:ascii="Arial" w:cs="Arial" w:eastAsia="Arial" w:hAnsi="Arial"/>
          <w:sz w:val="18"/>
          <w:szCs w:val="18"/>
          <w:color w:val="auto"/>
        </w:rPr>
        <w:t>. There is (i) no unfair labor practice complaint pending or, to the knowledge of Parent or any Borrower, threatened in writing against Parent or any of its Restricted Subsidiaries before any Governmental Authority and no grievance or arbitration proceeding pending or, to the knowledge of Parent or any Restricted Subsidiary, threatened in writing against Parent or any of its Restricted Subsidiaries which arises out of or under any collective bargaining agreement and that could, in each case and individually or in the aggregate, reasonably be expected to result in a Material Adverse Effect, (ii) no strike, slowdown, work stoppage or similar action pending or, to the knowledge of Parent or any Restricted Subsidiary, threatened in writing against Parent or any of its Restricted Subsidiaries that could reasonably be expected to result in a Material Adverse Effect, or (iii) to the knowledge of Parent and each Restricted Subsidiary, no union representation question existing with respect to the employment by Parent or its Restricted Subsidiaries of employees of Parent or any of its Restricted Subsidiaries and no union organizing activity taking place with respect to the employment by Parent or its Restricted Subsidiaries of any of the employees of Parent or any of its Restricted Subsidiaries, in each case except to the extent the same, individually or in the aggregate, could not reasonably be expect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2" w:name="page223"/>
    <w:bookmarkEnd w:id="222"/>
    <w:p>
      <w:pPr>
        <w:jc w:val="both"/>
        <w:spacing w:after="0" w:line="243" w:lineRule="auto"/>
        <w:rPr>
          <w:sz w:val="20"/>
          <w:szCs w:val="20"/>
          <w:color w:val="auto"/>
        </w:rPr>
      </w:pPr>
      <w:r>
        <w:rPr>
          <w:rFonts w:ascii="Arial" w:cs="Arial" w:eastAsia="Arial" w:hAnsi="Arial"/>
          <w:sz w:val="20"/>
          <w:szCs w:val="20"/>
          <w:color w:val="auto"/>
        </w:rPr>
        <w:t>The hours worked and payments made by Parent and its Restricted Subsidiaries to its employees are not in violation of the Fair Labor Standards Act or any other similar applicable legal requirements, except to the extent such violations could not, individually or in the aggregate, reasonably be expected to result in a Material Adverse Effect. All material payments due from Parent or any of its Restricted Subsidiaries on account of employee health and welfare insurance benefits have been paid or accrued as a liability on the books of Parent and its Restricted Subsidiaries, except where the failure to do so could not, individually or in the aggregate, reasonably be expected to result in a Material Adverse Effect.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4.20</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u w:val="single" w:color="auto"/>
          <w:color w:val="auto"/>
        </w:rPr>
        <w:t>4.21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Leases</w:t>
      </w:r>
      <w:r>
        <w:rPr>
          <w:rFonts w:ascii="Arial" w:cs="Arial" w:eastAsia="Arial" w:hAnsi="Arial"/>
          <w:sz w:val="19"/>
          <w:szCs w:val="19"/>
          <w:color w:val="auto"/>
        </w:rPr>
        <w:t>. Parent and each of its Restricted Subsidiaries enjoys peaceful and undisturbed possession under all leases material to its business and to which it is a party or under which it is operating, and, subject to Permitted Protests, all of such material leases are valid and subsisting and no material default by Parent or the applicable Restricted Subsidiaries exists under any of them.</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u w:val="single" w:color="auto"/>
          <w:color w:val="auto"/>
        </w:rPr>
        <w:t>4.22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Eligible Accounts</w:t>
      </w:r>
      <w:r>
        <w:rPr>
          <w:rFonts w:ascii="Arial" w:cs="Arial" w:eastAsia="Arial" w:hAnsi="Arial"/>
          <w:sz w:val="18"/>
          <w:szCs w:val="18"/>
          <w:color w:val="auto"/>
        </w:rPr>
        <w:t>. As to each Account that is identified by Loan Parties as an Eligible Account in a Borrowing Base Certificate submitted to Agent, at the time of inclusion in such Borrowing Base Certificate, such Account is (i) a bona fide existing payment obligation of the applicable Account Debtor created by the sale and delivery of Inventory or the rendition of services to such Account Debtor in the ordinary course of a Loan Party’s business, (ii) owed to a Loan Party without, to the knowledge of Parent or any Loan Party, any known defenses, disputes, offsets, counterclaims, or rights of return or cancellation, and (iii) not excluded as ineligible by virtue of one or more of the excluding criteria (other than any Agent-discretionary criteria) set forth in the definition of Eligible Accounts.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4.23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Eligible Inventory</w:t>
      </w:r>
      <w:r>
        <w:rPr>
          <w:rFonts w:ascii="Arial" w:cs="Arial" w:eastAsia="Arial" w:hAnsi="Arial"/>
          <w:sz w:val="20"/>
          <w:szCs w:val="20"/>
          <w:color w:val="auto"/>
        </w:rPr>
        <w:t>.</w:t>
      </w:r>
    </w:p>
    <w:p>
      <w:pPr>
        <w:spacing w:after="0" w:line="221" w:lineRule="exact"/>
        <w:rPr>
          <w:sz w:val="20"/>
          <w:szCs w:val="20"/>
          <w:color w:val="auto"/>
        </w:rPr>
      </w:pPr>
    </w:p>
    <w:p>
      <w:pPr>
        <w:jc w:val="both"/>
        <w:ind w:firstLine="1505"/>
        <w:spacing w:after="0" w:line="243" w:lineRule="auto"/>
        <w:tabs>
          <w:tab w:leader="none" w:pos="189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As to each item of Inventory that is identified by Loan Parties as Eligible Equipment Inventory in a Borrowing Base Certificate submitted to Agent, at the time of inclusion in such Borrowing Base Certificate, such Inventory is not excluded as ineligible by virtue of one or more of the excluding criteria (other than any Agent-discretionary criteria) set forth in the definition of Eligible Equipment Inventory. Each Loan Party is in the business of selling (as such phrase is used in section 9-311(d) of the Code) Equipment Inventory constituting Titled Vehicles now or hereafter owned by such Loan Party, other than those types of Titled Vehicles set forth on </w:t>
      </w:r>
      <w:r>
        <w:rPr>
          <w:rFonts w:ascii="Arial" w:cs="Arial" w:eastAsia="Arial" w:hAnsi="Arial"/>
          <w:sz w:val="20"/>
          <w:szCs w:val="20"/>
          <w:u w:val="single" w:color="auto"/>
          <w:color w:val="auto"/>
        </w:rPr>
        <w:t>Schedule 4.23</w:t>
      </w:r>
      <w:r>
        <w:rPr>
          <w:rFonts w:ascii="Arial" w:cs="Arial" w:eastAsia="Arial" w:hAnsi="Arial"/>
          <w:sz w:val="20"/>
          <w:szCs w:val="20"/>
          <w:color w:val="auto"/>
        </w:rPr>
        <w:t>; and</w:t>
      </w:r>
    </w:p>
    <w:p>
      <w:pPr>
        <w:spacing w:after="0" w:line="194" w:lineRule="exact"/>
        <w:rPr>
          <w:rFonts w:ascii="Arial" w:cs="Arial" w:eastAsia="Arial" w:hAnsi="Arial"/>
          <w:sz w:val="20"/>
          <w:szCs w:val="20"/>
          <w:color w:val="auto"/>
        </w:rPr>
      </w:pPr>
    </w:p>
    <w:p>
      <w:pPr>
        <w:jc w:val="both"/>
        <w:ind w:firstLine="1505"/>
        <w:spacing w:after="0" w:line="246" w:lineRule="auto"/>
        <w:tabs>
          <w:tab w:leader="none" w:pos="1893" w:val="left"/>
        </w:tabs>
        <w:numPr>
          <w:ilvl w:val="0"/>
          <w:numId w:val="223"/>
        </w:numPr>
        <w:rPr>
          <w:rFonts w:ascii="Arial" w:cs="Arial" w:eastAsia="Arial" w:hAnsi="Arial"/>
          <w:sz w:val="20"/>
          <w:szCs w:val="20"/>
          <w:color w:val="auto"/>
        </w:rPr>
      </w:pPr>
      <w:r>
        <w:rPr>
          <w:rFonts w:ascii="Arial" w:cs="Arial" w:eastAsia="Arial" w:hAnsi="Arial"/>
          <w:sz w:val="20"/>
          <w:szCs w:val="20"/>
          <w:color w:val="auto"/>
        </w:rPr>
        <w:t>As to each item of Inventory that is identified by Loan Parties as Eligible Parts and Tools Inventory in a Borrowing Base Certificate submitted to Agent, at the time of inclusion in such Borrowing Base Certificate, such Inventory is not excluded as ineligible by virtue of one or more of the excluding criteria (other than any Agent-discretionary criteria) set forth in the definition of Eligible Parts and Tools Inventory.</w:t>
      </w:r>
    </w:p>
    <w:p>
      <w:pPr>
        <w:spacing w:after="0" w:line="1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4.24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Eligible Rolling Stock</w:t>
      </w:r>
      <w:r>
        <w:rPr>
          <w:rFonts w:ascii="Arial" w:cs="Arial" w:eastAsia="Arial" w:hAnsi="Arial"/>
          <w:sz w:val="20"/>
          <w:szCs w:val="20"/>
          <w:color w:val="auto"/>
        </w:rPr>
        <w:t xml:space="preserve"> . As to each item of Rolling Stock that is identified by Loan Parties as Eligible Rolling Stock in a Borrowing Base Certificate submitted to Agent, at the time of inclusion in such Borrowing Base Certificate, such Rolling Stock is not excluded as ineligible by virtue of one or more of the excluding criteria (other than any Agent-discretionary criteria) set forth in the definition of Eligible Rolling Stock.</w:t>
      </w:r>
    </w:p>
    <w:p>
      <w:pPr>
        <w:spacing w:after="0" w:line="18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u w:val="single" w:color="auto"/>
          <w:color w:val="auto"/>
        </w:rPr>
        <w:t>4.25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Location of Inventory and Rolling Stock</w:t>
      </w:r>
      <w:r>
        <w:rPr>
          <w:rFonts w:ascii="Arial" w:cs="Arial" w:eastAsia="Arial" w:hAnsi="Arial"/>
          <w:sz w:val="20"/>
          <w:szCs w:val="20"/>
          <w:color w:val="auto"/>
        </w:rPr>
        <w:t xml:space="preserve">. The Inventory and Rolling Stock is located only at, or in the possession of, the locations and Persons permitted by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3" w:name="page224"/>
    <w:bookmarkEnd w:id="223"/>
    <w:p>
      <w:pPr>
        <w:jc w:val="both"/>
        <w:ind w:right="20" w:firstLine="749"/>
        <w:spacing w:after="0" w:line="266" w:lineRule="auto"/>
        <w:rPr>
          <w:sz w:val="20"/>
          <w:szCs w:val="20"/>
          <w:color w:val="auto"/>
        </w:rPr>
      </w:pPr>
      <w:r>
        <w:rPr>
          <w:rFonts w:ascii="Arial" w:cs="Arial" w:eastAsia="Arial" w:hAnsi="Arial"/>
          <w:sz w:val="20"/>
          <w:szCs w:val="20"/>
          <w:u w:val="single" w:color="auto"/>
          <w:color w:val="auto"/>
        </w:rPr>
        <w:t>4.26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Inventory Records</w:t>
      </w:r>
      <w:r>
        <w:rPr>
          <w:rFonts w:ascii="Arial" w:cs="Arial" w:eastAsia="Arial" w:hAnsi="Arial"/>
          <w:sz w:val="20"/>
          <w:szCs w:val="20"/>
          <w:color w:val="auto"/>
        </w:rPr>
        <w:t>. Each Loan Party keeps correct and accurate, in all material respects, records itemizing and describing the type, quality, and quantity of its and its Restricted Subsidiaries’ Inventory and the book value thereof.</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4.27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Reserved</w:t>
      </w:r>
      <w:r>
        <w:rPr>
          <w:rFonts w:ascii="Arial" w:cs="Arial" w:eastAsia="Arial" w:hAnsi="Arial"/>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4.28</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color w:val="auto"/>
        </w:rPr>
        <w:t>].</w:t>
      </w:r>
    </w:p>
    <w:p>
      <w:pPr>
        <w:spacing w:after="0" w:line="21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4.29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Immaterial Subsidiaries</w:t>
      </w:r>
      <w:r>
        <w:rPr>
          <w:rFonts w:ascii="Arial" w:cs="Arial" w:eastAsia="Arial" w:hAnsi="Arial"/>
          <w:sz w:val="20"/>
          <w:szCs w:val="20"/>
          <w:color w:val="auto"/>
        </w:rPr>
        <w:t xml:space="preserve">. No Immaterial Subsidiary (a) owns any assets (other than assets of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nature), (b) has any liabilities (other than liabilities of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nature), or (c) engages in any business activity, in each case, other than maintenance of its existence (or its liquidation or dissolution, to the extent permitted herein), performance of its obligations hereunder and under the other Loan Documents, and activities incidental to any of the foregoing.</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4.30</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Hedge Agreements</w:t>
      </w:r>
      <w:r>
        <w:rPr>
          <w:rFonts w:ascii="Arial" w:cs="Arial" w:eastAsia="Arial" w:hAnsi="Arial"/>
          <w:sz w:val="20"/>
          <w:szCs w:val="20"/>
          <w:color w:val="auto"/>
        </w:rPr>
        <w:t>. On each date that any Hedge Agreement is executed by Parent or any of its Restricted Subsidiaries, on the one hand, and any Hedge Provider, on the other hand, Parent and each other Loan Party satisfy all eligibility, suitability and other requirements under the Commodity Exchange Act (7 U.S.C. § 1, et seq., as in effect from time to time) and the Commodity Futures Trading Commission regulations.</w:t>
      </w:r>
    </w:p>
    <w:p>
      <w:pPr>
        <w:spacing w:after="0" w:line="18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4.31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Insurance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4.31</w:t>
      </w:r>
      <w:r>
        <w:rPr>
          <w:rFonts w:ascii="Arial" w:cs="Arial" w:eastAsia="Arial" w:hAnsi="Arial"/>
          <w:sz w:val="20"/>
          <w:szCs w:val="20"/>
          <w:color w:val="auto"/>
        </w:rPr>
        <w:t xml:space="preserve"> to this Agreement sets forth a complete and accurate description of all insurance policies of any nature maintained, as of the Sixth Restatement Effective Date, for current occurrences by Parent and each of its Restricted Subsidiaries, as well as a summary of the terms of each such policy.</w:t>
      </w:r>
    </w:p>
    <w:p>
      <w:pPr>
        <w:spacing w:after="0" w:line="179" w:lineRule="exact"/>
        <w:rPr>
          <w:sz w:val="20"/>
          <w:szCs w:val="20"/>
          <w:color w:val="auto"/>
        </w:rPr>
      </w:pPr>
    </w:p>
    <w:p>
      <w:pPr>
        <w:ind w:left="400" w:hanging="392"/>
        <w:spacing w:after="0"/>
        <w:tabs>
          <w:tab w:leader="none" w:pos="400" w:val="left"/>
        </w:tabs>
        <w:numPr>
          <w:ilvl w:val="0"/>
          <w:numId w:val="224"/>
        </w:numPr>
        <w:rPr>
          <w:rFonts w:ascii="Arial" w:cs="Arial" w:eastAsia="Arial" w:hAnsi="Arial"/>
          <w:sz w:val="20"/>
          <w:szCs w:val="20"/>
          <w:color w:val="auto"/>
        </w:rPr>
      </w:pPr>
      <w:r>
        <w:rPr>
          <w:rFonts w:ascii="Arial" w:cs="Arial" w:eastAsia="Arial" w:hAnsi="Arial"/>
          <w:sz w:val="20"/>
          <w:szCs w:val="20"/>
          <w:b w:val="1"/>
          <w:bCs w:val="1"/>
          <w:color w:val="auto"/>
        </w:rPr>
        <w:t>AFFIRMATIVE COVENANTS.</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Each Borrower covenants and agrees that, until the termination of all of the Commitments and payment in full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19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u w:val="single" w:color="auto"/>
          <w:color w:val="auto"/>
        </w:rPr>
        <w:t>5.1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Financial Statements, Reports, Certificates</w:t>
      </w:r>
      <w:r>
        <w:rPr>
          <w:rFonts w:ascii="Arial" w:cs="Arial" w:eastAsia="Arial" w:hAnsi="Arial"/>
          <w:sz w:val="19"/>
          <w:szCs w:val="19"/>
          <w:color w:val="auto"/>
        </w:rPr>
        <w:t xml:space="preserve">. Borrowers (a) will deliver to Agent, for distribution to each Lender, each of the financial statements, reports, and other items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to this Agreement no later than the times specified therein, (b) agree that no Restricted Subsidiary of a Loan Party will have a fiscal year different from that of Parent, (c) agree to maintain a system of accounting that enables Borrowers to produce financial statements in accordance with GAAP, and (d) agree that they will, and will cause each other Loan Party to, (i) keep a reporting system that shows in all material respects all additions, sales, claims, returns, and allowances with respect to their and their Restricted Subsidiaries’ sales, and (ii) maintain their billing systems and practices substantially as in effect as of the Sixth Restatement Effective Date and shall only make material modifications thereto with notice to, and with the consent of, Agent (such consent not to be unreasonably withheld, conditioned or delayed).</w:t>
      </w:r>
    </w:p>
    <w:p>
      <w:pPr>
        <w:spacing w:after="0" w:line="17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5.2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Reporting</w:t>
      </w:r>
      <w:r>
        <w:rPr>
          <w:rFonts w:ascii="Arial" w:cs="Arial" w:eastAsia="Arial" w:hAnsi="Arial"/>
          <w:sz w:val="20"/>
          <w:szCs w:val="20"/>
          <w:color w:val="auto"/>
        </w:rPr>
        <w:t xml:space="preserve">. Borrowers (a) will deliver to Agent (and if so requested by Agent, with copies for each Lender) each of the reports set forth on </w:t>
      </w:r>
      <w:r>
        <w:rPr>
          <w:rFonts w:ascii="Arial" w:cs="Arial" w:eastAsia="Arial" w:hAnsi="Arial"/>
          <w:sz w:val="20"/>
          <w:szCs w:val="20"/>
          <w:u w:val="single" w:color="auto"/>
          <w:color w:val="auto"/>
        </w:rPr>
        <w:t>Schedule 5.2</w:t>
      </w:r>
      <w:r>
        <w:rPr>
          <w:rFonts w:ascii="Arial" w:cs="Arial" w:eastAsia="Arial" w:hAnsi="Arial"/>
          <w:sz w:val="20"/>
          <w:szCs w:val="20"/>
          <w:color w:val="auto"/>
        </w:rPr>
        <w:t xml:space="preserve"> to this Agreement at the times specified therein, and (b) agree to use commercially reasonable efforts in cooperation with Agent to facilitate and implement a system of electronic collateral reporting to provide electronic reporting of each of the items set forth on such Schedule.</w:t>
      </w:r>
    </w:p>
    <w:p>
      <w:pPr>
        <w:spacing w:after="0" w:line="182"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u w:val="single" w:color="auto"/>
          <w:color w:val="auto"/>
        </w:rPr>
        <w:t>5.3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Existence</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 Parent will, and will cause each of its Restricted Subsidiaries to, at all times preserve and keep in full force and effect such Person’s valid existence and good standing in its jurisdiction of organization and, except as could not reasonably be expected to result in a Material Adverse Effect, good standing with respect to all other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4" w:name="page225"/>
    <w:bookmarkEnd w:id="224"/>
    <w:p>
      <w:pPr>
        <w:jc w:val="both"/>
        <w:spacing w:after="0" w:line="260" w:lineRule="auto"/>
        <w:rPr>
          <w:sz w:val="20"/>
          <w:szCs w:val="20"/>
          <w:color w:val="auto"/>
        </w:rPr>
      </w:pPr>
      <w:r>
        <w:rPr>
          <w:rFonts w:ascii="Arial" w:cs="Arial" w:eastAsia="Arial" w:hAnsi="Arial"/>
          <w:sz w:val="20"/>
          <w:szCs w:val="20"/>
          <w:color w:val="auto"/>
        </w:rPr>
        <w:t>jurisdictions in which it is qualified to do business and any rights, franchises, permits, licenses, accreditations, authorizations, or other approvals material to their businesses.</w:t>
      </w:r>
    </w:p>
    <w:p>
      <w:pPr>
        <w:spacing w:after="0" w:line="17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5.4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Maintenance of Properties</w:t>
      </w:r>
      <w:r>
        <w:rPr>
          <w:rFonts w:ascii="Arial" w:cs="Arial" w:eastAsia="Arial" w:hAnsi="Arial"/>
          <w:sz w:val="20"/>
          <w:szCs w:val="20"/>
          <w:color w:val="auto"/>
        </w:rPr>
        <w:t>. Parent will, and will cause each of its Restricted Subsidiaries to, maintain and preserve all of its assets that are necessary or useful in the proper conduct of its business in good working order and condition, ordinary wear, tear, casualty, and condemnation and Permitted Dispositions excepted.</w:t>
      </w:r>
    </w:p>
    <w:p>
      <w:pPr>
        <w:spacing w:after="0" w:line="17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5.5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Parent will, and will cause each of its Restricted Subsidiaries to, pay in full before delinquency or before the expiration of any extension period all Taxes imposed, levied, or assessed against it, or any of its assets or in respect of any of its income, businesses, or franchises, other than Taxes not in excess of $5,000,000 outstanding at any time and other than to the extent that the validity of such Tax is the subject of a Permitted Protest.</w:t>
      </w:r>
    </w:p>
    <w:p>
      <w:pPr>
        <w:spacing w:after="0" w:line="18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Parent will, and will cause each of its Restricted Subsidiaries to maintain insurance in respect of each Loan Party’s and its Restricted Subsidiaries’ assets wherever located, covering liabilities, losses or damages as are customarily insured against by other Persons engaged in same or similar businesses and similarly situated and located. All such policies of insurance shall be with financially sound and reputable insurance companies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Sixth Restatement Effective Date are acceptable to Agent). All property insurance policies are to be made payable to Agent for the benefit of Agent and the Lenders, as their interests may appear, in case of loss, pursuant to a standard lender’s loss payable endorsement with a standard non-contributory “lender” or “secured party” clause and are to contain such other customary provisions as Agent may require in its Permitted Discretion to fully protect the Lenders’ interest in the Collateral and to any payments to be made under such policies. All certificates of property and general liability insurance are to be delivered to Agent, with the lender’s loss payable and additional insured endorsements in favor of Agent and shall provide for not less than thirty days (ten days in the case of non-payment) prior written notice to Agent of the exercise of any right of cancellation. If any Loan Party or its Restricted Subsidiaries fails to maintain such insurance, Agent may arrange for such insurance, but at Borrowers’ expense and without any responsibility on Agent’s part for obtaining the insurance, the solvency of the insurance companies, the adequacy of the coverage, or the collection of claims. Borrowers shall give Agent prompt notice of any loss exceeding $10,000,000 covered by the casualty or business interruption insurance of any Loan Party or its Restricted Subsidiaries.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5.7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Inspection</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2" w:lineRule="auto"/>
        <w:tabs>
          <w:tab w:leader="none" w:pos="209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Parent will, and will cause each of its Restricted Subsidiaries to, permit Agent, and its duly authorized representatives or agents, with reasonable prior notice to Administrative Borrower and during regular business hours,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Arial" w:cs="Arial" w:eastAsia="Arial" w:hAnsi="Arial"/>
          <w:sz w:val="20"/>
          <w:szCs w:val="20"/>
          <w:u w:val="single" w:color="auto"/>
          <w:color w:val="auto"/>
        </w:rPr>
        <w:t>provided</w:t>
      </w:r>
      <w:r>
        <w:rPr>
          <w:rFonts w:ascii="Arial" w:cs="Arial" w:eastAsia="Arial" w:hAnsi="Arial"/>
          <w:sz w:val="20"/>
          <w:szCs w:val="20"/>
          <w:color w:val="auto"/>
        </w:rPr>
        <w:t>, that an authorized representative of Administrative Borrower shall be allowed to be present) at such reasonable times and intervals as Agent, may designate and, so long as no Default or Event of Default has occurred and is continuing, with reasonable prior notice to Administrative Borrower and during regular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5" w:name="page226"/>
    <w:bookmarkEnd w:id="225"/>
    <w:p>
      <w:pPr>
        <w:jc w:val="both"/>
        <w:ind w:left="200"/>
        <w:spacing w:after="0" w:line="257" w:lineRule="auto"/>
        <w:rPr>
          <w:sz w:val="20"/>
          <w:szCs w:val="20"/>
          <w:color w:val="auto"/>
        </w:rPr>
      </w:pPr>
      <w:r>
        <w:rPr>
          <w:rFonts w:ascii="Arial" w:cs="Arial" w:eastAsia="Arial" w:hAnsi="Arial"/>
          <w:sz w:val="19"/>
          <w:szCs w:val="19"/>
          <w:color w:val="auto"/>
        </w:rPr>
        <w:t xml:space="preserve">hours, at Borrowers’ expense in accordance with the provisions of the Fee Letter, subject to the limitations set forth below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5.7(c)</w:t>
      </w:r>
      <w:r>
        <w:rPr>
          <w:rFonts w:ascii="Arial" w:cs="Arial" w:eastAsia="Arial" w:hAnsi="Arial"/>
          <w:sz w:val="19"/>
          <w:szCs w:val="19"/>
          <w:color w:val="auto"/>
        </w:rPr>
        <w:t>. Notwithstanding anything to the contrary herein or in any other Loan Document, none of the Loan Parties nor any of its or their Subsidiaries will be required to disclose or permit the inspection or discussion of, any document, information or other matter (i) in respect of which disclosure to the Agent (or its representatives or agents) is prohibited by any applicable law or any binding agreement with a third party (provided, that, with respect to any such binding agreement with a third party, the relevant Loan Party or Subsidiary shall upon request from Agent have used commercially reasonable efforts to obtain a waiver of any such prohibition) or (ii) that is subject to attorney client or similar privilege or constitutes attorney work product.</w:t>
      </w:r>
    </w:p>
    <w:p>
      <w:pPr>
        <w:spacing w:after="0" w:line="183" w:lineRule="exact"/>
        <w:rPr>
          <w:sz w:val="20"/>
          <w:szCs w:val="20"/>
          <w:color w:val="auto"/>
        </w:rPr>
      </w:pPr>
    </w:p>
    <w:p>
      <w:pPr>
        <w:jc w:val="both"/>
        <w:ind w:left="200" w:firstLine="1493"/>
        <w:spacing w:after="0" w:line="257" w:lineRule="auto"/>
        <w:tabs>
          <w:tab w:leader="none" w:pos="209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Parent will, and will cause each of its Restricted Subsidiaries to, permit Agent and each of its duly authorized representatives or agents, with reasonable prior notice to Parent and during regular business hours, to conduct field examinations or appraisals at such reasonable times and intervals as Agent may designate, at Borrowers’ expense in accordance with the provisions of the Fee Letter, subject to the limitations set forth below in </w:t>
      </w:r>
      <w:r>
        <w:rPr>
          <w:rFonts w:ascii="Arial" w:cs="Arial" w:eastAsia="Arial" w:hAnsi="Arial"/>
          <w:sz w:val="19"/>
          <w:szCs w:val="19"/>
          <w:u w:val="single" w:color="auto"/>
          <w:color w:val="auto"/>
        </w:rPr>
        <w:t>Section 5.7(c)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any such examination or appraisal by any representative or agent of Agent (other than Agent’s own employees), such representative or agent shall have agreed in writing to comply with the confidentiality provisions set forth in this Agreement or shall otherwise be bound by professional ethics rules or by binding contractual obligations with Agent (or such Lender, as applicable) to maintain confidentiality.</w:t>
      </w:r>
    </w:p>
    <w:p>
      <w:pPr>
        <w:spacing w:after="0" w:line="182" w:lineRule="exact"/>
        <w:rPr>
          <w:rFonts w:ascii="Arial" w:cs="Arial" w:eastAsia="Arial" w:hAnsi="Arial"/>
          <w:sz w:val="19"/>
          <w:szCs w:val="19"/>
          <w:color w:val="auto"/>
        </w:rPr>
      </w:pPr>
    </w:p>
    <w:p>
      <w:pPr>
        <w:jc w:val="both"/>
        <w:ind w:left="200" w:firstLine="1493"/>
        <w:spacing w:after="0" w:line="272" w:lineRule="auto"/>
        <w:tabs>
          <w:tab w:leader="none" w:pos="209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Borrowers shall not be obligated to reimburse Agent for more than one field examination and one appraisal in each calendar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Borrowers shall be required to reimburse Agent for (i) one additional field examination and one additional appraisal in each calendar year during which Availability has been, at any time during such calendar year, less than 20% of the Maximum Revolver Amount; (ii) all field examinations and appraisals conducted in connection with a Permitted Acquisition or Permitted Investment (of the type described in Eligible Accounts, Eligible Rolling Stock, Eligible Equipment Inventory, and Eligible Parts and Tools Inventory (regardless of whether such Permitted Acquisition or Permitted Investment is consummated)); and (iii) all field examinations and appraisals commenced during the existence of any Event of Default. Notwithstanding anything herein to the contrary, Borrowers shall not be obligated to reimburse Agent for more than one environmental audit per year.</w:t>
      </w:r>
    </w:p>
    <w:p>
      <w:pPr>
        <w:spacing w:after="0" w:line="16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u w:val="single" w:color="auto"/>
          <w:color w:val="auto"/>
        </w:rPr>
        <w:t>5.8</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Parent will, and will cause each of its Restricted Subsidiaries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5.9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Environmental</w:t>
      </w:r>
      <w:r>
        <w:rPr>
          <w:rFonts w:ascii="Arial" w:cs="Arial" w:eastAsia="Arial" w:hAnsi="Arial"/>
          <w:sz w:val="20"/>
          <w:szCs w:val="20"/>
          <w:color w:val="auto"/>
        </w:rPr>
        <w:t>. Parent will, and will cause each of its Restricted Subsidiaries to,</w:t>
      </w:r>
    </w:p>
    <w:p>
      <w:pPr>
        <w:spacing w:after="0" w:line="221" w:lineRule="exact"/>
        <w:rPr>
          <w:sz w:val="20"/>
          <w:szCs w:val="20"/>
          <w:color w:val="auto"/>
        </w:rPr>
      </w:pPr>
    </w:p>
    <w:p>
      <w:pPr>
        <w:jc w:val="both"/>
        <w:ind w:left="200" w:firstLine="1493"/>
        <w:spacing w:after="0" w:line="246" w:lineRule="auto"/>
        <w:tabs>
          <w:tab w:leader="none" w:pos="209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Keep any property either owned or operated by any Loan Party or its Restricted Subsidiaries free of any Environmental Liens or post bonds or other financial assurances sufficient to satisfy the obligations or liability evidenced by such Environmental Liens, except for Environmental Liens that, individually or in the aggregate, could not reasonably be expected to result in a Material Adverse Effect,</w:t>
      </w:r>
    </w:p>
    <w:p>
      <w:pPr>
        <w:spacing w:after="0" w:line="189" w:lineRule="exact"/>
        <w:rPr>
          <w:rFonts w:ascii="Arial" w:cs="Arial" w:eastAsia="Arial" w:hAnsi="Arial"/>
          <w:sz w:val="20"/>
          <w:szCs w:val="20"/>
          <w:color w:val="auto"/>
        </w:rPr>
      </w:pPr>
    </w:p>
    <w:p>
      <w:pPr>
        <w:jc w:val="both"/>
        <w:ind w:left="200" w:firstLine="1493"/>
        <w:spacing w:after="0" w:line="249" w:lineRule="auto"/>
        <w:tabs>
          <w:tab w:leader="none" w:pos="209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Comply with Environmental Laws, except where non-compliance, individually or in the aggregate, could not reasonably be expected to result in a Material Adverse Effect, and provide to Agent documentation of such compliance which Agent reasonably requests,</w:t>
      </w:r>
    </w:p>
    <w:p>
      <w:pPr>
        <w:spacing w:after="0" w:line="187" w:lineRule="exact"/>
        <w:rPr>
          <w:rFonts w:ascii="Arial" w:cs="Arial" w:eastAsia="Arial" w:hAnsi="Arial"/>
          <w:sz w:val="20"/>
          <w:szCs w:val="20"/>
          <w:color w:val="auto"/>
        </w:rPr>
      </w:pPr>
    </w:p>
    <w:p>
      <w:pPr>
        <w:ind w:left="200" w:right="40" w:firstLine="1493"/>
        <w:spacing w:after="0" w:line="260" w:lineRule="auto"/>
        <w:tabs>
          <w:tab w:leader="none" w:pos="209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Promptly notify Agent of any release of which any Loan Party has knowledge of a Hazardous Material in any reportable quantity from or onto property owned or operated by any Loan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6" w:name="page227"/>
    <w:bookmarkEnd w:id="226"/>
    <w:p>
      <w:pPr>
        <w:jc w:val="both"/>
        <w:ind w:left="200"/>
        <w:spacing w:after="0" w:line="249" w:lineRule="auto"/>
        <w:rPr>
          <w:sz w:val="20"/>
          <w:szCs w:val="20"/>
          <w:color w:val="auto"/>
        </w:rPr>
      </w:pPr>
      <w:r>
        <w:rPr>
          <w:rFonts w:ascii="Arial" w:cs="Arial" w:eastAsia="Arial" w:hAnsi="Arial"/>
          <w:sz w:val="20"/>
          <w:szCs w:val="20"/>
          <w:color w:val="auto"/>
        </w:rPr>
        <w:t>Party or its Restricted Subsidiaries, which release, individually or in the aggregate, could reasonably be expected to result in a Material Adverse Effect and take any Remedial Actions required to abate said release or otherwise to come into compliance, in all material respects, with applicable Environmental Law related to such release, and</w:t>
      </w:r>
    </w:p>
    <w:p>
      <w:pPr>
        <w:spacing w:after="0" w:line="188" w:lineRule="exact"/>
        <w:rPr>
          <w:sz w:val="20"/>
          <w:szCs w:val="20"/>
          <w:color w:val="auto"/>
        </w:rPr>
      </w:pPr>
    </w:p>
    <w:p>
      <w:pPr>
        <w:jc w:val="both"/>
        <w:ind w:left="200" w:firstLine="1493"/>
        <w:spacing w:after="0" w:line="275" w:lineRule="auto"/>
        <w:tabs>
          <w:tab w:leader="none" w:pos="209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Promptly, but in any event within five Business Days of its receipt thereof, provide Agent with written notice of any of the following: (i) written notice that an Environmental Lien has been filed against any of the real or personal property of a Loan Party or its Restricted Subsidiaries, (ii) commencement of any Environmental Action or written notice that an Environmental Action will be filed against a Loan Party or its Restricted Subsidiaries, which Environmental Action, individually or in the aggregate, could reasonably be expected to result in a Material Adverse Effect, and (iii) written notice of a violation, citation, or other administrative order from a Governmental Authority which, individually or in the aggregate, could reasonably be expected to result in a Material Adverse Effect.</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u w:val="single" w:color="auto"/>
          <w:color w:val="auto"/>
        </w:rPr>
        <w:t>5.10</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Disclosure Updates</w:t>
      </w:r>
      <w:r>
        <w:rPr>
          <w:rFonts w:ascii="Arial" w:cs="Arial" w:eastAsia="Arial" w:hAnsi="Arial"/>
          <w:sz w:val="19"/>
          <w:szCs w:val="19"/>
          <w:color w:val="auto"/>
        </w:rPr>
        <w:t>. Each Loan Party will, promptly and in no event later than five Business Days after obtaining knowledge thereof, notify Agent if any written information, exhibit, or report (in each case other than any Projections, forward-looking information, other projections, budgets, estimates and information of a general economic nature and general information about the industry of any Loan Party or its Restricted Subsidiaries) furnished to Agent or the Lenders in connection with this Agreement or the other Loan Documents (as modified or supplemented by other information so furnished) contained, at the time it was furnished and taken as a whole, any untrue statement of a material fact or omitted to state any material fact necessary to make the statements contained therein (taken as a whole) not misleading in any material respect at such time in light of the circumstances under which such information was provided.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7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Formation of Subsidiaries</w:t>
      </w:r>
      <w:r>
        <w:rPr>
          <w:rFonts w:ascii="Arial" w:cs="Arial" w:eastAsia="Arial" w:hAnsi="Arial"/>
          <w:sz w:val="18"/>
          <w:szCs w:val="18"/>
          <w:color w:val="auto"/>
        </w:rPr>
        <w:t xml:space="preserve">. Each Loan Party will, at the time that any Loan Party forms any direct or indirect Subsidiary, acquires any direct or indirect Subsidiary after the Sixth Restatement Effective Date, at any time when any direct or indirect Subsidiary of a Loan Party that previously was an Excluded Subsidiary ceases to be an Excluded Subsidiary, or at any time when any Unrestricted Subsidiary is designated as a Restricted Subsidiary, within thirty days of such event (or such later date as permitted by Agent in its sole discretion) (a) unless such Subsidiary is an Excluded Subsidiary, cause such Subsidiary (i) if such Subsidiary is a Domestic Subsidiary and Administrative Borrower requests, subject to the consent of Agent, that such Domestic Subsidiary be joined as a Borrower hereunder, to provide to Agent a Joinder to this Agreement, and (ii) to provide to Agent a joinder to the Guaranty and Security Agreement, in each case, together with (subject to such longer time period as may be expressly provided in any other Loan Document) such other Security Documents reasonably requested by the Agent, in form and substance reasonably satisfactory to Agent (including being sufficient to grant Agent a first priority Lien (subject to Permitted Liens) in and to the assets of such newly formed or acquired Subsidiary); (b) except to the extent exempted or excluded under and in accordance with the terms of the Guaranty and Security Agreement,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only 65% of the total outstanding voting Equity Interests of any first tier Subsidiary of a Loan Party that is a CFC or a Disregarded Domestic Person (and none of the Equity Interests of any Subsidiary of such CFC or Disregarded Domestic Person) shall be required to be pledged if pledging a greater amount would result in adverse tax consequences or the costs to the Loan Parties of providing such pledge are unreasonably excessive (as determined by Agent in consultation with Borrowers) in relation to the benefits to Agent and the Lenders of the security afforded thereby (which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7" w:name="page228"/>
    <w:bookmarkEnd w:id="227"/>
    <w:p>
      <w:pPr>
        <w:jc w:val="both"/>
        <w:spacing w:after="0" w:line="311" w:lineRule="auto"/>
        <w:rPr>
          <w:sz w:val="20"/>
          <w:szCs w:val="20"/>
          <w:color w:val="auto"/>
        </w:rPr>
      </w:pPr>
      <w:r>
        <w:rPr>
          <w:rFonts w:ascii="Arial" w:cs="Arial" w:eastAsia="Arial" w:hAnsi="Arial"/>
          <w:sz w:val="16"/>
          <w:szCs w:val="16"/>
          <w:color w:val="auto"/>
        </w:rPr>
        <w:t>pledge, if reasonably requested by Agent, shall be governed by the laws of the jurisdiction of such Subsidiary), and (c) provide to Agent all other documentation, including the Governing Documents of such Subsidiary, security agreements with respect to such Subsidiary’s intellectual property, and one or more opinions of counsel reasonably satisfactory to Agent, which, in its reasonable opinion, is appropriate with respect to the execution and delivery of the applicable documentation referred to above. Agent shall not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Agent and each Lender has completed its respective Patriot Act searches, OFAC/PEP searches and customary individual background checks for such Subsidiary, the results of which shall be satisfactory to Agent and each Lender, respectively.</w:t>
      </w:r>
    </w:p>
    <w:p>
      <w:pPr>
        <w:spacing w:after="0" w:line="13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u w:val="single" w:color="auto"/>
          <w:color w:val="auto"/>
        </w:rPr>
        <w:t>5.12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Loan Party will, and will cause each of the other Loan Parties to, at any time upon the reasonable request of Agent, execute or deliver to Agent any and all financing statements, fixture filings, security agreements, pledges, assignments, mortgages, deeds of trust, and all other documents (the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that Agent may reasonably request in form and substance reasonably satisfactory to Agent, to create, perfect, and continue perfected or to better perfect Agent’s Liens in all of the assets of each of the Loan Parties (whether now owned or hereafter arising or acquired, tangible or intangible, real or personal) (other than any assets expressly excluded from the Collateral (as defined in the Guaranty and Security Agreement) pursuant to Section 3 of the Guaranty and Security Agreement), and in order to fully consummate all of the transactions contemplated hereby and under the other Loan Documents in each case, subject to any exclusion or qualification expressly set forth herein or in any other Loan Document. In furtherance of the foregoing, to the maximum extent permitted by applicable law, but subject to any applicable provisions of the Security Documents, if any Borrower or any other Loan Party refuses or fails to execute or deliver any reasonably requested Additional Documents within a reasonable period of time not to exceed five Business Days (or such longer period of time as Agent may agree in its Permitted Discretion)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the Loan Parties, including all of the outstanding capital Equity Interests of its Restricted Subsidiaries (in each case, other than with respect to any assets expressly excluded from the Collateral (as defined in the Guaranty and Security Agreement) pursuant to Section 3 of the Guaranty and Security Agreement).</w:t>
      </w:r>
    </w:p>
    <w:p>
      <w:pPr>
        <w:spacing w:after="0" w:line="16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5.13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Lender Meetings</w:t>
      </w:r>
      <w:r>
        <w:rPr>
          <w:rFonts w:ascii="Arial" w:cs="Arial" w:eastAsia="Arial" w:hAnsi="Arial"/>
          <w:sz w:val="20"/>
          <w:szCs w:val="20"/>
          <w:color w:val="auto"/>
        </w:rPr>
        <w:t>. Parent will, at the request of Agent or of the Required Lenders and upon reasonable prior notice, hold at least one telephonic meeting (at a mutually agreeable time) per fiscal year with all Lenders who choose to attend such meeting, at which meeting shall be reviewed the financial results of the previous fiscal year and the financial condition of Parent and its Restricted Subsidiaries and any applicable projections for the current fiscal year of Parent.</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5.14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Compliance with ERISA and the IRC</w:t>
      </w:r>
      <w:r>
        <w:rPr>
          <w:rFonts w:ascii="Arial" w:cs="Arial" w:eastAsia="Arial" w:hAnsi="Arial"/>
          <w:sz w:val="18"/>
          <w:szCs w:val="18"/>
          <w:color w:val="auto"/>
        </w:rPr>
        <w:t xml:space="preserve">. In addition to and without limiting the generality of </w:t>
      </w:r>
      <w:r>
        <w:rPr>
          <w:rFonts w:ascii="Arial" w:cs="Arial" w:eastAsia="Arial" w:hAnsi="Arial"/>
          <w:sz w:val="18"/>
          <w:szCs w:val="18"/>
          <w:u w:val="single" w:color="auto"/>
          <w:color w:val="auto"/>
        </w:rPr>
        <w:t>Section 5.8</w:t>
      </w:r>
      <w:r>
        <w:rPr>
          <w:rFonts w:ascii="Arial" w:cs="Arial" w:eastAsia="Arial" w:hAnsi="Arial"/>
          <w:sz w:val="18"/>
          <w:szCs w:val="18"/>
          <w:color w:val="auto"/>
        </w:rPr>
        <w:t>, Parent shall, and shall cause each of its Restricted Subsidiaries to, except as could not reasonably be expected to result, either individually or in the aggregate, in a Material Adverse Effect, (a) comply with applicable provisions of ERISA and the IRC with respect to all Employee Benefit Plans, (b) without the prior written consent of Agent and the Required Lenders, not take any action or fail to take action the result of which could result in a Loan Party or ERISA Affiliate incurring a liability to the PBGC or to a Multiemployer Plan (other than to pay contributions or premiums payable in the ordinary course), (c) allow any failure to comply with applicable law or the terms of any Employee Benefit Plan to exist with respect to one or more Employee Benefit Plans that, in the aggregate, reasonably could be expected to result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8" w:name="page229"/>
    <w:bookmarkEnd w:id="228"/>
    <w:p>
      <w:pPr>
        <w:jc w:val="both"/>
        <w:spacing w:after="0" w:line="256" w:lineRule="auto"/>
        <w:rPr>
          <w:sz w:val="20"/>
          <w:szCs w:val="20"/>
          <w:color w:val="auto"/>
        </w:rPr>
      </w:pPr>
      <w:r>
        <w:rPr>
          <w:rFonts w:ascii="Arial" w:cs="Arial" w:eastAsia="Arial" w:hAnsi="Arial"/>
          <w:sz w:val="19"/>
          <w:szCs w:val="19"/>
          <w:color w:val="auto"/>
        </w:rPr>
        <w:t>in a Material Adverse Effect, (d) not participate in any prohibited transaction that could result in a civil penalty excise tax, fiduciary liability or correction obligation for violating ERISA or the IRC, (e) operate each Employee Benefit Plan in such a manner that will not incur any tax liability under the IRC (including Section 4980B of the IRC), and (f) furnish to Agent within a reasonable period of time after Agent’s written request such additional information about any Employee Benefit Plan for which any Loan Party could reasonably expect to incur any liability. With respect to each Pension Plan (other than a Multiemployer Plan) except as could not reasonably be expected to result in a Material Adverse Effect, the Loan Parties and the ERISA Affiliates shall (i) satisfy in full and in a timely manner, without incurring any late payment or underpayment charge or penalty and without giving rise to any Lien, all of the contribution and funding requirements of the IRC and of ERISA, and (ii) pay, or cause to be paid, to the PBGC in a timely manner, without incurring any late payment or underpayment charge or penalty, all premiums required pursuant to ERISA.</w:t>
      </w:r>
    </w:p>
    <w:p>
      <w:pPr>
        <w:spacing w:after="0" w:line="17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u w:val="single" w:color="auto"/>
          <w:color w:val="auto"/>
        </w:rPr>
        <w:t>5.15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Location of Inventory and Rolling Stock; Chief Executive Office</w:t>
      </w:r>
      <w:r>
        <w:rPr>
          <w:rFonts w:ascii="Arial" w:cs="Arial" w:eastAsia="Arial" w:hAnsi="Arial"/>
          <w:sz w:val="18"/>
          <w:szCs w:val="18"/>
          <w:color w:val="auto"/>
        </w:rPr>
        <w:t xml:space="preserve">. Parent will, and will cause each of the Loan Parties to, keep (a) their Inventory and Rolling Stock only at, or in the possession of, (i) a location identified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to this Agreement (provided that Borrowers may amend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to this Agreement so long as such amendment occurs by written notice to Agent not less than ten days (or such shorter period of time as Agent may agree in its Permitted Discretion) prior to the date on which such Inventory or Rolling Stock is moved to such new location and so long as Agent has consented to such amendment and such new location is within a state of the United States or the District of Columbia or Puerto Rico or Canada or any province or territory thereof), (ii) in the cases of Equipment Inventory or Rolling Stock, in the possession of a repairman or mechanic in the ordinary course of business, (iii) in the case of Rolling Stock, in the possession of an employee who is using such Rolling Stock in the ordinary course of business, (iv) in the case of Equipment Inventory, in the possession of a lessee in the ordinary course of business, or (v) in transit to or from any of the foregoing Persons or locations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Parent shall provide to Agent from time to time upon Agent’s reasonable request a reasonably detailed listing of (1) all Equipment Inventory on lease to third parties, (2) all Equipment Inventory and Rolling Stock in the possession of any bailee, warehouseman, or similar party, and (3) all Equipment Inventory and Rolling Stock in the possession of any repairman or mechanic (but only if, in Parent’s good faith determination, such Equipment Inventory or Rolling Stock is likely to be located with such repairman or mechanic for more than 15 days), including, in each case, the name of the bailee, warehouseman, similar party, repairman or mechanic, employee, or lessee, as applicable, the nature of such Person’s possession of such Equipment Inventory or Rolling Stock, the address or location of each such Person and the address or location at which such Equipment Inventory or Rolling Stock is located, and a description of such Equipment Inventory or Rolling Stock), and (b) their respective chief executive offices only at the locations identified on Schedule 7 to the Guaranty and Security Agreement (or another location in a state of the United States or the District of Columbia as to which such Person has given Agent not less than 10 Business Days prior written notice (or such shorter period of time agreed to by Agent in its Permitted Discretion)). Parent will, and will cause each of the other Loan Parties to, use their commercially reasonable efforts to obtain Collateral Access Agreements for (x) each of the locations where the Loan Parties’ books and records are located and (y) each location identified on Schedule 7 to the Guaranty and Security Agreement or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to this Agreement at which the value of Borrowing Base Assets at such location is greater than $1,000,000, and each bailee, warehouseman, or similar party which is in possession of Borrowing Base Assets having an aggregate value of greater than $1,000,000.</w:t>
      </w:r>
    </w:p>
    <w:p>
      <w:pPr>
        <w:spacing w:after="0" w:line="17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5.16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OFAC; Sanctions; Anti-Corruption Laws; Anti-Money Laundering Laws</w:t>
      </w:r>
      <w:r>
        <w:rPr>
          <w:rFonts w:ascii="Arial" w:cs="Arial" w:eastAsia="Arial" w:hAnsi="Arial"/>
          <w:sz w:val="20"/>
          <w:szCs w:val="20"/>
          <w:color w:val="auto"/>
        </w:rPr>
        <w:t>. Each Loan Party will, and will cause each of its Subsidiaries to, comply with all applicable Sanctions, Anti-Corruption Laws and Anti-Money Laundering Laws. Each of the Loan Parties and its Subsidiaries shall implement and maintain in effect policies and procedures reasonably designed to ensure compliance by the Loan Parties and their Subsidiaries and their respective directors, officers, employees, agents and Affiliates with Sanctions, Anti-Corruption Laws and Anti-Money Laundering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9" w:name="page230"/>
    <w:bookmarkEnd w:id="229"/>
    <w:p>
      <w:pPr>
        <w:jc w:val="both"/>
        <w:ind w:firstLine="749"/>
        <w:spacing w:after="0" w:line="243" w:lineRule="auto"/>
        <w:rPr>
          <w:sz w:val="20"/>
          <w:szCs w:val="20"/>
          <w:color w:val="auto"/>
        </w:rPr>
      </w:pPr>
      <w:r>
        <w:rPr>
          <w:rFonts w:ascii="Arial" w:cs="Arial" w:eastAsia="Arial" w:hAnsi="Arial"/>
          <w:sz w:val="20"/>
          <w:szCs w:val="20"/>
          <w:u w:val="single" w:color="auto"/>
          <w:color w:val="auto"/>
        </w:rPr>
        <w:t>5.17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Floor Plan and Off Balance Sheet Equipment Inventory</w:t>
      </w:r>
      <w:r>
        <w:rPr>
          <w:rFonts w:ascii="Arial" w:cs="Arial" w:eastAsia="Arial" w:hAnsi="Arial"/>
          <w:sz w:val="20"/>
          <w:szCs w:val="20"/>
          <w:color w:val="auto"/>
        </w:rPr>
        <w:t xml:space="preserve">. Parent shall, and shall cause each of its Restricted Subsidiaries to, use their commercially reasonable efforts to obtain Vendor Intercreditor Agreements with respect to all Floor Plan Equipment Inventory and Off Balance Sheet Equipment Inventory (including, without limitation, exercising commercially reasonable efforts to obtain Vendor Intercreditor Agreements from any Person to which any Lien on such Equipment Inventory was assigned and any Person to which ownership of any Off Balance Sheet Equipment Inventory was assigned);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5.17</w:t>
      </w:r>
      <w:r>
        <w:rPr>
          <w:rFonts w:ascii="Arial" w:cs="Arial" w:eastAsia="Arial" w:hAnsi="Arial"/>
          <w:sz w:val="20"/>
          <w:szCs w:val="20"/>
          <w:color w:val="auto"/>
        </w:rPr>
        <w:t xml:space="preserve"> shall in any way limit or restrict Agent’s right to implement Reserves with respect to, or make ineligible, Floor Plan Equipment Inventory or Off Balance Sheet Equipment Inventory or any Accounts arising from the lease of any such Equipment Inventory, in each case to the extent Agent is otherwise permitted under this Agreement.</w:t>
      </w:r>
    </w:p>
    <w:p>
      <w:pPr>
        <w:spacing w:after="0" w:line="187" w:lineRule="exact"/>
        <w:rPr>
          <w:sz w:val="20"/>
          <w:szCs w:val="20"/>
          <w:color w:val="auto"/>
        </w:rPr>
      </w:pPr>
    </w:p>
    <w:p>
      <w:pPr>
        <w:jc w:val="both"/>
        <w:ind w:firstLine="749"/>
        <w:spacing w:after="0" w:line="310" w:lineRule="auto"/>
        <w:rPr>
          <w:sz w:val="20"/>
          <w:szCs w:val="20"/>
          <w:color w:val="auto"/>
        </w:rPr>
      </w:pPr>
      <w:r>
        <w:rPr>
          <w:rFonts w:ascii="Arial" w:cs="Arial" w:eastAsia="Arial" w:hAnsi="Arial"/>
          <w:sz w:val="16"/>
          <w:szCs w:val="16"/>
          <w:u w:val="single" w:color="auto"/>
          <w:color w:val="auto"/>
        </w:rPr>
        <w:t>5.18</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Designation of Subsidiaries</w:t>
      </w:r>
      <w:r>
        <w:rPr>
          <w:rFonts w:ascii="Arial" w:cs="Arial" w:eastAsia="Arial" w:hAnsi="Arial"/>
          <w:sz w:val="16"/>
          <w:szCs w:val="16"/>
          <w:color w:val="auto"/>
        </w:rPr>
        <w:t xml:space="preserve">. Parent may designate any Restricted Subsidiary to be an Unrestricted Subsidiary so long as (a) the Payment Conditions shall have been satisfied with respect to such designation (treating such designation as an Investment as provided below); (b) such Restricted Subsidiary is not a guarantor of any Indebtedness of Parent or any of its Restricted Subsidiaries (other than the Obligations); (c) such Restricted Subsidiary is not a Borrower; and (d) none of the assets of such Restricted Subsidiary are, immediately before such designation, included in the calculation of the Borrowing Base. The designation of any Restricted Subsidiary as an Unrestricted Subsidiary after the Sixth Restatement Effective Date shall constitute an Investment by the applicable Loan Party therein at the date of designation in an amount equal to the fair market value of such Loan Party’s direct or indirect Investment in such Restricted Subsidiary and such Investment must constitute a Permitted Investment. Parent may designate any Unrestricted Subsidiary to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designation shall constitute the incurrence or making at the time of designation of any Investments, Indebtedness, and Liens of such Subsidiary existing at such time and each of the same must be permitted under the terms of this Agreement.</w:t>
      </w:r>
    </w:p>
    <w:p>
      <w:pPr>
        <w:spacing w:after="0" w:line="369" w:lineRule="exact"/>
        <w:rPr>
          <w:sz w:val="20"/>
          <w:szCs w:val="20"/>
          <w:color w:val="auto"/>
        </w:rPr>
      </w:pPr>
    </w:p>
    <w:p>
      <w:pPr>
        <w:ind w:left="400" w:hanging="392"/>
        <w:spacing w:after="0"/>
        <w:tabs>
          <w:tab w:leader="none" w:pos="400" w:val="left"/>
        </w:tabs>
        <w:numPr>
          <w:ilvl w:val="0"/>
          <w:numId w:val="229"/>
        </w:numPr>
        <w:rPr>
          <w:rFonts w:ascii="Arial" w:cs="Arial" w:eastAsia="Arial" w:hAnsi="Arial"/>
          <w:sz w:val="20"/>
          <w:szCs w:val="20"/>
          <w:color w:val="auto"/>
        </w:rPr>
      </w:pPr>
      <w:r>
        <w:rPr>
          <w:rFonts w:ascii="Arial" w:cs="Arial" w:eastAsia="Arial" w:hAnsi="Arial"/>
          <w:sz w:val="20"/>
          <w:szCs w:val="20"/>
          <w:b w:val="1"/>
          <w:bCs w:val="1"/>
          <w:color w:val="auto"/>
        </w:rPr>
        <w:t>NEGATIVE COVENANTS.</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Each Borrower covenants and agrees that, until the termination of all of the Commitments and the payment in full of the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193" w:lineRule="exact"/>
        <w:rPr>
          <w:sz w:val="20"/>
          <w:szCs w:val="20"/>
          <w:color w:val="auto"/>
        </w:rPr>
      </w:pPr>
    </w:p>
    <w:p>
      <w:pPr>
        <w:jc w:val="both"/>
        <w:ind w:firstLine="749"/>
        <w:spacing w:after="0" w:line="322" w:lineRule="auto"/>
        <w:rPr>
          <w:sz w:val="20"/>
          <w:szCs w:val="20"/>
          <w:color w:val="auto"/>
        </w:rPr>
      </w:pPr>
      <w:r>
        <w:rPr>
          <w:rFonts w:ascii="Arial" w:cs="Arial" w:eastAsia="Arial" w:hAnsi="Arial"/>
          <w:sz w:val="18"/>
          <w:szCs w:val="18"/>
          <w:u w:val="single" w:color="auto"/>
          <w:color w:val="auto"/>
        </w:rPr>
        <w:t>6.1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Parent shall not, nor shall it permit any Restricted Subsidiary to, create, incur, assume, suffer to exist, guarantee, or otherwise become or remain, directly or indirectly, liable with respect to any Indebtedness, except for Permitted Indebtedness.</w:t>
      </w:r>
    </w:p>
    <w:p>
      <w:pPr>
        <w:spacing w:after="0" w:line="11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6.2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 Parent shall not, nor shall it permit any Restricted Subsidiary to, create, incur, assume, or suffer to exist, directly or indirectly, any Lien on or with respect to any of its assets, of any kind, whether now owned or hereafter acquired, or any income or profits therefrom, except for Permitted Liens.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6.3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Restrictions on Fundamental Changes</w:t>
      </w:r>
      <w:r>
        <w:rPr>
          <w:rFonts w:ascii="Arial" w:cs="Arial" w:eastAsia="Arial" w:hAnsi="Arial"/>
          <w:sz w:val="20"/>
          <w:szCs w:val="20"/>
          <w:color w:val="auto"/>
        </w:rPr>
        <w:t>. Parent shall not, nor shall it permit any Restricted Subsidiary to:</w:t>
      </w:r>
    </w:p>
    <w:p>
      <w:pPr>
        <w:spacing w:after="0" w:line="221" w:lineRule="exact"/>
        <w:rPr>
          <w:sz w:val="20"/>
          <w:szCs w:val="20"/>
          <w:color w:val="auto"/>
        </w:rPr>
      </w:pPr>
    </w:p>
    <w:p>
      <w:pPr>
        <w:jc w:val="both"/>
        <w:ind w:left="200" w:firstLine="1493"/>
        <w:spacing w:after="0" w:line="274" w:lineRule="auto"/>
        <w:tabs>
          <w:tab w:leader="none" w:pos="209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Except to the extent necessary to consummate a Permitted Acquisition, enter into any merger, consolidation, reorganization, or recapitalization, or reclassify its Equity Interests, except for any of the same (i) between any of Parent and its Restricted Subsidiaries, on the one hand, and any other Restricted Subsidiary,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merger, consolidation, reorganization or recapitalization involves (A) a Borrower, then a Borrower must be the surviving entity of such transaction, (B) Parent, then Parent must be the surviving entity of such transaction, (C) a Domestic Subsidiary, then a Domestic Subsidiary must be the surviving entity of such transaction and (D) a Restricted Subsidiary which is not an Excluded Subsidiary, an Excluded Subsidiary may not be the surviving entity of such transaction, (ii) involving any Restricted Subsidiary (other than a Loan Party) 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0" w:name="page231"/>
    <w:bookmarkEnd w:id="230"/>
    <w:p>
      <w:pPr>
        <w:ind w:left="200"/>
        <w:spacing w:after="0" w:line="260" w:lineRule="auto"/>
        <w:rPr>
          <w:sz w:val="20"/>
          <w:szCs w:val="20"/>
          <w:color w:val="auto"/>
        </w:rPr>
      </w:pPr>
      <w:r>
        <w:rPr>
          <w:rFonts w:ascii="Arial" w:cs="Arial" w:eastAsia="Arial" w:hAnsi="Arial"/>
          <w:sz w:val="20"/>
          <w:szCs w:val="20"/>
          <w:color w:val="auto"/>
        </w:rPr>
        <w:t>order to effect a Permitted Investment (provided that the continuing or surviving Person shall be a Restricted Subsidiary) and (iii) involving any Restricted Subsidiary (other than a Loan Party) to effect a Permitted Disposition.</w:t>
      </w:r>
    </w:p>
    <w:p>
      <w:pPr>
        <w:spacing w:after="0" w:line="176" w:lineRule="exact"/>
        <w:rPr>
          <w:sz w:val="20"/>
          <w:szCs w:val="20"/>
          <w:color w:val="auto"/>
        </w:rPr>
      </w:pPr>
    </w:p>
    <w:p>
      <w:pPr>
        <w:jc w:val="both"/>
        <w:ind w:left="200" w:firstLine="1493"/>
        <w:spacing w:after="0" w:line="256" w:lineRule="auto"/>
        <w:tabs>
          <w:tab w:leader="none" w:pos="2093" w:val="left"/>
        </w:tabs>
        <w:numPr>
          <w:ilvl w:val="0"/>
          <w:numId w:val="231"/>
        </w:numPr>
        <w:rPr>
          <w:rFonts w:ascii="Arial" w:cs="Arial" w:eastAsia="Arial" w:hAnsi="Arial"/>
          <w:sz w:val="19"/>
          <w:szCs w:val="19"/>
          <w:color w:val="auto"/>
        </w:rPr>
      </w:pPr>
      <w:r>
        <w:rPr>
          <w:rFonts w:ascii="Arial" w:cs="Arial" w:eastAsia="Arial" w:hAnsi="Arial"/>
          <w:sz w:val="19"/>
          <w:szCs w:val="19"/>
          <w:color w:val="auto"/>
        </w:rPr>
        <w:t>liquidate, wind up, or dissolve itself (or suffer any liquidation or dissolution), except for (i) the liquidation or dissolution of non-operating Restricted Subsidiaries of any Loan Party with nominal assets and nominal liabilities and Immaterial Subsidiaries, (ii) the liquidation or dissolution of a Loan Party (other than Parent or any Borrower) or any of its wholly-owned Restricted Subsidiaries so long as all of the assets (including any interest in any Equity Interests) of such liquidating or dissolving Loan Party or Restricted Subsidiary are transferred to a Loan Party that is not liquidating or dissolving, (iii) the liquidation or dissolution of a Restricted Subsidiary of any Loan Party that is not a Loan Party (other than any such Restricted Subsidiary, the Equity Interests of which (or any portion thereof) is subject to a Lien in favor of Agent) so long as all of the assets of such liquidating or dissolving Restricted Subsidiary are transferred to a Restricted Subsidiary of a Loan Party that is not liquidating or dissolving, or (iv) the liquidation or dissolution of any Restricted Subsidiary (other than a Loan Party) to effect a Permitted Disposition,</w:t>
      </w:r>
    </w:p>
    <w:p>
      <w:pPr>
        <w:spacing w:after="0" w:line="181" w:lineRule="exact"/>
        <w:rPr>
          <w:rFonts w:ascii="Arial" w:cs="Arial" w:eastAsia="Arial" w:hAnsi="Arial"/>
          <w:sz w:val="19"/>
          <w:szCs w:val="19"/>
          <w:color w:val="auto"/>
        </w:rPr>
      </w:pPr>
    </w:p>
    <w:p>
      <w:pPr>
        <w:ind w:left="200" w:firstLine="1493"/>
        <w:spacing w:after="0" w:line="260" w:lineRule="auto"/>
        <w:tabs>
          <w:tab w:leader="none" w:pos="209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suspend or cease operating a substantial portion of its or their business, except as permitted pursuant to clauses (a) or (b) above or in connection with a transaction permitted under </w:t>
      </w:r>
      <w:r>
        <w:rPr>
          <w:rFonts w:ascii="Arial" w:cs="Arial" w:eastAsia="Arial" w:hAnsi="Arial"/>
          <w:sz w:val="20"/>
          <w:szCs w:val="20"/>
          <w:u w:val="single" w:color="auto"/>
          <w:color w:val="auto"/>
        </w:rPr>
        <w:t>Section 6.4</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ind w:left="2080" w:hanging="387"/>
        <w:spacing w:after="0"/>
        <w:tabs>
          <w:tab w:leader="none" w:pos="208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change its classification/status for U.S. federal income tax purposes.</w:t>
      </w:r>
    </w:p>
    <w:p>
      <w:pPr>
        <w:spacing w:after="0" w:line="20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6.4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Disposal of Assets</w:t>
      </w:r>
      <w:r>
        <w:rPr>
          <w:rFonts w:ascii="Arial" w:cs="Arial" w:eastAsia="Arial" w:hAnsi="Arial"/>
          <w:sz w:val="20"/>
          <w:szCs w:val="20"/>
          <w:color w:val="auto"/>
        </w:rPr>
        <w:t xml:space="preserve">. Other than Permitted Dispositions or transactions expressly permitted by </w:t>
      </w:r>
      <w:r>
        <w:rPr>
          <w:rFonts w:ascii="Arial" w:cs="Arial" w:eastAsia="Arial" w:hAnsi="Arial"/>
          <w:sz w:val="20"/>
          <w:szCs w:val="20"/>
          <w:u w:val="single" w:color="auto"/>
          <w:color w:val="auto"/>
        </w:rPr>
        <w:t>Sections 6.3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6.9</w:t>
      </w:r>
      <w:r>
        <w:rPr>
          <w:rFonts w:ascii="Arial" w:cs="Arial" w:eastAsia="Arial" w:hAnsi="Arial"/>
          <w:sz w:val="20"/>
          <w:szCs w:val="20"/>
          <w:color w:val="auto"/>
        </w:rPr>
        <w:t>, Parent shall not, nor shall it permit any Restricted Subsidiary to, convey, sell, lease, license, assign, transfer, or otherwise dispose of any of its or their assets.</w:t>
      </w:r>
    </w:p>
    <w:p>
      <w:pPr>
        <w:spacing w:after="0" w:line="17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6.5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Nature of Business</w:t>
      </w:r>
      <w:r>
        <w:rPr>
          <w:rFonts w:ascii="Arial" w:cs="Arial" w:eastAsia="Arial" w:hAnsi="Arial"/>
          <w:sz w:val="20"/>
          <w:szCs w:val="20"/>
          <w:color w:val="auto"/>
        </w:rPr>
        <w:t xml:space="preserve">. Parent shall not, nor shall it permit any Restricted Subsidiary to, make any change in the nature of its or their business as conducted on the Sixth Restatement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foregoing shall not prevent any Loan Party or its Restricted Subsidiaries from engaging in any business that is reasonably related or ancillary to its or their business or a reasonable extension thereof.</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6.6</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Prepayments and Amendments</w:t>
      </w:r>
      <w:r>
        <w:rPr>
          <w:rFonts w:ascii="Arial" w:cs="Arial" w:eastAsia="Arial" w:hAnsi="Arial"/>
          <w:sz w:val="20"/>
          <w:szCs w:val="20"/>
          <w:color w:val="auto"/>
        </w:rPr>
        <w:t>. Parent shall not, nor shall it permit any Restricted Subsidiary to:</w:t>
      </w:r>
    </w:p>
    <w:p>
      <w:pPr>
        <w:spacing w:after="0" w:line="221" w:lineRule="exact"/>
        <w:rPr>
          <w:sz w:val="20"/>
          <w:szCs w:val="20"/>
          <w:color w:val="auto"/>
        </w:rPr>
      </w:pPr>
    </w:p>
    <w:p>
      <w:pPr>
        <w:ind w:left="2080" w:hanging="387"/>
        <w:spacing w:after="0"/>
        <w:tabs>
          <w:tab w:leader="none" w:pos="20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Except in connection with Refinancing Indebtedness permitted by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left="760" w:firstLine="1494"/>
        <w:spacing w:after="0" w:line="269" w:lineRule="auto"/>
        <w:tabs>
          <w:tab w:leader="none" w:pos="2653" w:val="left"/>
        </w:tabs>
        <w:numPr>
          <w:ilvl w:val="1"/>
          <w:numId w:val="232"/>
        </w:numPr>
        <w:rPr>
          <w:rFonts w:ascii="Arial" w:cs="Arial" w:eastAsia="Arial" w:hAnsi="Arial"/>
          <w:sz w:val="19"/>
          <w:szCs w:val="19"/>
          <w:color w:val="auto"/>
        </w:rPr>
      </w:pPr>
      <w:r>
        <w:rPr>
          <w:rFonts w:ascii="Arial" w:cs="Arial" w:eastAsia="Arial" w:hAnsi="Arial"/>
          <w:sz w:val="19"/>
          <w:szCs w:val="19"/>
          <w:color w:val="auto"/>
        </w:rPr>
        <w:t>optionally prepay, redeem, defease, purchase, or otherwise acquire any Indebtedness of any Loan Party or its Restricted Subsidiaries, other than (a) the Obligations in accordance with this Agreement, (b) Hedge Obligations, (c) Permitted Intercompany Advances, or (d) any other Indebtedness so long as the Payment Conditions are satisfied, or</w:t>
      </w:r>
    </w:p>
    <w:p>
      <w:pPr>
        <w:spacing w:after="0" w:line="168" w:lineRule="exact"/>
        <w:rPr>
          <w:rFonts w:ascii="Arial" w:cs="Arial" w:eastAsia="Arial" w:hAnsi="Arial"/>
          <w:sz w:val="19"/>
          <w:szCs w:val="19"/>
          <w:color w:val="auto"/>
        </w:rPr>
      </w:pPr>
    </w:p>
    <w:p>
      <w:pPr>
        <w:jc w:val="both"/>
        <w:ind w:left="760" w:firstLine="1494"/>
        <w:spacing w:after="0" w:line="249" w:lineRule="auto"/>
        <w:tabs>
          <w:tab w:leader="none" w:pos="2653" w:val="left"/>
        </w:tabs>
        <w:numPr>
          <w:ilvl w:val="1"/>
          <w:numId w:val="232"/>
        </w:numPr>
        <w:rPr>
          <w:rFonts w:ascii="Arial" w:cs="Arial" w:eastAsia="Arial" w:hAnsi="Arial"/>
          <w:sz w:val="20"/>
          <w:szCs w:val="20"/>
          <w:color w:val="auto"/>
        </w:rPr>
      </w:pPr>
      <w:r>
        <w:rPr>
          <w:rFonts w:ascii="Arial" w:cs="Arial" w:eastAsia="Arial" w:hAnsi="Arial"/>
          <w:sz w:val="20"/>
          <w:szCs w:val="20"/>
          <w:color w:val="auto"/>
        </w:rPr>
        <w:t>make any payment (whether principal, interest, or otherwise) on account of Indebtedness that has been contractually subordinated in right of payment to the Obligations if such payment is not permitted at such time under the subordination terms and conditions, or</w:t>
      </w:r>
    </w:p>
    <w:p>
      <w:pPr>
        <w:spacing w:after="0" w:line="187" w:lineRule="exact"/>
        <w:rPr>
          <w:rFonts w:ascii="Arial" w:cs="Arial" w:eastAsia="Arial" w:hAnsi="Arial"/>
          <w:sz w:val="20"/>
          <w:szCs w:val="20"/>
          <w:color w:val="auto"/>
        </w:rPr>
      </w:pPr>
    </w:p>
    <w:p>
      <w:pPr>
        <w:ind w:left="2080" w:hanging="387"/>
        <w:spacing w:after="0"/>
        <w:tabs>
          <w:tab w:leader="none" w:pos="20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Directly or indirectly, amend, modify, or change any of the terms or provisions of:</w:t>
      </w:r>
    </w:p>
    <w:p>
      <w:pPr>
        <w:spacing w:after="0" w:line="214" w:lineRule="exact"/>
        <w:rPr>
          <w:rFonts w:ascii="Arial" w:cs="Arial" w:eastAsia="Arial" w:hAnsi="Arial"/>
          <w:sz w:val="20"/>
          <w:szCs w:val="20"/>
          <w:color w:val="auto"/>
        </w:rPr>
      </w:pPr>
    </w:p>
    <w:p>
      <w:pPr>
        <w:ind w:left="760" w:right="80" w:firstLine="1494"/>
        <w:spacing w:after="0" w:line="260" w:lineRule="auto"/>
        <w:tabs>
          <w:tab w:leader="none" w:pos="2653" w:val="left"/>
        </w:tabs>
        <w:numPr>
          <w:ilvl w:val="1"/>
          <w:numId w:val="232"/>
        </w:numPr>
        <w:rPr>
          <w:rFonts w:ascii="Arial" w:cs="Arial" w:eastAsia="Arial" w:hAnsi="Arial"/>
          <w:sz w:val="20"/>
          <w:szCs w:val="20"/>
          <w:color w:val="auto"/>
        </w:rPr>
      </w:pPr>
      <w:r>
        <w:rPr>
          <w:rFonts w:ascii="Arial" w:cs="Arial" w:eastAsia="Arial" w:hAnsi="Arial"/>
          <w:sz w:val="20"/>
          <w:szCs w:val="20"/>
          <w:color w:val="auto"/>
        </w:rPr>
        <w:t>any agreement, instrument, document, indenture, or other writing evidencing Indebtedness that is subordinated to the Obligations as to right and time of payment and as to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1" w:name="page232"/>
    <w:bookmarkEnd w:id="231"/>
    <w:p>
      <w:pPr>
        <w:jc w:val="both"/>
        <w:ind w:left="760"/>
        <w:spacing w:after="0" w:line="269" w:lineRule="auto"/>
        <w:rPr>
          <w:sz w:val="20"/>
          <w:szCs w:val="20"/>
          <w:color w:val="auto"/>
        </w:rPr>
      </w:pPr>
      <w:r>
        <w:rPr>
          <w:rFonts w:ascii="Arial" w:cs="Arial" w:eastAsia="Arial" w:hAnsi="Arial"/>
          <w:sz w:val="19"/>
          <w:szCs w:val="19"/>
          <w:color w:val="auto"/>
        </w:rPr>
        <w:t>other rights and remedies thereunder in any manner not permitted by any intercreditor or subordination provisions applicable to such Indebtedness or, with respect to any such Indebtedness that is not expressly subject to intercreditor or subordination provisions, in any manner that is materially adverse to the interests of the Lenders (in their capacities as such), or</w:t>
      </w:r>
    </w:p>
    <w:p>
      <w:pPr>
        <w:spacing w:after="0" w:line="169" w:lineRule="exact"/>
        <w:rPr>
          <w:sz w:val="20"/>
          <w:szCs w:val="20"/>
          <w:color w:val="auto"/>
        </w:rPr>
      </w:pPr>
    </w:p>
    <w:p>
      <w:pPr>
        <w:ind w:left="760" w:right="40" w:firstLine="1494"/>
        <w:spacing w:after="0" w:line="260" w:lineRule="auto"/>
        <w:tabs>
          <w:tab w:leader="none" w:pos="265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Governing Documents of any Loan Party or any of its Restricted Subsidiaries in a manner that is materially adverse to the interests of the Lenders (in their capacities as such).</w:t>
      </w:r>
    </w:p>
    <w:p>
      <w:pPr>
        <w:spacing w:after="0" w:line="170" w:lineRule="exact"/>
        <w:rPr>
          <w:sz w:val="20"/>
          <w:szCs w:val="20"/>
          <w:color w:val="auto"/>
        </w:rPr>
      </w:pPr>
    </w:p>
    <w:p>
      <w:pPr>
        <w:ind w:firstLine="749"/>
        <w:spacing w:after="0" w:line="266" w:lineRule="auto"/>
        <w:rPr>
          <w:sz w:val="20"/>
          <w:szCs w:val="20"/>
          <w:color w:val="auto"/>
        </w:rPr>
      </w:pPr>
      <w:r>
        <w:rPr>
          <w:rFonts w:ascii="Arial" w:cs="Arial" w:eastAsia="Arial" w:hAnsi="Arial"/>
          <w:sz w:val="20"/>
          <w:szCs w:val="20"/>
          <w:u w:val="single" w:color="auto"/>
          <w:color w:val="auto"/>
        </w:rPr>
        <w:t>6.7</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Restricted Payments</w:t>
      </w:r>
      <w:r>
        <w:rPr>
          <w:rFonts w:ascii="Arial" w:cs="Arial" w:eastAsia="Arial" w:hAnsi="Arial"/>
          <w:sz w:val="20"/>
          <w:szCs w:val="20"/>
          <w:color w:val="auto"/>
        </w:rPr>
        <w:t xml:space="preserve">. Parent shall not, nor shall it permit any Restricted Subsidiary to, make any Restricted Payment; </w:t>
      </w:r>
      <w:r>
        <w:rPr>
          <w:rFonts w:ascii="Arial" w:cs="Arial" w:eastAsia="Arial" w:hAnsi="Arial"/>
          <w:sz w:val="20"/>
          <w:szCs w:val="20"/>
          <w:u w:val="single" w:color="auto"/>
          <w:color w:val="auto"/>
        </w:rPr>
        <w:t>provided</w:t>
      </w:r>
      <w:r>
        <w:rPr>
          <w:rFonts w:ascii="Arial" w:cs="Arial" w:eastAsia="Arial" w:hAnsi="Arial"/>
          <w:sz w:val="20"/>
          <w:szCs w:val="20"/>
          <w:color w:val="auto"/>
        </w:rPr>
        <w:t>, that so long as it is not expressly prohibited by law,</w:t>
      </w:r>
    </w:p>
    <w:p>
      <w:pPr>
        <w:spacing w:after="0" w:line="170" w:lineRule="exact"/>
        <w:rPr>
          <w:sz w:val="20"/>
          <w:szCs w:val="20"/>
          <w:color w:val="auto"/>
        </w:rPr>
      </w:pPr>
    </w:p>
    <w:p>
      <w:pPr>
        <w:jc w:val="both"/>
        <w:ind w:left="200" w:firstLine="1493"/>
        <w:spacing w:after="0" w:line="246" w:lineRule="auto"/>
        <w:tabs>
          <w:tab w:leader="none" w:pos="209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so long as no Default or Event of Default shall have occurred and be continuing or would result therefrom, Parent and its Restricted Subsidiaries may make distributions to their respective former employees, officers, or directors (or any spouses, ex-spouses, or estates of any of the foregoing) on account of redemptions of Equity Interests of Parent or such Restricted Subsidiaries held by such Persons,</w:t>
      </w:r>
    </w:p>
    <w:p>
      <w:pPr>
        <w:spacing w:after="0" w:line="189" w:lineRule="exact"/>
        <w:rPr>
          <w:rFonts w:ascii="Arial" w:cs="Arial" w:eastAsia="Arial" w:hAnsi="Arial"/>
          <w:sz w:val="20"/>
          <w:szCs w:val="20"/>
          <w:color w:val="auto"/>
        </w:rPr>
      </w:pPr>
    </w:p>
    <w:p>
      <w:pPr>
        <w:jc w:val="both"/>
        <w:ind w:left="200" w:firstLine="1493"/>
        <w:spacing w:after="0" w:line="320" w:lineRule="auto"/>
        <w:tabs>
          <w:tab w:leader="none" w:pos="209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shall have occurred and be continuing or would result therefrom, Parent and its Restricted Subsidiaries may make distributions to their respective former employees, officers, or directors (or any spouses, ex-spouses, or estates of any of the foregoing), solely in the form of forgiveness of Indebtedness of such Persons owing to Parent or such Restricted Subsidiaries on account of repurchases of the Equity Interests of Parent or such Restricted Subsidiaries held by such Persons;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Indebtedness was incurred by such Persons solely to acquire Equity Interests of Parent or such Restricted Subsidiaries,</w:t>
      </w:r>
    </w:p>
    <w:p>
      <w:pPr>
        <w:spacing w:after="0" w:line="135" w:lineRule="exact"/>
        <w:rPr>
          <w:rFonts w:ascii="Arial" w:cs="Arial" w:eastAsia="Arial" w:hAnsi="Arial"/>
          <w:sz w:val="16"/>
          <w:szCs w:val="16"/>
          <w:color w:val="auto"/>
        </w:rPr>
      </w:pPr>
    </w:p>
    <w:p>
      <w:pPr>
        <w:ind w:left="2080" w:hanging="387"/>
        <w:spacing w:after="0"/>
        <w:tabs>
          <w:tab w:leader="none" w:pos="208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Restricted Subsidiaries may make dividends and distributions to Parent or another Restricted Subsidiary,</w:t>
      </w:r>
    </w:p>
    <w:p>
      <w:pPr>
        <w:spacing w:after="0" w:line="226" w:lineRule="exact"/>
        <w:rPr>
          <w:rFonts w:ascii="Arial" w:cs="Arial" w:eastAsia="Arial" w:hAnsi="Arial"/>
          <w:sz w:val="19"/>
          <w:szCs w:val="19"/>
          <w:color w:val="auto"/>
        </w:rPr>
      </w:pPr>
    </w:p>
    <w:p>
      <w:pPr>
        <w:jc w:val="both"/>
        <w:ind w:left="200" w:firstLine="1493"/>
        <w:spacing w:after="0" w:line="246" w:lineRule="auto"/>
        <w:tabs>
          <w:tab w:leader="none" w:pos="209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Parent may make Restricted Payments in the form of cash dividends, stock redemptions, and stock repurchases, in each case, in respect of its common Equity Interests, so long as (i) the aggregate amount of such Restricted Payments does not exceed in any fiscal year, $100,000,000, (ii) no Default or Event of Default exists at the time such Restricted Payment is made or would result therefrom,</w:t>
      </w:r>
    </w:p>
    <w:p>
      <w:pPr>
        <w:spacing w:after="0" w:line="189" w:lineRule="exact"/>
        <w:rPr>
          <w:rFonts w:ascii="Arial" w:cs="Arial" w:eastAsia="Arial" w:hAnsi="Arial"/>
          <w:sz w:val="20"/>
          <w:szCs w:val="20"/>
          <w:color w:val="auto"/>
        </w:rPr>
      </w:pPr>
    </w:p>
    <w:p>
      <w:pPr>
        <w:ind w:left="200" w:right="20" w:firstLine="1493"/>
        <w:spacing w:after="0" w:line="260" w:lineRule="auto"/>
        <w:tabs>
          <w:tab w:leader="none" w:pos="209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So long as no Change of Control occurs as a result thereof, Parent and any Restricted Subsidiary may declare and make dividend payments or other distributions payable solely in Equity Interests of such Person,</w:t>
      </w:r>
    </w:p>
    <w:p>
      <w:pPr>
        <w:spacing w:after="0" w:line="175" w:lineRule="exact"/>
        <w:rPr>
          <w:rFonts w:ascii="Arial" w:cs="Arial" w:eastAsia="Arial" w:hAnsi="Arial"/>
          <w:sz w:val="20"/>
          <w:szCs w:val="20"/>
          <w:color w:val="auto"/>
        </w:rPr>
      </w:pPr>
    </w:p>
    <w:p>
      <w:pPr>
        <w:jc w:val="both"/>
        <w:ind w:left="200" w:firstLine="1493"/>
        <w:spacing w:after="0" w:line="246" w:lineRule="auto"/>
        <w:tabs>
          <w:tab w:leader="none" w:pos="209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(i) repurchases of Equity Interests deemed to occur upon the exercise of stock options or warrants to the extent the value of such Equity Interests represents all or a portion of the purchase price of such options or warrants and (ii) cash payments in lieu of the issuance of fractional shares in connection with the exercise of warrants, options or other securities convertible into or exchangeable for Equity Interests of Parent or any of its Restricted Subsidiaries, and</w:t>
      </w:r>
    </w:p>
    <w:p>
      <w:pPr>
        <w:spacing w:after="0" w:line="189" w:lineRule="exact"/>
        <w:rPr>
          <w:rFonts w:ascii="Arial" w:cs="Arial" w:eastAsia="Arial" w:hAnsi="Arial"/>
          <w:sz w:val="20"/>
          <w:szCs w:val="20"/>
          <w:color w:val="auto"/>
        </w:rPr>
      </w:pPr>
    </w:p>
    <w:p>
      <w:pPr>
        <w:ind w:left="2080" w:hanging="387"/>
        <w:spacing w:after="0"/>
        <w:tabs>
          <w:tab w:leader="none" w:pos="208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other Restricted Payments so long as the Payment Conditions are satisfied.</w:t>
      </w:r>
    </w:p>
    <w:p>
      <w:pPr>
        <w:spacing w:after="0" w:line="209" w:lineRule="exact"/>
        <w:rPr>
          <w:sz w:val="20"/>
          <w:szCs w:val="20"/>
          <w:color w:val="auto"/>
        </w:rPr>
      </w:pPr>
    </w:p>
    <w:p>
      <w:pPr>
        <w:ind w:right="20" w:firstLine="749"/>
        <w:spacing w:after="0" w:line="266" w:lineRule="auto"/>
        <w:rPr>
          <w:sz w:val="20"/>
          <w:szCs w:val="20"/>
          <w:color w:val="auto"/>
        </w:rPr>
      </w:pPr>
      <w:r>
        <w:rPr>
          <w:rFonts w:ascii="Arial" w:cs="Arial" w:eastAsia="Arial" w:hAnsi="Arial"/>
          <w:sz w:val="20"/>
          <w:szCs w:val="20"/>
          <w:u w:val="single" w:color="auto"/>
          <w:color w:val="auto"/>
        </w:rPr>
        <w:t>6.8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Accounting Methods</w:t>
      </w:r>
      <w:r>
        <w:rPr>
          <w:rFonts w:ascii="Arial" w:cs="Arial" w:eastAsia="Arial" w:hAnsi="Arial"/>
          <w:sz w:val="20"/>
          <w:szCs w:val="20"/>
          <w:color w:val="auto"/>
        </w:rPr>
        <w:t>. Parent shall not, nor shall it permit any Restricted Subsidiary to, modify or change its fiscal year or its method of accounting (other than as may be required to conform to GAAP).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2" w:name="page233"/>
    <w:bookmarkEnd w:id="232"/>
    <w:p>
      <w:pPr>
        <w:jc w:val="both"/>
        <w:ind w:firstLine="749"/>
        <w:spacing w:after="0" w:line="266" w:lineRule="auto"/>
        <w:rPr>
          <w:sz w:val="20"/>
          <w:szCs w:val="20"/>
          <w:color w:val="auto"/>
        </w:rPr>
      </w:pPr>
      <w:r>
        <w:rPr>
          <w:rFonts w:ascii="Arial" w:cs="Arial" w:eastAsia="Arial" w:hAnsi="Arial"/>
          <w:sz w:val="20"/>
          <w:szCs w:val="20"/>
          <w:u w:val="single" w:color="auto"/>
          <w:color w:val="auto"/>
        </w:rPr>
        <w:t>6.9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Parent shall not, nor shall it permit any Restricted Subsidiary to, directly or indirectly, make or acquire any Investment except for Permitted Investments.</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6.10</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Transactions with Affiliates</w:t>
      </w:r>
      <w:r>
        <w:rPr>
          <w:rFonts w:ascii="Arial" w:cs="Arial" w:eastAsia="Arial" w:hAnsi="Arial"/>
          <w:sz w:val="20"/>
          <w:szCs w:val="20"/>
          <w:color w:val="auto"/>
        </w:rPr>
        <w:t>. Parent shall not, nor shall it permit any Restricted Subsidiary to, directly or indirectly, enter into or permit to exist any transaction with any Affiliate (including any Unrestricted Subsidiary and its Affiliates) of any Loan Party or any of its Restricted Subsidiaries except for:</w:t>
      </w:r>
    </w:p>
    <w:p>
      <w:pPr>
        <w:spacing w:after="0" w:line="185" w:lineRule="exact"/>
        <w:rPr>
          <w:sz w:val="20"/>
          <w:szCs w:val="20"/>
          <w:color w:val="auto"/>
        </w:rPr>
      </w:pPr>
    </w:p>
    <w:p>
      <w:pPr>
        <w:jc w:val="both"/>
        <w:ind w:left="200" w:firstLine="1493"/>
        <w:spacing w:after="0" w:line="258" w:lineRule="auto"/>
        <w:tabs>
          <w:tab w:leader="none" w:pos="209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transactions (other than the payment of management, consulting, monitoring, or advisory fees) between such Loan Party or its Restricted Subsidiaries, on the one hand, and any Affiliate of such Loan Party or its Restricted Subsidiaries, on the other hand, so long as such transactions (i) are fully disclosed to Agent prior to the consummation thereof, if they involve one or more payments by such Loan Party or its Restricted Subsidiaries in excess of $1,000,000 for any single transaction or series of related transactions, and (ii) are no less favorable, taken as a whole, to such Loan Party or its Restricted Subsidiaries, as applicable, than would be obtained in an arm’s length transaction with a non-Affiliate,</w:t>
      </w:r>
    </w:p>
    <w:p>
      <w:pPr>
        <w:spacing w:after="0" w:line="181" w:lineRule="exact"/>
        <w:rPr>
          <w:rFonts w:ascii="Arial" w:cs="Arial" w:eastAsia="Arial" w:hAnsi="Arial"/>
          <w:sz w:val="19"/>
          <w:szCs w:val="19"/>
          <w:color w:val="auto"/>
        </w:rPr>
      </w:pPr>
    </w:p>
    <w:p>
      <w:pPr>
        <w:jc w:val="both"/>
        <w:ind w:left="200" w:firstLine="1493"/>
        <w:spacing w:after="0" w:line="249" w:lineRule="auto"/>
        <w:tabs>
          <w:tab w:leader="none" w:pos="209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any indemnity provided for the benefit of directors (or comparable managers), employees, officers and consultants of a Loan Party or one of its Restricted Subsidiaries so long as it has been approved by such Loan Party’s or such Restricted Subsidiary’s board of directors (or comparable governing body) in accordance with applicable law,</w:t>
      </w:r>
    </w:p>
    <w:p>
      <w:pPr>
        <w:spacing w:after="0" w:line="187" w:lineRule="exact"/>
        <w:rPr>
          <w:rFonts w:ascii="Arial" w:cs="Arial" w:eastAsia="Arial" w:hAnsi="Arial"/>
          <w:sz w:val="20"/>
          <w:szCs w:val="20"/>
          <w:color w:val="auto"/>
        </w:rPr>
      </w:pPr>
    </w:p>
    <w:p>
      <w:pPr>
        <w:jc w:val="both"/>
        <w:ind w:left="200" w:firstLine="1493"/>
        <w:spacing w:after="0" w:line="263" w:lineRule="auto"/>
        <w:tabs>
          <w:tab w:leader="none" w:pos="209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the payment of compensation, (including bonuses and commissions), severance, separation, service or employee benefit arrangements to employees, officers, consultants and outside directors of a Loan Party or one of its Restricted Subsidiaries in the ordinary course of business and consistent with industry practice so long as it has been approved by such Loan Party’s or such Restricted Subsidiary’s board of directors (or comparable governing body) in accordance with applicable law,</w:t>
      </w:r>
    </w:p>
    <w:p>
      <w:pPr>
        <w:spacing w:after="0" w:line="174" w:lineRule="exact"/>
        <w:rPr>
          <w:rFonts w:ascii="Arial" w:cs="Arial" w:eastAsia="Arial" w:hAnsi="Arial"/>
          <w:sz w:val="19"/>
          <w:szCs w:val="19"/>
          <w:color w:val="auto"/>
        </w:rPr>
      </w:pPr>
    </w:p>
    <w:p>
      <w:pPr>
        <w:jc w:val="both"/>
        <w:ind w:left="200" w:firstLine="1493"/>
        <w:spacing w:after="0" w:line="249" w:lineRule="auto"/>
        <w:tabs>
          <w:tab w:leader="none" w:pos="209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(i) transactions solely among the Loan Parties, (ii) transactions solely among Excluded Subsidiaries which are both Restricted Subsidiaries and Domestic Subsidiaries, and (iii) transactions solely among Foreign Subsidiaries which are Restricted Subsidiaries,</w:t>
      </w:r>
    </w:p>
    <w:p>
      <w:pPr>
        <w:spacing w:after="0" w:line="187" w:lineRule="exact"/>
        <w:rPr>
          <w:rFonts w:ascii="Arial" w:cs="Arial" w:eastAsia="Arial" w:hAnsi="Arial"/>
          <w:sz w:val="20"/>
          <w:szCs w:val="20"/>
          <w:color w:val="auto"/>
        </w:rPr>
      </w:pPr>
    </w:p>
    <w:p>
      <w:pPr>
        <w:ind w:left="200" w:right="20" w:firstLine="1493"/>
        <w:spacing w:after="0" w:line="260" w:lineRule="auto"/>
        <w:tabs>
          <w:tab w:leader="none" w:pos="209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6.6</w:t>
      </w:r>
      <w:r>
        <w:rPr>
          <w:rFonts w:ascii="Arial" w:cs="Arial" w:eastAsia="Arial" w:hAnsi="Arial"/>
          <w:sz w:val="20"/>
          <w:szCs w:val="20"/>
          <w:color w:val="auto"/>
        </w:rPr>
        <w:t xml:space="preserve">, Section 6.7, or </w:t>
      </w:r>
      <w:r>
        <w:rPr>
          <w:rFonts w:ascii="Arial" w:cs="Arial" w:eastAsia="Arial" w:hAnsi="Arial"/>
          <w:sz w:val="20"/>
          <w:szCs w:val="20"/>
          <w:u w:val="single" w:color="auto"/>
          <w:color w:val="auto"/>
        </w:rPr>
        <w:t>Section 6.9</w:t>
      </w:r>
      <w:r>
        <w:rPr>
          <w:rFonts w:ascii="Arial" w:cs="Arial" w:eastAsia="Arial" w:hAnsi="Arial"/>
          <w:sz w:val="20"/>
          <w:szCs w:val="20"/>
          <w:color w:val="auto"/>
        </w:rPr>
        <w:t>, in each case, constituting a transaction with an Affiliate,</w:t>
      </w:r>
    </w:p>
    <w:p>
      <w:pPr>
        <w:spacing w:after="0" w:line="175" w:lineRule="exact"/>
        <w:rPr>
          <w:rFonts w:ascii="Arial" w:cs="Arial" w:eastAsia="Arial" w:hAnsi="Arial"/>
          <w:sz w:val="20"/>
          <w:szCs w:val="20"/>
          <w:color w:val="auto"/>
        </w:rPr>
      </w:pPr>
    </w:p>
    <w:p>
      <w:pPr>
        <w:jc w:val="both"/>
        <w:ind w:left="200" w:firstLine="1493"/>
        <w:spacing w:after="0" w:line="249" w:lineRule="auto"/>
        <w:tabs>
          <w:tab w:leader="none" w:pos="209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performance of Parent’s or any Restricted Subsidiaries’ obligations under any collective bargaining agreement, employee benefit plan, related trust agreement, deferred compensation plan, equity option or equity incentive plan or any other employment or compensatory arrangement,</w:t>
      </w:r>
    </w:p>
    <w:p>
      <w:pPr>
        <w:spacing w:after="0" w:line="187" w:lineRule="exact"/>
        <w:rPr>
          <w:rFonts w:ascii="Arial" w:cs="Arial" w:eastAsia="Arial" w:hAnsi="Arial"/>
          <w:sz w:val="20"/>
          <w:szCs w:val="20"/>
          <w:color w:val="auto"/>
        </w:rPr>
      </w:pPr>
    </w:p>
    <w:p>
      <w:pPr>
        <w:ind w:left="200" w:firstLine="1493"/>
        <w:spacing w:after="0" w:line="260" w:lineRule="auto"/>
        <w:tabs>
          <w:tab w:leader="none" w:pos="209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those pursuant to any agreement or other arrangement in existence on the Sixth Restatement Effective Date and set forth on </w:t>
      </w:r>
      <w:r>
        <w:rPr>
          <w:rFonts w:ascii="Arial" w:cs="Arial" w:eastAsia="Arial" w:hAnsi="Arial"/>
          <w:sz w:val="20"/>
          <w:szCs w:val="20"/>
          <w:u w:val="single" w:color="auto"/>
          <w:color w:val="auto"/>
        </w:rPr>
        <w:t>Schedule 6.10</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jc w:val="both"/>
        <w:ind w:left="200" w:firstLine="1493"/>
        <w:spacing w:after="0" w:line="269" w:lineRule="auto"/>
        <w:tabs>
          <w:tab w:leader="none" w:pos="209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agreements for the non-exclusive licensing of intellectual property, or distribution of products, in each case, among the Loan Parties and their Restricted Subsidiaries for the purpose of the counterparty thereof operating its business, and agreements for the assignment of intellectual property from any Loan Party or any of its Restricted Subsidiaries to any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-1765300</wp:posOffset>
            </wp:positionV>
            <wp:extent cx="1879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2">
                      <a:extLst>
                        <a:ext uri="{28A0092B-C50C-407E-A947-70E740481C1C}"/>
                      </a:extLst>
                    </a:blip>
                    <a:srcRect/>
                    <a:stretch>
                      <a:fillRect/>
                    </a:stretch>
                  </pic:blipFill>
                  <pic:spPr bwMode="auto">
                    <a:xfrm>
                      <a:off x="0" y="0"/>
                      <a:ext cx="187960" cy="8255"/>
                    </a:xfrm>
                    <a:prstGeom prst="rect">
                      <a:avLst/>
                    </a:prstGeom>
                    <a:noFill/>
                  </pic:spPr>
                </pic:pic>
              </a:graphicData>
            </a:graphic>
          </wp:anchor>
        </w:drawing>
      </w:r>
    </w:p>
    <w:p>
      <w:pPr>
        <w:spacing w:after="0" w:line="14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u w:val="single" w:color="auto"/>
          <w:color w:val="auto"/>
        </w:rPr>
        <w:t>6.11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Use of Proceeds</w:t>
      </w:r>
      <w:r>
        <w:rPr>
          <w:rFonts w:ascii="Arial" w:cs="Arial" w:eastAsia="Arial" w:hAnsi="Arial"/>
          <w:sz w:val="19"/>
          <w:szCs w:val="19"/>
          <w:color w:val="auto"/>
        </w:rPr>
        <w:t>. Parent shall not, nor shall it permit any Restricted Subsidiary to, use the proceeds of any Loan made hereunder for any purpose other than (a) on the Sixth Restatement Effective Date, to pay the fees, costs, and expenses incurred in connection with this Agreement, the other Loan Documents, and the other transactions contemplated hereby and thereby, and (b) thereafter, consistent with the terms and conditions hereof, for their lawful and permitted purposes, including, without limitation,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3" w:name="page234"/>
    <w:bookmarkEnd w:id="233"/>
    <w:p>
      <w:pPr>
        <w:jc w:val="both"/>
        <w:spacing w:after="0" w:line="272" w:lineRule="auto"/>
        <w:rPr>
          <w:sz w:val="20"/>
          <w:szCs w:val="20"/>
          <w:color w:val="auto"/>
        </w:rPr>
      </w:pPr>
      <w:r>
        <w:rPr>
          <w:rFonts w:ascii="Arial" w:cs="Arial" w:eastAsia="Arial" w:hAnsi="Arial"/>
          <w:sz w:val="18"/>
          <w:szCs w:val="18"/>
          <w:color w:val="auto"/>
        </w:rPr>
        <w:t xml:space="preserve">general corporate purposes and any other purpose not prohibited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part of the proceeds of the Loans will be used to purchase or carry any Margin Stock or to extend credit to others for the purpose of purchasing or carrying any such Margin Stock or for any purpose that violates the provisions of Regulation T, U or X of the Board of Governors, (y)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6.12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Limitation on Issuance of Equity Interests</w:t>
      </w:r>
      <w:r>
        <w:rPr>
          <w:rFonts w:ascii="Arial" w:cs="Arial" w:eastAsia="Arial" w:hAnsi="Arial"/>
          <w:sz w:val="20"/>
          <w:szCs w:val="20"/>
          <w:color w:val="auto"/>
        </w:rPr>
        <w:t>. Parent shall not, nor shall it permit any Restricted Subsidiary to, issue or sell any of its Equity Interests, other than (a) the sale or issuance of Qualified Equity Interests by Parent, (b) the sale of any Equity Interests of any Restricted Subsidiary which is a Domestic Subsidiary to Parent or any other Domestic Subsidiary which is not an Excluded Subsidiary or to Parent, and (c) the sale of any Equity Interests of any Restricted Subsidiary which is a Foreign Subsidiary to Parent or any other Restricted Subsidiary which is not an Excluded Subsidiary.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6.13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[Reserved]</w:t>
      </w:r>
      <w:r>
        <w:rPr>
          <w:rFonts w:ascii="Arial" w:cs="Arial" w:eastAsia="Arial" w:hAnsi="Arial"/>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6.14</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15"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u w:val="single" w:color="auto"/>
          <w:color w:val="auto"/>
        </w:rPr>
        <w:t>6.15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Immaterial Subsidiaries</w:t>
      </w:r>
      <w:r>
        <w:rPr>
          <w:rFonts w:ascii="Arial" w:cs="Arial" w:eastAsia="Arial" w:hAnsi="Arial"/>
          <w:sz w:val="19"/>
          <w:szCs w:val="19"/>
          <w:color w:val="auto"/>
        </w:rPr>
        <w:t xml:space="preserve">. Parent will not permit any Immaterial Subsidiary to (a) own any assets (other than assets of a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nature), (b) have any liabilities (other than liabilities of a</w:t>
      </w:r>
      <w:r>
        <w:rPr>
          <w:rFonts w:ascii="Arial" w:cs="Arial" w:eastAsia="Arial" w:hAnsi="Arial"/>
          <w:sz w:val="19"/>
          <w:szCs w:val="19"/>
          <w:i w:val="1"/>
          <w:iCs w:val="1"/>
          <w:color w:val="auto"/>
        </w:rPr>
        <w:t xml:space="preserve"> de minimis </w:t>
      </w:r>
      <w:r>
        <w:rPr>
          <w:rFonts w:ascii="Arial" w:cs="Arial" w:eastAsia="Arial" w:hAnsi="Arial"/>
          <w:sz w:val="19"/>
          <w:szCs w:val="19"/>
          <w:color w:val="auto"/>
        </w:rPr>
        <w:t>nature), or (c) engage in any business activity, in each case,</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maintenance of its existence (or its liquidation or dissolution, to the extent permitted herein), performance of its obligations hereunder and under the other Loan Documents, and activities incidental to any of the foregoing.</w:t>
      </w:r>
    </w:p>
    <w:p>
      <w:pPr>
        <w:spacing w:after="0" w:line="16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Employee Benefits</w:t>
      </w:r>
      <w:r>
        <w:rPr>
          <w:rFonts w:ascii="Arial" w:cs="Arial" w:eastAsia="Arial" w:hAnsi="Arial"/>
          <w:sz w:val="19"/>
          <w:szCs w:val="19"/>
          <w:color w:val="auto"/>
        </w:rPr>
        <w:t>. Neither Parent nor any Restricted Subsidiary shall, and they shall not cause or permit any ERISA Affiliate to, cause or permit to occur an event with respect to any Employee Benefit Plan that could result in any liability of any Loan Party or ERISA Affiliate for failure to comply with applicable law or the terms of any Employee Benefit Plan, the imposition of a Lien under Section 412(n) of the IRC or Section 302(f) or 4068 of ERISA or cause or permit to occur a Notification Event to the extent such liability, Lien or such Notification Event would reasonably be expected to have a Material Adverse Effect.</w:t>
      </w:r>
    </w:p>
    <w:p>
      <w:pPr>
        <w:spacing w:after="0" w:line="169" w:lineRule="exact"/>
        <w:rPr>
          <w:sz w:val="20"/>
          <w:szCs w:val="20"/>
          <w:color w:val="auto"/>
        </w:rPr>
      </w:pPr>
    </w:p>
    <w:p>
      <w:pPr>
        <w:ind w:left="400" w:hanging="392"/>
        <w:spacing w:after="0"/>
        <w:tabs>
          <w:tab w:leader="none" w:pos="400" w:val="left"/>
        </w:tabs>
        <w:numPr>
          <w:ilvl w:val="0"/>
          <w:numId w:val="236"/>
        </w:numPr>
        <w:rPr>
          <w:rFonts w:ascii="Arial" w:cs="Arial" w:eastAsia="Arial" w:hAnsi="Arial"/>
          <w:sz w:val="20"/>
          <w:szCs w:val="20"/>
          <w:color w:val="auto"/>
        </w:rPr>
      </w:pPr>
      <w:r>
        <w:rPr>
          <w:rFonts w:ascii="Arial" w:cs="Arial" w:eastAsia="Arial" w:hAnsi="Arial"/>
          <w:sz w:val="20"/>
          <w:szCs w:val="20"/>
          <w:b w:val="1"/>
          <w:bCs w:val="1"/>
          <w:color w:val="auto"/>
        </w:rPr>
        <w:t>FINANCIAL COVENANTS.</w:t>
      </w:r>
    </w:p>
    <w:p>
      <w:pPr>
        <w:spacing w:after="0" w:line="221" w:lineRule="exact"/>
        <w:rPr>
          <w:sz w:val="20"/>
          <w:szCs w:val="20"/>
          <w:color w:val="auto"/>
        </w:rPr>
      </w:pPr>
    </w:p>
    <w:p>
      <w:pPr>
        <w:jc w:val="both"/>
        <w:ind w:firstLine="1498"/>
        <w:spacing w:after="0" w:line="246" w:lineRule="auto"/>
        <w:rPr>
          <w:sz w:val="20"/>
          <w:szCs w:val="20"/>
          <w:color w:val="auto"/>
        </w:rPr>
      </w:pPr>
      <w:r>
        <w:rPr>
          <w:rFonts w:ascii="Arial" w:cs="Arial" w:eastAsia="Arial" w:hAnsi="Arial"/>
          <w:sz w:val="20"/>
          <w:szCs w:val="20"/>
          <w:color w:val="auto"/>
        </w:rPr>
        <w:t>Parent covenants and agrees that, until the termination of all of the Commitments and the payment in full of the Obligations, Parent and its Restricted Subsidiaries will maintain a Fixed Charge Coverage Ratio, calculated for each 12 month period ending on the first day of any Covenant Testing Period and the last day of each fiscal month occurring on or before the end of any Covenant Testing Period, in each case of at least 1.00 to 1.00.</w:t>
      </w:r>
    </w:p>
    <w:p>
      <w:pPr>
        <w:spacing w:after="0" w:line="184" w:lineRule="exact"/>
        <w:rPr>
          <w:sz w:val="20"/>
          <w:szCs w:val="20"/>
          <w:color w:val="auto"/>
        </w:rPr>
      </w:pPr>
    </w:p>
    <w:p>
      <w:pPr>
        <w:ind w:left="400" w:hanging="392"/>
        <w:spacing w:after="0"/>
        <w:tabs>
          <w:tab w:leader="none" w:pos="400" w:val="left"/>
        </w:tabs>
        <w:numPr>
          <w:ilvl w:val="0"/>
          <w:numId w:val="237"/>
        </w:numPr>
        <w:rPr>
          <w:rFonts w:ascii="Arial" w:cs="Arial" w:eastAsia="Arial" w:hAnsi="Arial"/>
          <w:sz w:val="20"/>
          <w:szCs w:val="20"/>
          <w:color w:val="auto"/>
        </w:rPr>
      </w:pPr>
      <w:r>
        <w:rPr>
          <w:rFonts w:ascii="Arial" w:cs="Arial" w:eastAsia="Arial" w:hAnsi="Arial"/>
          <w:sz w:val="20"/>
          <w:szCs w:val="20"/>
          <w:b w:val="1"/>
          <w:bCs w:val="1"/>
          <w:color w:val="auto"/>
        </w:rPr>
        <w:t>EVENTS OF DEFAULT.</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Any one or more of the following events shall constitute an event of default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under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4" w:name="page235"/>
    <w:bookmarkEnd w:id="234"/>
    <w:p>
      <w:pPr>
        <w:jc w:val="both"/>
        <w:ind w:firstLine="749"/>
        <w:spacing w:after="0" w:line="314" w:lineRule="auto"/>
        <w:rPr>
          <w:sz w:val="20"/>
          <w:szCs w:val="20"/>
          <w:color w:val="auto"/>
        </w:rPr>
      </w:pPr>
      <w:r>
        <w:rPr>
          <w:rFonts w:ascii="Arial" w:cs="Arial" w:eastAsia="Arial" w:hAnsi="Arial"/>
          <w:sz w:val="16"/>
          <w:szCs w:val="16"/>
          <w:u w:val="single" w:color="auto"/>
          <w:color w:val="auto"/>
        </w:rPr>
        <w:t>8.1</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Payments</w:t>
      </w:r>
      <w:r>
        <w:rPr>
          <w:rFonts w:ascii="Arial" w:cs="Arial" w:eastAsia="Arial" w:hAnsi="Arial"/>
          <w:sz w:val="16"/>
          <w:szCs w:val="16"/>
          <w:color w:val="auto"/>
        </w:rPr>
        <w:t>. If Borrowers fail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three Business Days (or ten days after Agent has made a demand therefor, in the case of expenses which are reimbursable or indemnified by a Loan Party under this Agreement or any other Loan Document), (b) all or any portion of the principal of the Loans, or (c) any amount payable to Issuing Bank in reimbursement of any drawing under a Letter of Credit;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8.2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Covenants</w:t>
      </w:r>
      <w:r>
        <w:rPr>
          <w:rFonts w:ascii="Arial" w:cs="Arial" w:eastAsia="Arial" w:hAnsi="Arial"/>
          <w:sz w:val="20"/>
          <w:szCs w:val="20"/>
          <w:color w:val="auto"/>
        </w:rPr>
        <w:t>. If any Loan Party or any of its Restricted Subsidiaries:</w:t>
      </w:r>
    </w:p>
    <w:p>
      <w:pPr>
        <w:spacing w:after="0" w:line="221" w:lineRule="exact"/>
        <w:rPr>
          <w:sz w:val="20"/>
          <w:szCs w:val="20"/>
          <w:color w:val="auto"/>
        </w:rPr>
      </w:pPr>
    </w:p>
    <w:p>
      <w:pPr>
        <w:ind w:left="2080" w:hanging="387"/>
        <w:spacing w:after="0"/>
        <w:tabs>
          <w:tab w:leader="none" w:pos="208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fails to perform or observe any covenant or other agreement contained in:</w:t>
      </w:r>
    </w:p>
    <w:p>
      <w:pPr>
        <w:spacing w:after="0" w:line="214" w:lineRule="exact"/>
        <w:rPr>
          <w:rFonts w:ascii="Arial" w:cs="Arial" w:eastAsia="Arial" w:hAnsi="Arial"/>
          <w:sz w:val="20"/>
          <w:szCs w:val="20"/>
          <w:color w:val="auto"/>
        </w:rPr>
      </w:pPr>
    </w:p>
    <w:p>
      <w:pPr>
        <w:jc w:val="both"/>
        <w:ind w:left="760" w:firstLine="1494"/>
        <w:spacing w:after="0" w:line="320" w:lineRule="auto"/>
        <w:tabs>
          <w:tab w:leader="none" w:pos="2680"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Sections 3.6</w:t>
      </w:r>
      <w:r>
        <w:rPr>
          <w:rFonts w:ascii="Arial" w:cs="Arial" w:eastAsia="Arial" w:hAnsi="Arial"/>
          <w:sz w:val="16"/>
          <w:szCs w:val="16"/>
          <w:color w:val="auto"/>
        </w:rPr>
        <w:t xml:space="preserve">, </w:t>
      </w:r>
      <w:r>
        <w:rPr>
          <w:rFonts w:ascii="Arial" w:cs="Arial" w:eastAsia="Arial" w:hAnsi="Arial"/>
          <w:sz w:val="16"/>
          <w:szCs w:val="16"/>
          <w:u w:val="single" w:color="auto"/>
          <w:color w:val="auto"/>
        </w:rPr>
        <w:t>5.1</w:t>
      </w:r>
      <w:r>
        <w:rPr>
          <w:rFonts w:ascii="Arial" w:cs="Arial" w:eastAsia="Arial" w:hAnsi="Arial"/>
          <w:sz w:val="16"/>
          <w:szCs w:val="16"/>
          <w:color w:val="auto"/>
        </w:rPr>
        <w:t xml:space="preserve"> (but only to the extent relating to the items in clauses (c), (e), (f), (i), (j), and (k) of </w:t>
      </w:r>
      <w:r>
        <w:rPr>
          <w:rFonts w:ascii="Arial" w:cs="Arial" w:eastAsia="Arial" w:hAnsi="Arial"/>
          <w:sz w:val="16"/>
          <w:szCs w:val="16"/>
          <w:u w:val="single" w:color="auto"/>
          <w:color w:val="auto"/>
        </w:rPr>
        <w:t>Schedule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(solely with respect to the maintenance of existence of any Borrower),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(solely if Parent or any Restricted Subsidiary refuses to allow Agent or its representatives or agents to visit any of Parent’s or its Restricted Subsidiaries’ properties, inspect its assets or books or records, examine and make copies of its books and records, or discuss their respective affairs, finances, and accounts with officers and employees of Parent or any Restricted Subsidiary),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w:t>
      </w:r>
    </w:p>
    <w:p>
      <w:pPr>
        <w:spacing w:after="0" w:line="135" w:lineRule="exact"/>
        <w:rPr>
          <w:rFonts w:ascii="Arial" w:cs="Arial" w:eastAsia="Arial" w:hAnsi="Arial"/>
          <w:sz w:val="16"/>
          <w:szCs w:val="16"/>
          <w:color w:val="auto"/>
        </w:rPr>
      </w:pPr>
    </w:p>
    <w:p>
      <w:pPr>
        <w:ind w:left="760" w:firstLine="1494"/>
        <w:spacing w:after="0" w:line="315" w:lineRule="auto"/>
        <w:tabs>
          <w:tab w:leader="none" w:pos="2653"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Agreement (but only to the extent relating to the items in clauses (a) and (b) of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and such failure continues for two Business Days (as such period may be extended by up to 20 days by Agent);</w:t>
      </w:r>
    </w:p>
    <w:p>
      <w:pPr>
        <w:spacing w:after="0" w:line="130" w:lineRule="exact"/>
        <w:rPr>
          <w:rFonts w:ascii="Arial" w:cs="Arial" w:eastAsia="Arial" w:hAnsi="Arial"/>
          <w:sz w:val="18"/>
          <w:szCs w:val="18"/>
          <w:color w:val="auto"/>
        </w:rPr>
      </w:pPr>
    </w:p>
    <w:p>
      <w:pPr>
        <w:jc w:val="both"/>
        <w:ind w:left="760" w:firstLine="1494"/>
        <w:spacing w:after="0" w:line="249" w:lineRule="auto"/>
        <w:tabs>
          <w:tab w:leader="none" w:pos="2653" w:val="left"/>
        </w:tabs>
        <w:numPr>
          <w:ilvl w:val="1"/>
          <w:numId w:val="238"/>
        </w:numPr>
        <w:rPr>
          <w:rFonts w:ascii="Arial" w:cs="Arial" w:eastAsia="Arial" w:hAnsi="Arial"/>
          <w:sz w:val="20"/>
          <w:szCs w:val="20"/>
          <w:color w:val="auto"/>
        </w:rPr>
      </w:pPr>
      <w:r>
        <w:rPr>
          <w:rFonts w:ascii="Arial" w:cs="Arial" w:eastAsia="Arial" w:hAnsi="Arial"/>
          <w:sz w:val="20"/>
          <w:szCs w:val="20"/>
          <w:u w:val="single" w:color="auto"/>
          <w:color w:val="auto"/>
        </w:rPr>
        <w:t>Sections 5.1</w:t>
      </w:r>
      <w:r>
        <w:rPr>
          <w:rFonts w:ascii="Arial" w:cs="Arial" w:eastAsia="Arial" w:hAnsi="Arial"/>
          <w:sz w:val="20"/>
          <w:szCs w:val="20"/>
          <w:color w:val="auto"/>
        </w:rPr>
        <w:t xml:space="preserve"> (but only to the extent relating to the items in clauses (g), (h), and (l) of </w:t>
      </w:r>
      <w:r>
        <w:rPr>
          <w:rFonts w:ascii="Arial" w:cs="Arial" w:eastAsia="Arial" w:hAnsi="Arial"/>
          <w:sz w:val="20"/>
          <w:szCs w:val="20"/>
          <w:u w:val="single" w:color="auto"/>
          <w:color w:val="auto"/>
        </w:rPr>
        <w:t>Schedule 5.1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5.6</w:t>
      </w:r>
      <w:r>
        <w:rPr>
          <w:rFonts w:ascii="Arial" w:cs="Arial" w:eastAsia="Arial" w:hAnsi="Arial"/>
          <w:sz w:val="20"/>
          <w:szCs w:val="20"/>
          <w:color w:val="auto"/>
        </w:rPr>
        <w:t xml:space="preserve"> of this Agreement or </w:t>
      </w:r>
      <w:r>
        <w:rPr>
          <w:rFonts w:ascii="Arial" w:cs="Arial" w:eastAsia="Arial" w:hAnsi="Arial"/>
          <w:sz w:val="20"/>
          <w:szCs w:val="20"/>
          <w:u w:val="single" w:color="auto"/>
          <w:color w:val="auto"/>
        </w:rPr>
        <w:t>Section 7(k)</w:t>
      </w:r>
      <w:r>
        <w:rPr>
          <w:rFonts w:ascii="Arial" w:cs="Arial" w:eastAsia="Arial" w:hAnsi="Arial"/>
          <w:sz w:val="20"/>
          <w:szCs w:val="20"/>
          <w:color w:val="auto"/>
        </w:rPr>
        <w:t xml:space="preserve"> of the Guaranty and Security Agreement, and such failure continues for five Business Days (as such period may be extended by up to 20 days by Agent);</w:t>
      </w:r>
    </w:p>
    <w:p>
      <w:pPr>
        <w:spacing w:after="0" w:line="187" w:lineRule="exact"/>
        <w:rPr>
          <w:rFonts w:ascii="Arial" w:cs="Arial" w:eastAsia="Arial" w:hAnsi="Arial"/>
          <w:sz w:val="20"/>
          <w:szCs w:val="20"/>
          <w:color w:val="auto"/>
        </w:rPr>
      </w:pPr>
    </w:p>
    <w:p>
      <w:pPr>
        <w:ind w:left="760" w:right="20" w:firstLine="1494"/>
        <w:spacing w:after="0" w:line="260" w:lineRule="auto"/>
        <w:tabs>
          <w:tab w:leader="none" w:pos="2680" w:val="left"/>
        </w:tabs>
        <w:numPr>
          <w:ilvl w:val="1"/>
          <w:numId w:val="238"/>
        </w:numPr>
        <w:rPr>
          <w:rFonts w:ascii="Arial" w:cs="Arial" w:eastAsia="Arial" w:hAnsi="Arial"/>
          <w:sz w:val="20"/>
          <w:szCs w:val="20"/>
          <w:color w:val="auto"/>
        </w:rPr>
      </w:pP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(but only to the extent relating to the item in clause (a) of </w:t>
      </w:r>
      <w:r>
        <w:rPr>
          <w:rFonts w:ascii="Arial" w:cs="Arial" w:eastAsia="Arial" w:hAnsi="Arial"/>
          <w:sz w:val="20"/>
          <w:szCs w:val="20"/>
          <w:u w:val="single" w:color="auto"/>
          <w:color w:val="auto"/>
        </w:rPr>
        <w:t>Schedule 5.2</w:t>
      </w:r>
      <w:r>
        <w:rPr>
          <w:rFonts w:ascii="Arial" w:cs="Arial" w:eastAsia="Arial" w:hAnsi="Arial"/>
          <w:sz w:val="20"/>
          <w:szCs w:val="20"/>
          <w:color w:val="auto"/>
        </w:rPr>
        <w:t>), and such failure continues for two Business Days (as such period may be extended by up to 20 days by Agent);</w:t>
      </w:r>
    </w:p>
    <w:p>
      <w:pPr>
        <w:spacing w:after="0" w:line="175" w:lineRule="exact"/>
        <w:rPr>
          <w:rFonts w:ascii="Arial" w:cs="Arial" w:eastAsia="Arial" w:hAnsi="Arial"/>
          <w:sz w:val="20"/>
          <w:szCs w:val="20"/>
          <w:color w:val="auto"/>
        </w:rPr>
      </w:pPr>
    </w:p>
    <w:p>
      <w:pPr>
        <w:jc w:val="both"/>
        <w:ind w:left="760" w:firstLine="1494"/>
        <w:spacing w:after="0" w:line="249" w:lineRule="auto"/>
        <w:tabs>
          <w:tab w:leader="none" w:pos="2653" w:val="left"/>
        </w:tabs>
        <w:numPr>
          <w:ilvl w:val="1"/>
          <w:numId w:val="238"/>
        </w:numPr>
        <w:rPr>
          <w:rFonts w:ascii="Arial" w:cs="Arial" w:eastAsia="Arial" w:hAnsi="Arial"/>
          <w:sz w:val="20"/>
          <w:szCs w:val="20"/>
          <w:color w:val="auto"/>
        </w:rPr>
      </w:pP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(but only to the extent relating to the items in clauses (b), (c), (d), (e), (f), (g), (h), (i), (j), (k), (m), (o), (p), (q), (r), (t), (y), and (z) of </w:t>
      </w:r>
      <w:r>
        <w:rPr>
          <w:rFonts w:ascii="Arial" w:cs="Arial" w:eastAsia="Arial" w:hAnsi="Arial"/>
          <w:sz w:val="20"/>
          <w:szCs w:val="20"/>
          <w:u w:val="single" w:color="auto"/>
          <w:color w:val="auto"/>
        </w:rPr>
        <w:t>Schedule 5.2</w:t>
      </w:r>
      <w:r>
        <w:rPr>
          <w:rFonts w:ascii="Arial" w:cs="Arial" w:eastAsia="Arial" w:hAnsi="Arial"/>
          <w:sz w:val="20"/>
          <w:szCs w:val="20"/>
          <w:color w:val="auto"/>
        </w:rPr>
        <w:t>), and such failure continues for five Business Days (as such period may be extended by up to 20 days by Agent);</w:t>
      </w:r>
    </w:p>
    <w:p>
      <w:pPr>
        <w:spacing w:after="0" w:line="187" w:lineRule="exact"/>
        <w:rPr>
          <w:rFonts w:ascii="Arial" w:cs="Arial" w:eastAsia="Arial" w:hAnsi="Arial"/>
          <w:sz w:val="20"/>
          <w:szCs w:val="20"/>
          <w:color w:val="auto"/>
        </w:rPr>
      </w:pPr>
    </w:p>
    <w:p>
      <w:pPr>
        <w:ind w:left="2640" w:hanging="386"/>
        <w:spacing w:after="0"/>
        <w:tabs>
          <w:tab w:leader="none" w:pos="264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214" w:lineRule="exact"/>
        <w:rPr>
          <w:rFonts w:ascii="Arial" w:cs="Arial" w:eastAsia="Arial" w:hAnsi="Arial"/>
          <w:sz w:val="20"/>
          <w:szCs w:val="20"/>
          <w:color w:val="auto"/>
        </w:rPr>
      </w:pPr>
    </w:p>
    <w:p>
      <w:pPr>
        <w:jc w:val="both"/>
        <w:ind w:left="760" w:right="20" w:firstLine="1494"/>
        <w:spacing w:after="0" w:line="249" w:lineRule="auto"/>
        <w:tabs>
          <w:tab w:leader="none" w:pos="2653"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this Agreement or in any of the other Loan Documents, in each case, other than any such covenant or agreement that is the subject of another provision of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(in which event such other provision of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shall govern), and such failure continues for a period of 30 days or more;</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8.3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Judgments</w:t>
      </w:r>
      <w:r>
        <w:rPr>
          <w:rFonts w:ascii="Arial" w:cs="Arial" w:eastAsia="Arial" w:hAnsi="Arial"/>
          <w:sz w:val="20"/>
          <w:szCs w:val="20"/>
          <w:color w:val="auto"/>
        </w:rPr>
        <w:t>. If one or more judgments, orders, or awards for the payment of money involving an aggregate amount of $10,000,000, or more (except to the extent fully covered (other than to the extent of customary deductibles) by insurance pursuant to which the insurer has not denied coverage) is entered or filed against a Loan Party or any of its Restricted Subsidiaries, or with respect to any of their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5" w:name="page236"/>
    <w:bookmarkEnd w:id="235"/>
    <w:p>
      <w:pPr>
        <w:jc w:val="both"/>
        <w:spacing w:after="0" w:line="249" w:lineRule="auto"/>
        <w:rPr>
          <w:sz w:val="20"/>
          <w:szCs w:val="20"/>
          <w:color w:val="auto"/>
        </w:rPr>
      </w:pPr>
      <w:r>
        <w:rPr>
          <w:rFonts w:ascii="Arial" w:cs="Arial" w:eastAsia="Arial" w:hAnsi="Arial"/>
          <w:sz w:val="20"/>
          <w:szCs w:val="20"/>
          <w:color w:val="auto"/>
        </w:rPr>
        <w:t>respective assets, and either (a) there is a period of 30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Voluntary Bankruptcy, etc</w:t>
      </w:r>
      <w:r>
        <w:rPr>
          <w:rFonts w:ascii="Arial" w:cs="Arial" w:eastAsia="Arial" w:hAnsi="Arial"/>
          <w:sz w:val="18"/>
          <w:szCs w:val="18"/>
          <w:color w:val="auto"/>
        </w:rPr>
        <w:t>. If an Insolvency Proceeding is commenced by a Loan Party or any of its Restricted Subsidiaries;</w:t>
      </w:r>
    </w:p>
    <w:p>
      <w:pPr>
        <w:spacing w:after="0" w:line="23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u w:val="single" w:color="auto"/>
          <w:color w:val="auto"/>
        </w:rPr>
        <w:t>8.5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Involuntary Bankruptcy, etc</w:t>
      </w:r>
      <w:r>
        <w:rPr>
          <w:rFonts w:ascii="Arial" w:cs="Arial" w:eastAsia="Arial" w:hAnsi="Arial"/>
          <w:sz w:val="18"/>
          <w:szCs w:val="18"/>
          <w:color w:val="auto"/>
        </w:rPr>
        <w:t>. If an Insolvency Proceeding is commenced against a Loan Party or any of its Restricted Subsidiaries and any of the following events occur: (a) such Loan Party or such Restricted Subsidiary consents to the institution of such Insolvency Proceeding against it, (b) the petition commencing the Insolvency Proceeding is not timely controverted, (c) the petition commencing the Insolvency Proceeding is not dismissed within 60 calendar days of the date of the filing thereof, (d) an interim trustee is appointed to take possession of all or any substantial portion of the properties or assets of, or to operate all or any substantial portion of the business of, such Loan Party or such Restricted Subsidiary, or (e) an order for relief shall have been issued or entered therein;</w:t>
      </w:r>
    </w:p>
    <w:p>
      <w:pPr>
        <w:spacing w:after="0" w:line="15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u w:val="single" w:color="auto"/>
          <w:color w:val="auto"/>
        </w:rPr>
        <w:t>8.6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Default Under Other Agreements</w:t>
      </w:r>
      <w:r>
        <w:rPr>
          <w:rFonts w:ascii="Arial" w:cs="Arial" w:eastAsia="Arial" w:hAnsi="Arial"/>
          <w:sz w:val="18"/>
          <w:szCs w:val="18"/>
          <w:color w:val="auto"/>
        </w:rPr>
        <w:t>. If (a) there is a default in one or more agreements to which Parent or any of its Restricted Subsidiaries is a party with one or more third Persons relative to Parent’s or any of its Restricted Subsidiaries’ Indebtedness involving an aggregate principal amount of $10,000,000 or more, and such default (i) occurs at the final maturity of the obligations thereunder or (ii) results in a right by such third Person, irrespective of whether exercised, to accelerate the maturity of Parent’s or such Restricted Subsidiary’s obligations thereunder or (b) there is a default under any operating lease or “true” lease under which Parent or any of its Restricted Subsidiaries is lessee and the aggregate cost of the property leased thereunder exceeds $10,000,000, and such default results in a right of a third Person to, irrespective of whether exercised, cause rent in excess of $5,000,000 to become due before its stated due date;</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u w:val="single" w:color="auto"/>
          <w:color w:val="auto"/>
        </w:rPr>
        <w:t>8.7</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Representations, etc</w:t>
      </w:r>
      <w:r>
        <w:rPr>
          <w:rFonts w:ascii="Arial" w:cs="Arial" w:eastAsia="Arial" w:hAnsi="Arial"/>
          <w:sz w:val="19"/>
          <w:szCs w:val="19"/>
          <w:color w:val="auto"/>
        </w:rPr>
        <w:t xml:space="preserve">.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it shall not constitute an Event of Default under this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if the calculation of the Borrowing Base in any Borrowing Base Certificate is incorrect or inaccurate, or any Loan Party shall have made a misrepresentation under </w:t>
      </w:r>
      <w:r>
        <w:rPr>
          <w:rFonts w:ascii="Arial" w:cs="Arial" w:eastAsia="Arial" w:hAnsi="Arial"/>
          <w:sz w:val="19"/>
          <w:szCs w:val="19"/>
          <w:u w:val="single" w:color="auto"/>
          <w:color w:val="auto"/>
        </w:rPr>
        <w:t>Sections 4.22</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4.24</w:t>
      </w:r>
      <w:r>
        <w:rPr>
          <w:rFonts w:ascii="Arial" w:cs="Arial" w:eastAsia="Arial" w:hAnsi="Arial"/>
          <w:sz w:val="19"/>
          <w:szCs w:val="19"/>
          <w:color w:val="auto"/>
        </w:rPr>
        <w:t xml:space="preserve"> so long as in each case, each (a) such inaccuracy, miscalculation or misrepresentation was inadvertent and unintentional and (b) the Borrowing Base (as reported in such Borrowing Base Certificate, because of such misrepresentations or otherwise) does not exceed the Borrowing Base (as properly calculated as of the date of such Borrowing Base Certificate and as if such misrepresentations had not been made) by more than $75,000,000.</w:t>
      </w:r>
    </w:p>
    <w:p>
      <w:pPr>
        <w:spacing w:after="0" w:line="178"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u w:val="single" w:color="auto"/>
          <w:color w:val="auto"/>
        </w:rPr>
        <w:t>8.8</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Guaranty</w:t>
      </w:r>
      <w:r>
        <w:rPr>
          <w:rFonts w:ascii="Arial" w:cs="Arial" w:eastAsia="Arial" w:hAnsi="Arial"/>
          <w:sz w:val="19"/>
          <w:szCs w:val="19"/>
          <w:color w:val="auto"/>
        </w:rPr>
        <w:t>. If the obligation of any Guarantor under the guaranty contained in the Guaranty and Security Agreement is (a) limited by operation of law in any material respect, (b) limited by such Guarantor or (c) terminated by operation of law or by such Guarantor (in each case, other than in accordance with the terms of this Agreement or the Guaranty and Security Agreement) or if any Guarantor repudiates or revokes or purports to repudiate or revoke any such guaranty;</w:t>
      </w:r>
    </w:p>
    <w:p>
      <w:pPr>
        <w:spacing w:after="0" w:line="168"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u w:val="single" w:color="auto"/>
          <w:color w:val="auto"/>
        </w:rPr>
        <w:t>8.9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Security Documents</w:t>
      </w:r>
      <w:r>
        <w:rPr>
          <w:rFonts w:ascii="Arial" w:cs="Arial" w:eastAsia="Arial" w:hAnsi="Arial"/>
          <w:sz w:val="18"/>
          <w:szCs w:val="18"/>
          <w:color w:val="auto"/>
        </w:rPr>
        <w:t>. If the Guaranty and Security Agreement or any other Loan Document that purports to create a Lien, shall, for any reason, fail or cease to create a valid and perfected and (except to the extent of Permitted Liens which are non-consensual Permitted Liens, Permitted Liens arising by operation of law, permitted purchase money Liens, the interests of lessors under Capital Leases,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6" w:name="page237"/>
    <w:bookmarkEnd w:id="236"/>
    <w:p>
      <w:pPr>
        <w:jc w:val="both"/>
        <w:spacing w:after="0" w:line="249" w:lineRule="auto"/>
        <w:rPr>
          <w:sz w:val="20"/>
          <w:szCs w:val="20"/>
          <w:color w:val="auto"/>
        </w:rPr>
      </w:pPr>
      <w:r>
        <w:rPr>
          <w:rFonts w:ascii="Arial" w:cs="Arial" w:eastAsia="Arial" w:hAnsi="Arial"/>
          <w:sz w:val="20"/>
          <w:szCs w:val="20"/>
          <w:color w:val="auto"/>
        </w:rPr>
        <w:t>or the interests of lessees under leases) first priority Lien on the Collateral covered thereby, except (a) as a result of a disposition of the applicable Collateral in a transaction permitted under this Agreement, or (b) with respect to Collateral the aggregate value of which, for all such Collateral, does not exceed at any time, $10,000,000;</w:t>
      </w:r>
    </w:p>
    <w:p>
      <w:pPr>
        <w:spacing w:after="0" w:line="18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u w:val="single" w:color="auto"/>
          <w:color w:val="auto"/>
        </w:rPr>
        <w:t>8.10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Loan Documents</w:t>
      </w:r>
      <w:r>
        <w:rPr>
          <w:rFonts w:ascii="Arial" w:cs="Arial" w:eastAsia="Arial" w:hAnsi="Arial"/>
          <w:sz w:val="18"/>
          <w:szCs w:val="18"/>
          <w:color w:val="auto"/>
        </w:rPr>
        <w:t>. The validity or enforceability of any Loan Document shall at any time for any reason (other than solely as the result of an action or failure to act on the part of Agent) be declared to be null and void, or a proceeding shall be commenced by Parent or any of its Restricted Subsidiaries, or by any Governmental Authority having jurisdiction over Parent or any of its Restricted Subsidiaries, seeking to establish the invalidity or unenforceability thereof, or Parent or any of its Restricted Subsidiaries shall deny that Parent or any such Restricted Subsidiaries have any liability or obligation purported to be created under any Loan Document;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8.11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A Change of Control shall occur, whether directly or indirectly; or</w:t>
      </w:r>
    </w:p>
    <w:p>
      <w:pPr>
        <w:spacing w:after="0" w:line="21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u w:val="single" w:color="auto"/>
          <w:color w:val="auto"/>
        </w:rPr>
        <w:t>8.12</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The occurrence of any of the following events: (a) Parent or any Restricted Subsidiary or any ERISA Affiliate fails to make full payment when due of all amounts which any Loan Party, Restricted Subsidiary, or ERISA Affiliate is required to pay as contributions, installments, or otherwise to or with respect to a Pension Plan or Multiemployer Plan, and such failure could reasonably be expected to result in liability to Parent or to any Restricted Subsidiary in excess of $10,000,000, (b) a Notification Event, which could reasonably be expected to result in liability to Parent or to any Restricted Subsidiary in excess of $10,000,000, either individually or in the aggregate, or (c) any Loan Party or Restricted Subsidiary, or ERISA Affiliate completely or partially withdraws from one or more Multiemployer Plans and incurs Withdrawal Liability in excess of $10,000,000 that is payable during any 12-month period, or fails to make any Withdrawal Liability payment in excess of $10,000,000 when due.</w:t>
      </w:r>
    </w:p>
    <w:p>
      <w:pPr>
        <w:spacing w:after="0" w:line="178" w:lineRule="exact"/>
        <w:rPr>
          <w:sz w:val="20"/>
          <w:szCs w:val="20"/>
          <w:color w:val="auto"/>
        </w:rPr>
      </w:pPr>
    </w:p>
    <w:p>
      <w:pPr>
        <w:ind w:left="400" w:hanging="392"/>
        <w:spacing w:after="0"/>
        <w:tabs>
          <w:tab w:leader="none" w:pos="400" w:val="left"/>
        </w:tabs>
        <w:numPr>
          <w:ilvl w:val="0"/>
          <w:numId w:val="239"/>
        </w:numPr>
        <w:rPr>
          <w:rFonts w:ascii="Arial" w:cs="Arial" w:eastAsia="Arial" w:hAnsi="Arial"/>
          <w:sz w:val="20"/>
          <w:szCs w:val="20"/>
          <w:color w:val="auto"/>
        </w:rPr>
      </w:pPr>
      <w:r>
        <w:rPr>
          <w:rFonts w:ascii="Arial" w:cs="Arial" w:eastAsia="Arial" w:hAnsi="Arial"/>
          <w:sz w:val="20"/>
          <w:szCs w:val="20"/>
          <w:b w:val="1"/>
          <w:bCs w:val="1"/>
          <w:color w:val="auto"/>
        </w:rPr>
        <w:t>RIGHTS AND REMEDIES.</w:t>
      </w:r>
    </w:p>
    <w:p>
      <w:pPr>
        <w:spacing w:after="0" w:line="21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u w:val="single" w:color="auto"/>
          <w:color w:val="auto"/>
        </w:rPr>
        <w:t>9.1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Rights and Remedies</w:t>
      </w:r>
      <w:r>
        <w:rPr>
          <w:rFonts w:ascii="Arial" w:cs="Arial" w:eastAsia="Arial" w:hAnsi="Arial"/>
          <w:sz w:val="20"/>
          <w:szCs w:val="20"/>
          <w:color w:val="auto"/>
        </w:rPr>
        <w:t>. Upon the occurrence and during the continuation of an Event of Default, Agent may, and, at the instruction of the Required Lenders, shall, in addition to any other rights or remedies provided for hereunder or under any other Loan Document or by applicable law, do any one or more of the following:</w:t>
      </w:r>
    </w:p>
    <w:p>
      <w:pPr>
        <w:spacing w:after="0" w:line="185" w:lineRule="exact"/>
        <w:rPr>
          <w:sz w:val="20"/>
          <w:szCs w:val="20"/>
          <w:color w:val="auto"/>
        </w:rPr>
      </w:pPr>
    </w:p>
    <w:p>
      <w:pPr>
        <w:jc w:val="both"/>
        <w:ind w:left="200" w:firstLine="1493"/>
        <w:spacing w:after="0" w:line="274" w:lineRule="auto"/>
        <w:tabs>
          <w:tab w:leader="none" w:pos="209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w:t>
      </w:r>
    </w:p>
    <w:p>
      <w:pPr>
        <w:spacing w:after="0" w:line="166" w:lineRule="exact"/>
        <w:rPr>
          <w:rFonts w:ascii="Arial" w:cs="Arial" w:eastAsia="Arial" w:hAnsi="Arial"/>
          <w:sz w:val="18"/>
          <w:szCs w:val="18"/>
          <w:color w:val="auto"/>
        </w:rPr>
      </w:pPr>
    </w:p>
    <w:p>
      <w:pPr>
        <w:jc w:val="both"/>
        <w:ind w:left="200" w:firstLine="1493"/>
        <w:spacing w:after="0" w:line="249" w:lineRule="auto"/>
        <w:tabs>
          <w:tab w:leader="none" w:pos="209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by written notice to Borrowers, 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187" w:lineRule="exact"/>
        <w:rPr>
          <w:rFonts w:ascii="Arial" w:cs="Arial" w:eastAsia="Arial" w:hAnsi="Arial"/>
          <w:sz w:val="20"/>
          <w:szCs w:val="20"/>
          <w:color w:val="auto"/>
        </w:rPr>
      </w:pPr>
    </w:p>
    <w:p>
      <w:pPr>
        <w:ind w:left="200" w:right="40" w:firstLine="1493"/>
        <w:spacing w:after="0" w:line="260" w:lineRule="auto"/>
        <w:tabs>
          <w:tab w:leader="none" w:pos="2093" w:val="left"/>
        </w:tabs>
        <w:numPr>
          <w:ilvl w:val="0"/>
          <w:numId w:val="240"/>
        </w:numPr>
        <w:rPr>
          <w:rFonts w:ascii="Arial" w:cs="Arial" w:eastAsia="Arial" w:hAnsi="Arial"/>
          <w:sz w:val="20"/>
          <w:szCs w:val="20"/>
          <w:color w:val="auto"/>
        </w:rPr>
      </w:pPr>
      <w:r>
        <w:rPr>
          <w:rFonts w:ascii="Arial" w:cs="Arial" w:eastAsia="Arial" w:hAnsi="Arial"/>
          <w:sz w:val="20"/>
          <w:szCs w:val="20"/>
          <w:color w:val="auto"/>
        </w:rPr>
        <w:t>exercise all other rights and remedies available to Agent or the Lenders under the Loan Documents, under applicable law, or in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7" w:name="page238"/>
    <w:bookmarkEnd w:id="237"/>
    <w:p>
      <w:pPr>
        <w:jc w:val="both"/>
        <w:spacing w:after="0" w:line="241" w:lineRule="auto"/>
        <w:rPr>
          <w:sz w:val="20"/>
          <w:szCs w:val="20"/>
          <w:color w:val="auto"/>
        </w:rPr>
      </w:pPr>
      <w:r>
        <w:rPr>
          <w:rFonts w:ascii="Arial" w:cs="Arial" w:eastAsia="Arial" w:hAnsi="Arial"/>
          <w:sz w:val="20"/>
          <w:szCs w:val="20"/>
          <w:color w:val="auto"/>
        </w:rPr>
        <w:t xml:space="preserve">The foregoing to the contrary notwithstanding, upon the occurrence of any Event of Default described in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8.5</w:t>
      </w:r>
      <w:r>
        <w:rPr>
          <w:rFonts w:ascii="Arial" w:cs="Arial" w:eastAsia="Arial" w:hAnsi="Arial"/>
          <w:sz w:val="20"/>
          <w:szCs w:val="20"/>
          <w:color w:val="auto"/>
        </w:rPr>
        <w:t>,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their Restricted Subsidiaries’ obligations in respect of outstanding Bank Products), without presentment, demand, protest, or notice or other requirements of any kind, all of which are expressly waived by Borrowers.</w:t>
      </w:r>
    </w:p>
    <w:p>
      <w:pPr>
        <w:spacing w:after="0" w:line="19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9.2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Remedies Cumulative</w:t>
      </w:r>
      <w:r>
        <w:rPr>
          <w:rFonts w:ascii="Arial" w:cs="Arial" w:eastAsia="Arial" w:hAnsi="Arial"/>
          <w:sz w:val="20"/>
          <w:szCs w:val="20"/>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spacing w:after="0" w:line="183" w:lineRule="exact"/>
        <w:rPr>
          <w:sz w:val="20"/>
          <w:szCs w:val="20"/>
          <w:color w:val="auto"/>
        </w:rPr>
      </w:pPr>
    </w:p>
    <w:p>
      <w:pPr>
        <w:ind w:left="400" w:hanging="392"/>
        <w:spacing w:after="0"/>
        <w:tabs>
          <w:tab w:leader="none" w:pos="40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WAIVERS; INDEMNIFICATION.</w:t>
      </w:r>
    </w:p>
    <w:p>
      <w:pPr>
        <w:spacing w:after="0" w:line="21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u w:val="single" w:color="auto"/>
          <w:color w:val="auto"/>
        </w:rPr>
        <w:t>10.1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Demand; Protest; Etc</w:t>
      </w:r>
      <w:r>
        <w:rPr>
          <w:rFonts w:ascii="Arial" w:cs="Arial" w:eastAsia="Arial" w:hAnsi="Arial"/>
          <w:sz w:val="19"/>
          <w:szCs w:val="19"/>
          <w:color w:val="auto"/>
        </w:rPr>
        <w:t>.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spacing w:after="0" w:line="16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10.2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 Lender Group’s Liability for Collateral</w:t>
      </w:r>
      <w:r>
        <w:rPr>
          <w:rFonts w:ascii="Arial" w:cs="Arial" w:eastAsia="Arial" w:hAnsi="Arial"/>
          <w:sz w:val="20"/>
          <w:szCs w:val="20"/>
          <w:color w:val="auto"/>
        </w:rPr>
        <w:t>. Each Borrower hereby agrees that: (a) so long as Agent complies with its obligations, if 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18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10.3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Each Borrower shall pay, indemnify, defend, and hold the Agent-Related Persons, the Lender-Related Persons, the Issuing Bank, and each Participant (each, an “</w:t>
      </w:r>
      <w:r>
        <w:rPr>
          <w:rFonts w:ascii="Arial" w:cs="Arial" w:eastAsia="Arial" w:hAnsi="Arial"/>
          <w:sz w:val="19"/>
          <w:szCs w:val="19"/>
          <w:u w:val="single" w:color="auto"/>
          <w:color w:val="auto"/>
        </w:rPr>
        <w:t>Indemnified Person</w:t>
      </w:r>
      <w:r>
        <w:rPr>
          <w:rFonts w:ascii="Arial" w:cs="Arial" w:eastAsia="Arial" w:hAnsi="Arial"/>
          <w:sz w:val="19"/>
          <w:szCs w:val="19"/>
          <w:color w:val="auto"/>
        </w:rPr>
        <w:t>”) harmless (to the fullest extent permitted by law) from and against any and all claims, demands, suits, actions, investigations, proceedings, liabilities, fines, costs, penalties, and damages, and all reasonable and documented out-of-pocket fees and disbursements of attorneys, experts, or consultants and all other reasonable and documented out-of-pocket costs and expenses actually incurred in connection therewith or in connection with the enforcement of this indemnification (as and when they are incurred and irrespective of whether suit is brought) (which in the case of legal fees shall be limited to the attorneys’ fees of one outside counsel to all Indemnified Persons taken as a whole and one local counsel to all Indemnified Persons taken as a whole in each relevant jurisdiction (which may include a single counsel acting in multiple jurisdictions) (and, solely in the case of an actual or perceived conflict of interest where the Indemnified Person affected by such conflict of interest has informed Parent in writing of such conflict and thereafter retains its own counsel, one additional counsel in each relevant jurisdiction to each group of Indemnified Persons similarly situated taken as a whole, and, in all cases excluding, for the avoidance of doubt, the allocated costs of internal counsel)), at any time asserted against, imposed upon, or incurred by any of them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8" w:name="page239"/>
    <w:bookmarkEnd w:id="238"/>
    <w:p>
      <w:pPr>
        <w:jc w:val="both"/>
        <w:ind w:firstLine="8"/>
        <w:spacing w:after="0" w:line="266" w:lineRule="auto"/>
        <w:tabs>
          <w:tab w:leader="none" w:pos="2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connection with or as a result of or related to the execution and delivery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Parent’s and its Restricted Subsidiaries’ compliance with the terms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unless the dispute involves an act or omission of a Loan Party) relative to disputes between or among Agent, on the one hand, and one or more Lenders, or one or more of their Affiliates, on the other hand, or (iii) any claims for Taxes, which shall be governed by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other than Taxes which relate to primarily non-Tax claims),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Restricted Subsidiaries or any Environmental Actions, Environmental Liabilities or Remedial Actions related in any way to any such assets or properties of any Loan Party or any of its Restricted Subsidiaries (each and all of the foregoing, the “Indemnified Liabilities”). The foregoing to the contrary notwithstanding, no Borrower shall have any obligation to any Indemnified Person under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with respect to any Indemnified Liability that a court of competent jurisdiction finally determines to have resulted from the gross negligence, bad faith, or willful misconduct of, or a material breach of its obligations under any Loan Document by,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Arial" w:cs="Arial" w:eastAsia="Arial" w:hAnsi="Arial"/>
          <w:sz w:val="18"/>
          <w:szCs w:val="18"/>
          <w:b w:val="1"/>
          <w:bCs w:val="1"/>
          <w:color w:val="auto"/>
        </w:rPr>
        <w:t>WITHOUT LIMITATION, THE FOREGOING</w:t>
      </w:r>
    </w:p>
    <w:p>
      <w:pPr>
        <w:spacing w:after="0" w:line="11" w:lineRule="exact"/>
        <w:rPr>
          <w:rFonts w:ascii="Arial" w:cs="Arial" w:eastAsia="Arial" w:hAnsi="Arial"/>
          <w:sz w:val="18"/>
          <w:szCs w:val="18"/>
          <w:color w:val="auto"/>
        </w:rPr>
      </w:pPr>
    </w:p>
    <w:p>
      <w:pPr>
        <w:jc w:val="both"/>
        <w:spacing w:after="0" w:line="241" w:lineRule="auto"/>
        <w:rPr>
          <w:rFonts w:ascii="Arial" w:cs="Arial" w:eastAsia="Arial" w:hAnsi="Arial"/>
          <w:sz w:val="18"/>
          <w:szCs w:val="18"/>
          <w:color w:val="auto"/>
        </w:rPr>
      </w:pPr>
      <w:r>
        <w:rPr>
          <w:rFonts w:ascii="Arial" w:cs="Arial" w:eastAsia="Arial" w:hAnsi="Arial"/>
          <w:sz w:val="20"/>
          <w:szCs w:val="20"/>
          <w:b w:val="1"/>
          <w:bCs w:val="1"/>
          <w:color w:val="auto"/>
        </w:rPr>
        <w:t>INDEMNITY SHALL APPLY TO EACH INDEMNIFIED PERSON WITH RESPECT TO INDEMNIFIED LIABILITIES WHICH IN WHOLE OR IN PART ARE CAUSED BY OR ARISE OUT OF ANY NEGLIGENT ACT OR OMISSION OF SUCH INDEMNIFIED PERSON OR OF ANY OTHER PERSON.</w:t>
      </w:r>
    </w:p>
    <w:p>
      <w:pPr>
        <w:spacing w:after="0" w:line="189" w:lineRule="exact"/>
        <w:rPr>
          <w:sz w:val="20"/>
          <w:szCs w:val="20"/>
          <w:color w:val="auto"/>
        </w:rPr>
      </w:pPr>
    </w:p>
    <w:p>
      <w:pPr>
        <w:ind w:left="400" w:hanging="392"/>
        <w:spacing w:after="0"/>
        <w:tabs>
          <w:tab w:leader="none" w:pos="400" w:val="left"/>
        </w:tabs>
        <w:numPr>
          <w:ilvl w:val="0"/>
          <w:numId w:val="243"/>
        </w:numPr>
        <w:rPr>
          <w:rFonts w:ascii="Arial" w:cs="Arial" w:eastAsia="Arial" w:hAnsi="Arial"/>
          <w:sz w:val="20"/>
          <w:szCs w:val="20"/>
          <w:color w:val="auto"/>
        </w:rPr>
      </w:pPr>
      <w:r>
        <w:rPr>
          <w:rFonts w:ascii="Arial" w:cs="Arial" w:eastAsia="Arial" w:hAnsi="Arial"/>
          <w:sz w:val="20"/>
          <w:szCs w:val="20"/>
          <w:b w:val="1"/>
          <w:bCs w:val="1"/>
          <w:color w:val="auto"/>
        </w:rPr>
        <w:t>NOTICES.</w:t>
      </w:r>
    </w:p>
    <w:p>
      <w:pPr>
        <w:spacing w:after="0" w:line="221" w:lineRule="exact"/>
        <w:rPr>
          <w:sz w:val="20"/>
          <w:szCs w:val="20"/>
          <w:color w:val="auto"/>
        </w:rPr>
      </w:pPr>
    </w:p>
    <w:p>
      <w:pPr>
        <w:jc w:val="both"/>
        <w:ind w:firstLine="1498"/>
        <w:spacing w:after="0" w:line="278" w:lineRule="auto"/>
        <w:rPr>
          <w:sz w:val="20"/>
          <w:szCs w:val="20"/>
          <w:color w:val="auto"/>
        </w:rPr>
      </w:pPr>
      <w:r>
        <w:rPr>
          <w:rFonts w:ascii="Arial" w:cs="Arial" w:eastAsia="Arial" w:hAnsi="Arial"/>
          <w:sz w:val="18"/>
          <w:szCs w:val="18"/>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9" w:name="page240"/>
    <w:bookmarkEnd w:id="239"/>
    <w:p>
      <w:pPr>
        <w:ind w:left="1720"/>
        <w:spacing w:after="0"/>
        <w:rPr>
          <w:sz w:val="20"/>
          <w:szCs w:val="20"/>
          <w:color w:val="auto"/>
        </w:rPr>
      </w:pPr>
      <w:r>
        <w:rPr>
          <w:rFonts w:ascii="Arial" w:cs="Arial" w:eastAsia="Arial" w:hAnsi="Arial"/>
          <w:sz w:val="18"/>
          <w:szCs w:val="18"/>
          <w:color w:val="auto"/>
        </w:rPr>
        <w:t>If to any Loan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c/o Parent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H&amp;E Equipment Services, Inc.</w:t>
      </w:r>
    </w:p>
    <w:p>
      <w:pPr>
        <w:spacing w:after="0" w:line="33" w:lineRule="exact"/>
        <w:rPr>
          <w:sz w:val="20"/>
          <w:szCs w:val="20"/>
          <w:color w:val="auto"/>
        </w:rPr>
      </w:pPr>
    </w:p>
    <w:p>
      <w:pPr>
        <w:sectPr>
          <w:pgSz w:w="11900" w:h="16838" w:orient="portrait"/>
          <w:cols w:equalWidth="0" w:num="2">
            <w:col w:w="3700" w:space="720"/>
            <w:col w:w="6820"/>
          </w:cols>
          <w:pgMar w:left="320" w:top="366" w:right="339" w:bottom="1440" w:gutter="0" w:footer="0" w:header="0"/>
        </w:sectPr>
      </w:pPr>
    </w:p>
    <w:p>
      <w:pPr>
        <w:ind w:left="4420"/>
        <w:spacing w:after="0"/>
        <w:rPr>
          <w:sz w:val="20"/>
          <w:szCs w:val="20"/>
          <w:color w:val="auto"/>
        </w:rPr>
      </w:pPr>
      <w:r>
        <w:rPr>
          <w:rFonts w:ascii="Arial" w:cs="Arial" w:eastAsia="Arial" w:hAnsi="Arial"/>
          <w:sz w:val="20"/>
          <w:szCs w:val="20"/>
          <w:color w:val="auto"/>
        </w:rPr>
        <w:t>7500 Pecue Lane</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Baton Rouge, Louisiana</w:t>
      </w:r>
    </w:p>
    <w:p>
      <w:pPr>
        <w:spacing w:after="0" w:line="7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Attn: Leslie S. Magee</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Fax No. (225) 298-5382</w:t>
      </w:r>
    </w:p>
    <w:p>
      <w:pPr>
        <w:sectPr>
          <w:pgSz w:w="11900" w:h="16838" w:orient="portrait"/>
          <w:cols w:equalWidth="0" w:num="1">
            <w:col w:w="11240"/>
          </w:cols>
          <w:pgMar w:left="320" w:top="366" w:right="339" w:bottom="1440" w:gutter="0" w:footer="0" w:header="0"/>
          <w:type w:val="continuous"/>
        </w:sectPr>
      </w:pPr>
    </w:p>
    <w:p>
      <w:pPr>
        <w:spacing w:after="0" w:line="30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49" w:lineRule="exact"/>
        <w:rPr>
          <w:sz w:val="20"/>
          <w:szCs w:val="20"/>
          <w:color w:val="auto"/>
        </w:rPr>
      </w:pPr>
    </w:p>
    <w:p>
      <w:pPr>
        <w:sectPr>
          <w:pgSz w:w="11900" w:h="16838" w:orient="portrait"/>
          <w:cols w:equalWidth="0" w:num="2">
            <w:col w:w="3700" w:space="720"/>
            <w:col w:w="6820"/>
          </w:cols>
          <w:pgMar w:left="320" w:top="366" w:right="339" w:bottom="1440" w:gutter="0" w:footer="0" w:header="0"/>
          <w:type w:val="continuous"/>
        </w:sectPr>
      </w:pPr>
    </w:p>
    <w:p>
      <w:pPr>
        <w:ind w:left="4420"/>
        <w:spacing w:after="0"/>
        <w:rPr>
          <w:sz w:val="20"/>
          <w:szCs w:val="20"/>
          <w:color w:val="auto"/>
        </w:rPr>
      </w:pPr>
      <w:r>
        <w:rPr>
          <w:rFonts w:ascii="Arial" w:cs="Arial" w:eastAsia="Arial" w:hAnsi="Arial"/>
          <w:sz w:val="20"/>
          <w:szCs w:val="20"/>
          <w:color w:val="auto"/>
        </w:rPr>
        <w:t>1095 Avenue of the Americas</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New York, NY 10036-6797</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Attn: Scott M. Zimmerman, Esq.</w:t>
      </w:r>
    </w:p>
    <w:p>
      <w:pPr>
        <w:spacing w:after="0" w:line="4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Fax No.: (212) 698-3599</w:t>
      </w:r>
    </w:p>
    <w:p>
      <w:pPr>
        <w:sectPr>
          <w:pgSz w:w="11900" w:h="16838" w:orient="portrait"/>
          <w:cols w:equalWidth="0" w:num="1">
            <w:col w:w="11240"/>
          </w:cols>
          <w:pgMar w:left="320" w:top="366" w:right="339" w:bottom="1440" w:gutter="0" w:footer="0" w:header="0"/>
          <w:type w:val="continuous"/>
        </w:sectPr>
      </w:pPr>
    </w:p>
    <w:p>
      <w:pPr>
        <w:spacing w:after="0" w:line="282" w:lineRule="exact"/>
        <w:rPr>
          <w:sz w:val="20"/>
          <w:szCs w:val="20"/>
          <w:color w:val="auto"/>
        </w:rPr>
      </w:pPr>
    </w:p>
    <w:p>
      <w:pPr>
        <w:jc w:val="center"/>
        <w:ind w:left="660"/>
        <w:spacing w:after="0"/>
        <w:rPr>
          <w:sz w:val="20"/>
          <w:szCs w:val="20"/>
          <w:color w:val="auto"/>
        </w:rPr>
      </w:pPr>
      <w:r>
        <w:rPr>
          <w:rFonts w:ascii="Arial" w:cs="Arial" w:eastAsia="Arial" w:hAnsi="Arial"/>
          <w:sz w:val="19"/>
          <w:szCs w:val="19"/>
          <w:color w:val="auto"/>
        </w:rPr>
        <w:t>If to Agent: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49" w:lineRule="exact"/>
        <w:rPr>
          <w:sz w:val="20"/>
          <w:szCs w:val="20"/>
          <w:color w:val="auto"/>
        </w:rPr>
      </w:pPr>
    </w:p>
    <w:p>
      <w:pPr>
        <w:sectPr>
          <w:pgSz w:w="11900" w:h="16838" w:orient="portrait"/>
          <w:cols w:equalWidth="0" w:num="2">
            <w:col w:w="3700" w:space="720"/>
            <w:col w:w="6820"/>
          </w:cols>
          <w:pgMar w:left="320" w:top="366" w:right="339" w:bottom="1440" w:gutter="0" w:footer="0" w:header="0"/>
          <w:type w:val="continuous"/>
        </w:sectPr>
      </w:pPr>
    </w:p>
    <w:p>
      <w:pPr>
        <w:ind w:left="4420"/>
        <w:spacing w:after="0"/>
        <w:rPr>
          <w:sz w:val="20"/>
          <w:szCs w:val="20"/>
          <w:color w:val="auto"/>
        </w:rPr>
      </w:pPr>
      <w:r>
        <w:rPr>
          <w:rFonts w:ascii="Arial" w:cs="Arial" w:eastAsia="Arial" w:hAnsi="Arial"/>
          <w:sz w:val="20"/>
          <w:szCs w:val="20"/>
          <w:color w:val="auto"/>
        </w:rPr>
        <w:t>1100 Abernathy Road</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Suite 1600</w:t>
      </w:r>
    </w:p>
    <w:p>
      <w:pPr>
        <w:ind w:left="4420"/>
        <w:spacing w:after="0"/>
        <w:rPr>
          <w:sz w:val="20"/>
          <w:szCs w:val="20"/>
          <w:color w:val="auto"/>
        </w:rPr>
      </w:pPr>
      <w:r>
        <w:rPr>
          <w:rFonts w:ascii="Arial" w:cs="Arial" w:eastAsia="Arial" w:hAnsi="Arial"/>
          <w:sz w:val="20"/>
          <w:szCs w:val="20"/>
          <w:color w:val="auto"/>
        </w:rPr>
        <w:t>Atlanta, GA 30328</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Attn: Loan Portfolio Manager</w:t>
      </w:r>
    </w:p>
    <w:p>
      <w:pPr>
        <w:sectPr>
          <w:pgSz w:w="11900" w:h="16838" w:orient="portrait"/>
          <w:cols w:equalWidth="0" w:num="1">
            <w:col w:w="11240"/>
          </w:cols>
          <w:pgMar w:left="320" w:top="3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720"/>
        <w:spacing w:after="0"/>
        <w:tabs>
          <w:tab w:leader="none" w:pos="4400" w:val="left"/>
        </w:tabs>
        <w:rPr>
          <w:sz w:val="20"/>
          <w:szCs w:val="20"/>
          <w:color w:val="auto"/>
        </w:rPr>
      </w:pPr>
      <w:r>
        <w:rPr>
          <w:rFonts w:ascii="Arial" w:cs="Arial" w:eastAsia="Arial" w:hAnsi="Arial"/>
          <w:sz w:val="20"/>
          <w:szCs w:val="20"/>
          <w:color w:val="auto"/>
        </w:rPr>
        <w:t>with copies to:</w:t>
      </w:r>
      <w:r>
        <w:rPr>
          <w:sz w:val="20"/>
          <w:szCs w:val="20"/>
          <w:color w:val="auto"/>
        </w:rPr>
        <w:tab/>
      </w:r>
      <w:r>
        <w:rPr>
          <w:rFonts w:ascii="Arial" w:cs="Arial" w:eastAsia="Arial" w:hAnsi="Arial"/>
          <w:sz w:val="16"/>
          <w:szCs w:val="16"/>
          <w:color w:val="auto"/>
        </w:rPr>
        <w:t>Greenberg Traurig, LLP</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3333 Piedmont Road NE</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Suite 2500</w:t>
      </w:r>
    </w:p>
    <w:p>
      <w:pPr>
        <w:spacing w:after="0" w:line="1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Atlanta, GA 30305</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Attn: Bethani Oppenheimer, Esq.</w:t>
      </w:r>
    </w:p>
    <w:p>
      <w:pPr>
        <w:spacing w:after="0" w:line="2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Fax No.: (678) 553-2451</w:t>
      </w:r>
    </w:p>
    <w:p>
      <w:pPr>
        <w:spacing w:after="0" w:line="242" w:lineRule="exact"/>
        <w:rPr>
          <w:sz w:val="20"/>
          <w:szCs w:val="20"/>
          <w:color w:val="auto"/>
        </w:rPr>
      </w:pPr>
    </w:p>
    <w:p>
      <w:pPr>
        <w:jc w:val="both"/>
        <w:ind w:firstLine="1498"/>
        <w:spacing w:after="0" w:line="242" w:lineRule="auto"/>
        <w:rPr>
          <w:sz w:val="20"/>
          <w:szCs w:val="20"/>
          <w:color w:val="auto"/>
        </w:rPr>
      </w:pPr>
      <w:r>
        <w:rPr>
          <w:rFonts w:ascii="Arial" w:cs="Arial" w:eastAsia="Arial" w:hAnsi="Arial"/>
          <w:sz w:val="20"/>
          <w:szCs w:val="20"/>
          <w:color w:val="auto"/>
        </w:rPr>
        <w:t xml:space="preserve">Any party hereto may change the address at which they are to receive notices hereunder, by notice in writing in the foregoing manner given to the other party. All notices or demands sent in accordance with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shall be deemed received on the earlier of the date of actual receipt or three Business Days after the deposit thereof in the mail; </w:t>
      </w:r>
      <w:r>
        <w:rPr>
          <w:rFonts w:ascii="Arial" w:cs="Arial" w:eastAsia="Arial" w:hAnsi="Arial"/>
          <w:sz w:val="20"/>
          <w:szCs w:val="20"/>
          <w:u w:val="single" w:color="auto"/>
          <w:color w:val="auto"/>
        </w:rPr>
        <w:t>provided</w:t>
      </w:r>
      <w:r>
        <w:rPr>
          <w:rFonts w:ascii="Arial" w:cs="Arial" w:eastAsia="Arial" w:hAnsi="Arial"/>
          <w:sz w:val="20"/>
          <w:szCs w:val="20"/>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88" w:lineRule="exact"/>
        <w:rPr>
          <w:sz w:val="20"/>
          <w:szCs w:val="20"/>
          <w:color w:val="auto"/>
        </w:rPr>
      </w:pPr>
    </w:p>
    <w:p>
      <w:pPr>
        <w:ind w:left="400" w:hanging="392"/>
        <w:spacing w:after="0"/>
        <w:tabs>
          <w:tab w:leader="none" w:pos="400" w:val="left"/>
        </w:tabs>
        <w:numPr>
          <w:ilvl w:val="0"/>
          <w:numId w:val="244"/>
        </w:numPr>
        <w:rPr>
          <w:rFonts w:ascii="Arial" w:cs="Arial" w:eastAsia="Arial" w:hAnsi="Arial"/>
          <w:sz w:val="20"/>
          <w:szCs w:val="20"/>
          <w:color w:val="auto"/>
        </w:rPr>
      </w:pPr>
      <w:r>
        <w:rPr>
          <w:rFonts w:ascii="Arial" w:cs="Arial" w:eastAsia="Arial" w:hAnsi="Arial"/>
          <w:sz w:val="20"/>
          <w:szCs w:val="20"/>
          <w:b w:val="1"/>
          <w:bCs w:val="1"/>
          <w:color w:val="auto"/>
        </w:rPr>
        <w:t>CHOICE OF LAW AND VENUE; JURY TRIAL WAIVER; JUDICIAL REFERENCE PROVISION.</w:t>
      </w:r>
    </w:p>
    <w:p>
      <w:pPr>
        <w:spacing w:after="0" w:line="220" w:lineRule="exact"/>
        <w:rPr>
          <w:rFonts w:ascii="Arial" w:cs="Arial" w:eastAsia="Arial" w:hAnsi="Arial"/>
          <w:sz w:val="20"/>
          <w:szCs w:val="20"/>
          <w:color w:val="auto"/>
        </w:rPr>
      </w:pPr>
    </w:p>
    <w:p>
      <w:pPr>
        <w:jc w:val="both"/>
        <w:ind w:firstLine="1505"/>
        <w:spacing w:after="0" w:line="242" w:lineRule="auto"/>
        <w:tabs>
          <w:tab w:leader="none" w:pos="1893" w:val="left"/>
        </w:tabs>
        <w:numPr>
          <w:ilvl w:val="1"/>
          <w:numId w:val="244"/>
        </w:numPr>
        <w:rPr>
          <w:rFonts w:ascii="Arial" w:cs="Arial" w:eastAsia="Arial" w:hAnsi="Arial"/>
          <w:sz w:val="20"/>
          <w:szCs w:val="20"/>
          <w:color w:val="auto"/>
        </w:rPr>
      </w:pPr>
      <w:r>
        <w:rPr>
          <w:rFonts w:ascii="Arial" w:cs="Arial" w:eastAsia="Arial" w:hAnsi="Arial"/>
          <w:sz w:val="20"/>
          <w:szCs w:val="20"/>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240" w:name="page241"/>
    <w:bookmarkEnd w:id="240"/>
    <w:p>
      <w:pPr>
        <w:jc w:val="both"/>
        <w:ind w:firstLine="1505"/>
        <w:spacing w:after="0" w:line="241" w:lineRule="auto"/>
        <w:tabs>
          <w:tab w:leader="none" w:pos="189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COUNTY OF NEW YORK,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SUIT SEEKING ENFORCEMENT AGAINST ANY COLLATERAL OR OTHER PROPERTY MAY BE BROUGHT, AT AGENT’S OPTION, IN THE COURTS OF ANY JURISDICTION WHERE AGENT ELECTS TO BRING SUCH ACTION OR WHERE SUCH COLLATERAL OR OTHER PROPERTY MAY BE FOUND. EACH BORROWER AND EACH MEMBER OF THE LENDER GROUP WAIVE, TO THE EXTENT PERMITTED UNDER APPLICABLE LAW, ANY RIGHT EACH MAY HAVE TO ASSERT THE DOCTRINE OF </w:t>
      </w:r>
      <w:r>
        <w:rPr>
          <w:rFonts w:ascii="Arial" w:cs="Arial" w:eastAsia="Arial" w:hAnsi="Arial"/>
          <w:sz w:val="20"/>
          <w:szCs w:val="20"/>
          <w:u w:val="single" w:color="auto"/>
          <w:color w:val="auto"/>
        </w:rPr>
        <w:t>FORUM NON CONVENIENS</w:t>
      </w:r>
      <w:r>
        <w:rPr>
          <w:rFonts w:ascii="Arial" w:cs="Arial" w:eastAsia="Arial" w:hAnsi="Arial"/>
          <w:sz w:val="20"/>
          <w:szCs w:val="20"/>
          <w:color w:val="auto"/>
        </w:rPr>
        <w:t xml:space="preserve"> OR TO OBJECT TO VENUE TO THE EXTENT ANY PROCEEDING IS BROUGHT IN ACCORDANCE WITH THIS </w:t>
      </w:r>
      <w:r>
        <w:rPr>
          <w:rFonts w:ascii="Arial" w:cs="Arial" w:eastAsia="Arial" w:hAnsi="Arial"/>
          <w:sz w:val="20"/>
          <w:szCs w:val="20"/>
          <w:u w:val="single" w:color="auto"/>
          <w:color w:val="auto"/>
        </w:rPr>
        <w:t>SECTION 12(b)</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jc w:val="both"/>
        <w:ind w:firstLine="1505"/>
        <w:spacing w:after="0" w:line="241" w:lineRule="auto"/>
        <w:tabs>
          <w:tab w:leader="none" w:pos="189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TO THE MAXIMUM EXTENT PERMITTED BY APPLICABLE LAW,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“CLAIM”).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200" w:lineRule="exact"/>
        <w:rPr>
          <w:rFonts w:ascii="Arial" w:cs="Arial" w:eastAsia="Arial" w:hAnsi="Arial"/>
          <w:sz w:val="20"/>
          <w:szCs w:val="20"/>
          <w:color w:val="auto"/>
        </w:rPr>
      </w:pPr>
    </w:p>
    <w:p>
      <w:pPr>
        <w:jc w:val="both"/>
        <w:ind w:firstLine="1505"/>
        <w:spacing w:after="0" w:line="241" w:lineRule="auto"/>
        <w:tabs>
          <w:tab w:leader="none" w:pos="189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EACH BORROWER HEREBY IRREVOCABLY AND UNCONDITIONALLY SUBMITS TO THE EXCLUSIVE JURISDICTION OF THE STATE AND FEDERAL COURTS LOCATED IN THE COUNTY OF NEW YORK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200" w:lineRule="exact"/>
        <w:rPr>
          <w:rFonts w:ascii="Arial" w:cs="Arial" w:eastAsia="Arial" w:hAnsi="Arial"/>
          <w:sz w:val="20"/>
          <w:szCs w:val="20"/>
          <w:color w:val="auto"/>
        </w:rPr>
      </w:pPr>
    </w:p>
    <w:p>
      <w:pPr>
        <w:jc w:val="both"/>
        <w:ind w:firstLine="1505"/>
        <w:spacing w:after="0" w:line="272" w:lineRule="auto"/>
        <w:tabs>
          <w:tab w:leader="none" w:pos="18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NO PARTY HERETO WILL BE LIABLE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CONTAINED IN THIS SENTENCE SHALL LIMIT THE LOAN PARTIES’ INDEMNIFICATION OBLIGATIONS UNDER SECTION 10.3 TO THE EXTENT SUCH SPECIAL, INDIRECT, CONSEQUENTIAL, PUNITIVE OR EXEMPLARY DAMAGES 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1" w:name="page242"/>
    <w:bookmarkEnd w:id="241"/>
    <w:p>
      <w:pPr>
        <w:spacing w:after="0" w:line="260" w:lineRule="auto"/>
        <w:rPr>
          <w:sz w:val="20"/>
          <w:szCs w:val="20"/>
          <w:color w:val="auto"/>
        </w:rPr>
      </w:pPr>
      <w:r>
        <w:rPr>
          <w:rFonts w:ascii="Arial" w:cs="Arial" w:eastAsia="Arial" w:hAnsi="Arial"/>
          <w:sz w:val="20"/>
          <w:szCs w:val="20"/>
          <w:color w:val="auto"/>
        </w:rPr>
        <w:t>INCLUDED IN ANY THIRD-PARTY CLAIM IN CONNECTION WITH WHICH ANY INDEMNIFIED PERSON IS ENTITLED TO INDEMNIFICATION HEREUNDER.</w:t>
      </w:r>
    </w:p>
    <w:p>
      <w:pPr>
        <w:spacing w:after="0" w:line="176" w:lineRule="exact"/>
        <w:rPr>
          <w:sz w:val="20"/>
          <w:szCs w:val="20"/>
          <w:color w:val="auto"/>
        </w:rPr>
      </w:pPr>
    </w:p>
    <w:p>
      <w:pPr>
        <w:jc w:val="both"/>
        <w:ind w:firstLine="1505"/>
        <w:spacing w:after="0" w:line="269" w:lineRule="auto"/>
        <w:tabs>
          <w:tab w:leader="none" w:pos="189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IN THE EVENT ANY LEGAL PROCEEDING IS FILED IN A COURT OF THE STATE OF CALIFORNIA (THE “COURT”) BY OR AGAINST ANY PARTY HERETO IN CONNECTION WITH ANY CLAIM AND THE WAIVER SET FORTH IN CLAUSE (c) ABOVE IS NOT ENFORCEABLE IN SUCH PROCEEDING, THE PARTIES HERETO AGREE AS FOLLOWS:</w:t>
      </w:r>
    </w:p>
    <w:p>
      <w:pPr>
        <w:spacing w:after="0" w:line="168" w:lineRule="exact"/>
        <w:rPr>
          <w:rFonts w:ascii="Arial" w:cs="Arial" w:eastAsia="Arial" w:hAnsi="Arial"/>
          <w:sz w:val="19"/>
          <w:szCs w:val="19"/>
          <w:color w:val="auto"/>
        </w:rPr>
      </w:pPr>
    </w:p>
    <w:p>
      <w:pPr>
        <w:jc w:val="both"/>
        <w:ind w:left="760" w:firstLine="1494"/>
        <w:spacing w:after="0" w:line="244" w:lineRule="auto"/>
        <w:tabs>
          <w:tab w:leader="none" w:pos="2653" w:val="left"/>
        </w:tabs>
        <w:numPr>
          <w:ilvl w:val="1"/>
          <w:numId w:val="246"/>
        </w:numPr>
        <w:rPr>
          <w:rFonts w:ascii="Arial" w:cs="Arial" w:eastAsia="Arial" w:hAnsi="Arial"/>
          <w:sz w:val="20"/>
          <w:szCs w:val="20"/>
          <w:color w:val="auto"/>
        </w:rPr>
      </w:pPr>
      <w:r>
        <w:rPr>
          <w:rFonts w:ascii="Arial" w:cs="Arial" w:eastAsia="Arial" w:hAnsi="Arial"/>
          <w:sz w:val="20"/>
          <w:szCs w:val="20"/>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92" w:lineRule="exact"/>
        <w:rPr>
          <w:rFonts w:ascii="Arial" w:cs="Arial" w:eastAsia="Arial" w:hAnsi="Arial"/>
          <w:sz w:val="20"/>
          <w:szCs w:val="20"/>
          <w:color w:val="auto"/>
        </w:rPr>
      </w:pPr>
    </w:p>
    <w:p>
      <w:pPr>
        <w:ind w:left="760" w:firstLine="1494"/>
        <w:spacing w:after="0" w:line="241" w:lineRule="auto"/>
        <w:tabs>
          <w:tab w:leader="none" w:pos="2653"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200" w:lineRule="exact"/>
        <w:rPr>
          <w:rFonts w:ascii="Arial" w:cs="Arial" w:eastAsia="Arial" w:hAnsi="Arial"/>
          <w:sz w:val="20"/>
          <w:szCs w:val="20"/>
          <w:color w:val="auto"/>
        </w:rPr>
      </w:pPr>
    </w:p>
    <w:p>
      <w:pPr>
        <w:jc w:val="both"/>
        <w:ind w:left="760" w:firstLine="1494"/>
        <w:spacing w:after="0" w:line="242" w:lineRule="auto"/>
        <w:tabs>
          <w:tab w:leader="none" w:pos="2653" w:val="left"/>
        </w:tabs>
        <w:numPr>
          <w:ilvl w:val="1"/>
          <w:numId w:val="246"/>
        </w:numPr>
        <w:rPr>
          <w:rFonts w:ascii="Arial" w:cs="Arial" w:eastAsia="Arial" w:hAnsi="Arial"/>
          <w:sz w:val="20"/>
          <w:szCs w:val="20"/>
          <w:color w:val="auto"/>
        </w:rPr>
      </w:pPr>
      <w:r>
        <w:rPr>
          <w:rFonts w:ascii="Arial" w:cs="Arial" w:eastAsia="Arial" w:hAnsi="Arial"/>
          <w:sz w:val="20"/>
          <w:szCs w:val="20"/>
          <w:color w:val="auto"/>
        </w:rPr>
        <w:t>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97" w:lineRule="exact"/>
        <w:rPr>
          <w:rFonts w:ascii="Arial" w:cs="Arial" w:eastAsia="Arial" w:hAnsi="Arial"/>
          <w:sz w:val="20"/>
          <w:szCs w:val="20"/>
          <w:color w:val="auto"/>
        </w:rPr>
      </w:pPr>
    </w:p>
    <w:p>
      <w:pPr>
        <w:jc w:val="both"/>
        <w:ind w:left="760" w:firstLine="1494"/>
        <w:spacing w:after="0" w:line="256" w:lineRule="auto"/>
        <w:tabs>
          <w:tab w:leader="none" w:pos="2653"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COSTS, ALONG WITH THE REFEREE’S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2" w:name="page243"/>
    <w:bookmarkEnd w:id="242"/>
    <w:p>
      <w:pPr>
        <w:ind w:left="760"/>
        <w:spacing w:after="0" w:line="260" w:lineRule="auto"/>
        <w:rPr>
          <w:sz w:val="20"/>
          <w:szCs w:val="20"/>
          <w:color w:val="auto"/>
        </w:rPr>
      </w:pPr>
      <w:r>
        <w:rPr>
          <w:rFonts w:ascii="Arial" w:cs="Arial" w:eastAsia="Arial" w:hAnsi="Arial"/>
          <w:sz w:val="20"/>
          <w:szCs w:val="20"/>
          <w:color w:val="auto"/>
        </w:rPr>
        <w:t>FEES, SHALL ULTIMATELY BE BORNE BY THE PARTY WHO DOES NOT PREVAIL, AS DETERMINED BY THE REFEREE.</w:t>
      </w:r>
    </w:p>
    <w:p>
      <w:pPr>
        <w:spacing w:after="0" w:line="176" w:lineRule="exact"/>
        <w:rPr>
          <w:sz w:val="20"/>
          <w:szCs w:val="20"/>
          <w:color w:val="auto"/>
        </w:rPr>
      </w:pPr>
    </w:p>
    <w:p>
      <w:pPr>
        <w:jc w:val="both"/>
        <w:ind w:left="760" w:firstLine="1494"/>
        <w:spacing w:after="0" w:line="263" w:lineRule="auto"/>
        <w:tabs>
          <w:tab w:leader="none" w:pos="2653" w:val="left"/>
        </w:tabs>
        <w:numPr>
          <w:ilvl w:val="1"/>
          <w:numId w:val="247"/>
        </w:numPr>
        <w:rPr>
          <w:rFonts w:ascii="Arial" w:cs="Arial" w:eastAsia="Arial" w:hAnsi="Arial"/>
          <w:sz w:val="19"/>
          <w:szCs w:val="19"/>
          <w:color w:val="auto"/>
        </w:rPr>
      </w:pPr>
      <w:r>
        <w:rPr>
          <w:rFonts w:ascii="Arial" w:cs="Arial" w:eastAsia="Arial" w:hAnsi="Arial"/>
          <w:sz w:val="19"/>
          <w:szCs w:val="19"/>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74" w:lineRule="exact"/>
        <w:rPr>
          <w:rFonts w:ascii="Arial" w:cs="Arial" w:eastAsia="Arial" w:hAnsi="Arial"/>
          <w:sz w:val="19"/>
          <w:szCs w:val="19"/>
          <w:color w:val="auto"/>
        </w:rPr>
      </w:pPr>
    </w:p>
    <w:p>
      <w:pPr>
        <w:jc w:val="both"/>
        <w:ind w:left="760" w:firstLine="1494"/>
        <w:spacing w:after="0" w:line="241" w:lineRule="auto"/>
        <w:tabs>
          <w:tab w:leader="none" w:pos="2653" w:val="left"/>
        </w:tabs>
        <w:numPr>
          <w:ilvl w:val="1"/>
          <w:numId w:val="247"/>
        </w:numPr>
        <w:rPr>
          <w:rFonts w:ascii="Arial" w:cs="Arial" w:eastAsia="Arial" w:hAnsi="Arial"/>
          <w:sz w:val="20"/>
          <w:szCs w:val="20"/>
          <w:color w:val="auto"/>
        </w:rPr>
      </w:pPr>
      <w:r>
        <w:rPr>
          <w:rFonts w:ascii="Arial" w:cs="Arial" w:eastAsia="Arial" w:hAnsi="Arial"/>
          <w:sz w:val="20"/>
          <w:szCs w:val="20"/>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96" w:lineRule="exact"/>
        <w:rPr>
          <w:rFonts w:ascii="Arial" w:cs="Arial" w:eastAsia="Arial" w:hAnsi="Arial"/>
          <w:sz w:val="20"/>
          <w:szCs w:val="20"/>
          <w:color w:val="auto"/>
        </w:rPr>
      </w:pPr>
    </w:p>
    <w:p>
      <w:pPr>
        <w:jc w:val="both"/>
        <w:ind w:left="760" w:firstLine="1494"/>
        <w:spacing w:after="0" w:line="243" w:lineRule="auto"/>
        <w:tabs>
          <w:tab w:leader="none" w:pos="2653" w:val="left"/>
        </w:tabs>
        <w:numPr>
          <w:ilvl w:val="1"/>
          <w:numId w:val="247"/>
        </w:numPr>
        <w:rPr>
          <w:rFonts w:ascii="Arial" w:cs="Arial" w:eastAsia="Arial" w:hAnsi="Arial"/>
          <w:sz w:val="20"/>
          <w:szCs w:val="20"/>
          <w:color w:val="auto"/>
        </w:rPr>
      </w:pPr>
      <w:r>
        <w:rPr>
          <w:rFonts w:ascii="Arial" w:cs="Arial" w:eastAsia="Arial" w:hAnsi="Arial"/>
          <w:sz w:val="20"/>
          <w:szCs w:val="20"/>
          <w:color w:val="auto"/>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188" w:lineRule="exact"/>
        <w:rPr>
          <w:rFonts w:ascii="Arial" w:cs="Arial" w:eastAsia="Arial" w:hAnsi="Arial"/>
          <w:sz w:val="20"/>
          <w:szCs w:val="20"/>
          <w:color w:val="auto"/>
        </w:rPr>
      </w:pPr>
    </w:p>
    <w:p>
      <w:pPr>
        <w:ind w:left="400" w:hanging="392"/>
        <w:spacing w:after="0"/>
        <w:tabs>
          <w:tab w:leader="none" w:pos="400" w:val="left"/>
        </w:tabs>
        <w:numPr>
          <w:ilvl w:val="0"/>
          <w:numId w:val="248"/>
        </w:numPr>
        <w:rPr>
          <w:rFonts w:ascii="Arial" w:cs="Arial" w:eastAsia="Arial" w:hAnsi="Arial"/>
          <w:sz w:val="20"/>
          <w:szCs w:val="20"/>
          <w:color w:val="auto"/>
        </w:rPr>
      </w:pPr>
      <w:r>
        <w:rPr>
          <w:rFonts w:ascii="Arial" w:cs="Arial" w:eastAsia="Arial" w:hAnsi="Arial"/>
          <w:sz w:val="20"/>
          <w:szCs w:val="20"/>
          <w:b w:val="1"/>
          <w:bCs w:val="1"/>
          <w:color w:val="auto"/>
        </w:rPr>
        <w:t>ASSIGNMENTS AND PARTICIPATIONS; SUCCESSORS.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13.1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Assignments and Participations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6" w:lineRule="auto"/>
        <w:tabs>
          <w:tab w:leader="none" w:pos="2093" w:val="left"/>
        </w:tabs>
        <w:numPr>
          <w:ilvl w:val="1"/>
          <w:numId w:val="249"/>
        </w:numPr>
        <w:rPr>
          <w:rFonts w:ascii="Arial" w:cs="Arial" w:eastAsia="Arial" w:hAnsi="Arial"/>
          <w:sz w:val="20"/>
          <w:szCs w:val="20"/>
          <w:color w:val="auto"/>
        </w:rPr>
      </w:pPr>
      <w:r>
        <w:rPr>
          <w:rFonts w:ascii="Arial" w:cs="Arial" w:eastAsia="Arial" w:hAnsi="Arial"/>
          <w:sz w:val="20"/>
          <w:szCs w:val="20"/>
          <w:color w:val="auto"/>
        </w:rPr>
        <w:t>(i) Subject to the conditions set forth in clause (a)(ii)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20"/>
          <w:szCs w:val="20"/>
          <w:u w:val="single" w:color="auto"/>
          <w:color w:val="auto"/>
        </w:rPr>
        <w:t>Assignee</w:t>
      </w:r>
      <w:r>
        <w:rPr>
          <w:rFonts w:ascii="Arial" w:cs="Arial" w:eastAsia="Arial" w:hAnsi="Arial"/>
          <w:sz w:val="20"/>
          <w:szCs w:val="20"/>
          <w:color w:val="auto"/>
        </w:rPr>
        <w:t>”), with the prior written consent (such consent not be unreasonably withheld or delayed) of:</w:t>
      </w:r>
    </w:p>
    <w:p>
      <w:pPr>
        <w:spacing w:after="0" w:line="189" w:lineRule="exact"/>
        <w:rPr>
          <w:rFonts w:ascii="Arial" w:cs="Arial" w:eastAsia="Arial" w:hAnsi="Arial"/>
          <w:sz w:val="20"/>
          <w:szCs w:val="20"/>
          <w:color w:val="auto"/>
        </w:rPr>
      </w:pPr>
    </w:p>
    <w:p>
      <w:pPr>
        <w:ind w:left="3400" w:hanging="397"/>
        <w:spacing w:after="0"/>
        <w:tabs>
          <w:tab w:leader="none" w:pos="340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 xml:space="preserve">Administrative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Administrative Borrower shall be required</w:t>
      </w:r>
    </w:p>
    <w:p>
      <w:pPr>
        <w:spacing w:after="0" w:line="38" w:lineRule="exact"/>
        <w:rPr>
          <w:rFonts w:ascii="Arial" w:cs="Arial" w:eastAsia="Arial" w:hAnsi="Arial"/>
          <w:sz w:val="18"/>
          <w:szCs w:val="18"/>
          <w:color w:val="auto"/>
        </w:rPr>
      </w:pPr>
    </w:p>
    <w:p>
      <w:pPr>
        <w:jc w:val="both"/>
        <w:ind w:firstLine="8"/>
        <w:spacing w:after="0" w:line="281" w:lineRule="auto"/>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if an Event of Default has occurred and is continuing or (2) in connection with an assignment to a Person that is a Lender or an Affiliate (other than natural persons) of a Lender or a Related Fund;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Borrowers shall be deemed to have consented to a proposed assignment unless they object thereto by written notice to Agent within five Business Days after having received notice thereof;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3" w:name="page244"/>
    <w:bookmarkEnd w:id="243"/>
    <w:p>
      <w:pPr>
        <w:ind w:firstLine="3003"/>
        <w:spacing w:after="0" w:line="260" w:lineRule="auto"/>
        <w:tabs>
          <w:tab w:leader="none" w:pos="3390" w:val="left"/>
        </w:tabs>
        <w:numPr>
          <w:ilvl w:val="2"/>
          <w:numId w:val="251"/>
        </w:numPr>
        <w:rPr>
          <w:rFonts w:ascii="Arial" w:cs="Arial" w:eastAsia="Arial" w:hAnsi="Arial"/>
          <w:sz w:val="20"/>
          <w:szCs w:val="20"/>
          <w:color w:val="auto"/>
        </w:rPr>
      </w:pPr>
      <w:r>
        <w:rPr>
          <w:rFonts w:ascii="Arial" w:cs="Arial" w:eastAsia="Arial" w:hAnsi="Arial"/>
          <w:sz w:val="20"/>
          <w:szCs w:val="20"/>
          <w:color w:val="auto"/>
        </w:rPr>
        <w:t>Agent, Swing Lender, and each Issuing Bank; provided that no consent shall be required under this clause (B) for any assignment to a Lender, an Affiliate of a Lender, or a Related Fund.</w:t>
      </w:r>
    </w:p>
    <w:p>
      <w:pPr>
        <w:spacing w:after="0" w:line="175" w:lineRule="exact"/>
        <w:rPr>
          <w:rFonts w:ascii="Arial" w:cs="Arial" w:eastAsia="Arial" w:hAnsi="Arial"/>
          <w:sz w:val="20"/>
          <w:szCs w:val="20"/>
          <w:color w:val="auto"/>
        </w:rPr>
      </w:pPr>
    </w:p>
    <w:p>
      <w:pPr>
        <w:ind w:left="2140" w:hanging="395"/>
        <w:spacing w:after="0"/>
        <w:tabs>
          <w:tab w:leader="none" w:pos="214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4" w:lineRule="exact"/>
        <w:rPr>
          <w:rFonts w:ascii="Arial" w:cs="Arial" w:eastAsia="Arial" w:hAnsi="Arial"/>
          <w:sz w:val="20"/>
          <w:szCs w:val="20"/>
          <w:color w:val="auto"/>
        </w:rPr>
      </w:pPr>
    </w:p>
    <w:p>
      <w:pPr>
        <w:ind w:left="3400" w:hanging="397"/>
        <w:spacing w:after="0"/>
        <w:tabs>
          <w:tab w:leader="none" w:pos="3400" w:val="left"/>
        </w:tabs>
        <w:numPr>
          <w:ilvl w:val="2"/>
          <w:numId w:val="252"/>
        </w:numPr>
        <w:rPr>
          <w:rFonts w:ascii="Arial" w:cs="Arial" w:eastAsia="Arial" w:hAnsi="Arial"/>
          <w:sz w:val="20"/>
          <w:szCs w:val="20"/>
          <w:color w:val="auto"/>
        </w:rPr>
      </w:pPr>
      <w:r>
        <w:rPr>
          <w:rFonts w:ascii="Arial" w:cs="Arial" w:eastAsia="Arial" w:hAnsi="Arial"/>
          <w:sz w:val="20"/>
          <w:szCs w:val="20"/>
          <w:color w:val="auto"/>
        </w:rPr>
        <w:t>no assignment may be made (i) to a Disqualified Institution or (ii) to a natural person,</w:t>
      </w:r>
    </w:p>
    <w:p>
      <w:pPr>
        <w:spacing w:after="0" w:line="214" w:lineRule="exact"/>
        <w:rPr>
          <w:rFonts w:ascii="Arial" w:cs="Arial" w:eastAsia="Arial" w:hAnsi="Arial"/>
          <w:sz w:val="20"/>
          <w:szCs w:val="20"/>
          <w:color w:val="auto"/>
        </w:rPr>
      </w:pPr>
    </w:p>
    <w:p>
      <w:pPr>
        <w:ind w:left="3400" w:hanging="397"/>
        <w:spacing w:after="0"/>
        <w:tabs>
          <w:tab w:leader="none" w:pos="3400" w:val="left"/>
        </w:tabs>
        <w:numPr>
          <w:ilvl w:val="2"/>
          <w:numId w:val="252"/>
        </w:numPr>
        <w:rPr>
          <w:rFonts w:ascii="Arial" w:cs="Arial" w:eastAsia="Arial" w:hAnsi="Arial"/>
          <w:sz w:val="20"/>
          <w:szCs w:val="20"/>
          <w:color w:val="auto"/>
        </w:rPr>
      </w:pPr>
      <w:r>
        <w:rPr>
          <w:rFonts w:ascii="Arial" w:cs="Arial" w:eastAsia="Arial" w:hAnsi="Arial"/>
          <w:sz w:val="20"/>
          <w:szCs w:val="20"/>
          <w:color w:val="auto"/>
        </w:rPr>
        <w:t>no assignment may be made to a Loan Party or an Affiliate of a Loan Party,</w:t>
      </w:r>
    </w:p>
    <w:p>
      <w:pPr>
        <w:spacing w:after="0" w:line="214" w:lineRule="exact"/>
        <w:rPr>
          <w:rFonts w:ascii="Arial" w:cs="Arial" w:eastAsia="Arial" w:hAnsi="Arial"/>
          <w:sz w:val="20"/>
          <w:szCs w:val="20"/>
          <w:color w:val="auto"/>
        </w:rPr>
      </w:pPr>
    </w:p>
    <w:p>
      <w:pPr>
        <w:jc w:val="both"/>
        <w:ind w:firstLine="3003"/>
        <w:spacing w:after="0" w:line="275" w:lineRule="auto"/>
        <w:tabs>
          <w:tab w:leader="none" w:pos="339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68" w:lineRule="exact"/>
        <w:rPr>
          <w:rFonts w:ascii="Arial" w:cs="Arial" w:eastAsia="Arial" w:hAnsi="Arial"/>
          <w:sz w:val="18"/>
          <w:szCs w:val="18"/>
          <w:color w:val="auto"/>
        </w:rPr>
      </w:pPr>
    </w:p>
    <w:p>
      <w:pPr>
        <w:ind w:right="20" w:firstLine="3003"/>
        <w:spacing w:after="0" w:line="260" w:lineRule="auto"/>
        <w:tabs>
          <w:tab w:leader="none" w:pos="3390" w:val="left"/>
        </w:tabs>
        <w:numPr>
          <w:ilvl w:val="2"/>
          <w:numId w:val="252"/>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5" w:lineRule="exact"/>
        <w:rPr>
          <w:rFonts w:ascii="Arial" w:cs="Arial" w:eastAsia="Arial" w:hAnsi="Arial"/>
          <w:sz w:val="20"/>
          <w:szCs w:val="20"/>
          <w:color w:val="auto"/>
        </w:rPr>
      </w:pPr>
    </w:p>
    <w:p>
      <w:pPr>
        <w:jc w:val="both"/>
        <w:ind w:firstLine="3003"/>
        <w:spacing w:after="0" w:line="263" w:lineRule="auto"/>
        <w:tabs>
          <w:tab w:leader="none" w:pos="3390" w:val="left"/>
        </w:tabs>
        <w:numPr>
          <w:ilvl w:val="2"/>
          <w:numId w:val="252"/>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Agent an Assignment and Acceptance; </w:t>
      </w:r>
      <w:r>
        <w:rPr>
          <w:rFonts w:ascii="Arial" w:cs="Arial" w:eastAsia="Arial" w:hAnsi="Arial"/>
          <w:sz w:val="19"/>
          <w:szCs w:val="19"/>
          <w:u w:val="single" w:color="auto"/>
          <w:color w:val="auto"/>
        </w:rPr>
        <w:t>provided</w:t>
      </w:r>
      <w:r>
        <w:rPr>
          <w:rFonts w:ascii="Arial" w:cs="Arial" w:eastAsia="Arial" w:hAnsi="Arial"/>
          <w:sz w:val="19"/>
          <w:szCs w:val="19"/>
          <w:color w:val="auto"/>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74" w:lineRule="exact"/>
        <w:rPr>
          <w:rFonts w:ascii="Arial" w:cs="Arial" w:eastAsia="Arial" w:hAnsi="Arial"/>
          <w:sz w:val="19"/>
          <w:szCs w:val="19"/>
          <w:color w:val="auto"/>
        </w:rPr>
      </w:pPr>
    </w:p>
    <w:p>
      <w:pPr>
        <w:ind w:right="20" w:firstLine="3003"/>
        <w:spacing w:after="0" w:line="260" w:lineRule="auto"/>
        <w:tabs>
          <w:tab w:leader="none" w:pos="3390" w:val="left"/>
        </w:tabs>
        <w:numPr>
          <w:ilvl w:val="2"/>
          <w:numId w:val="252"/>
        </w:numPr>
        <w:rPr>
          <w:rFonts w:ascii="Arial" w:cs="Arial" w:eastAsia="Arial" w:hAnsi="Arial"/>
          <w:sz w:val="20"/>
          <w:szCs w:val="20"/>
          <w:color w:val="auto"/>
        </w:rPr>
      </w:pPr>
      <w:r>
        <w:rPr>
          <w:rFonts w:ascii="Arial" w:cs="Arial" w:eastAsia="Arial" w:hAnsi="Arial"/>
          <w:sz w:val="20"/>
          <w:szCs w:val="20"/>
          <w:color w:val="auto"/>
        </w:rPr>
        <w:t>unless waived by Agent, the assigning Lender or Assignee has paid to Agent, for Agent’s separate account, a processing fee in the amount of $3,500, and</w:t>
      </w:r>
    </w:p>
    <w:p>
      <w:pPr>
        <w:spacing w:after="0" w:line="175" w:lineRule="exact"/>
        <w:rPr>
          <w:rFonts w:ascii="Arial" w:cs="Arial" w:eastAsia="Arial" w:hAnsi="Arial"/>
          <w:sz w:val="20"/>
          <w:szCs w:val="20"/>
          <w:color w:val="auto"/>
        </w:rPr>
      </w:pPr>
    </w:p>
    <w:p>
      <w:pPr>
        <w:ind w:firstLine="3003"/>
        <w:spacing w:after="0" w:line="260" w:lineRule="auto"/>
        <w:tabs>
          <w:tab w:leader="none" w:pos="3390" w:val="left"/>
        </w:tabs>
        <w:numPr>
          <w:ilvl w:val="2"/>
          <w:numId w:val="252"/>
        </w:numPr>
        <w:rPr>
          <w:rFonts w:ascii="Arial" w:cs="Arial" w:eastAsia="Arial" w:hAnsi="Arial"/>
          <w:sz w:val="20"/>
          <w:szCs w:val="20"/>
          <w:color w:val="auto"/>
        </w:rPr>
      </w:pPr>
      <w:r>
        <w:rPr>
          <w:rFonts w:ascii="Arial" w:cs="Arial" w:eastAsia="Arial" w:hAnsi="Arial"/>
          <w:sz w:val="20"/>
          <w:szCs w:val="20"/>
          <w:color w:val="auto"/>
        </w:rPr>
        <w:t>the assignee, if it is not a Lender, shall deliver to Agent an Administrative Questionnaire in a form approved by Agent (the “</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200" w:firstLine="1493"/>
        <w:spacing w:after="0" w:line="255" w:lineRule="auto"/>
        <w:tabs>
          <w:tab w:leader="none" w:pos="209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17.9(a)</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200" w:right="20" w:firstLine="1493"/>
        <w:spacing w:after="0" w:line="260" w:lineRule="auto"/>
        <w:tabs>
          <w:tab w:leader="none" w:pos="2093" w:val="left"/>
        </w:tabs>
        <w:numPr>
          <w:ilvl w:val="0"/>
          <w:numId w:val="253"/>
        </w:numPr>
        <w:rPr>
          <w:rFonts w:ascii="Arial" w:cs="Arial" w:eastAsia="Arial" w:hAnsi="Arial"/>
          <w:sz w:val="20"/>
          <w:szCs w:val="20"/>
          <w:color w:val="auto"/>
        </w:rPr>
      </w:pPr>
      <w:r>
        <w:rPr>
          <w:rFonts w:ascii="Arial" w:cs="Arial" w:eastAsia="Arial" w:hAnsi="Arial"/>
          <w:sz w:val="20"/>
          <w:szCs w:val="20"/>
          <w:color w:val="auto"/>
        </w:rPr>
        <w:t>By executing and delivering an Assignment and Acceptance, the assigning Lender thereunder and the Assignee thereunder confirm to and agree with each other and the other parties 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4" w:name="page245"/>
    <w:bookmarkEnd w:id="244"/>
    <w:p>
      <w:pPr>
        <w:jc w:val="both"/>
        <w:spacing w:after="0" w:line="269" w:lineRule="auto"/>
        <w:rPr>
          <w:sz w:val="20"/>
          <w:szCs w:val="20"/>
          <w:color w:val="auto"/>
        </w:rPr>
      </w:pPr>
      <w:r>
        <w:rPr>
          <w:rFonts w:ascii="Arial" w:cs="Arial" w:eastAsia="Arial" w:hAnsi="Arial"/>
          <w:sz w:val="18"/>
          <w:szCs w:val="18"/>
          <w:color w:val="auto"/>
        </w:rPr>
        <w:t>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80" w:lineRule="exact"/>
        <w:rPr>
          <w:sz w:val="20"/>
          <w:szCs w:val="20"/>
          <w:color w:val="auto"/>
        </w:rPr>
      </w:pPr>
    </w:p>
    <w:p>
      <w:pPr>
        <w:jc w:val="both"/>
        <w:ind w:firstLine="1493"/>
        <w:spacing w:after="0" w:line="246" w:lineRule="auto"/>
        <w:tabs>
          <w:tab w:leader="none" w:pos="1893"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Immediately upon Agent’s receipt of the required processing fee, if applicable, and delivery of notice to the assigning Lender pursuant to </w:t>
      </w:r>
      <w:r>
        <w:rPr>
          <w:rFonts w:ascii="Arial" w:cs="Arial" w:eastAsia="Arial" w:hAnsi="Arial"/>
          <w:sz w:val="20"/>
          <w:szCs w:val="20"/>
          <w:u w:val="single" w:color="auto"/>
          <w:color w:val="auto"/>
        </w:rPr>
        <w:t>Section 13.1(b)</w:t>
      </w:r>
      <w:r>
        <w:rPr>
          <w:rFonts w:ascii="Arial" w:cs="Arial" w:eastAsia="Arial" w:hAnsi="Arial"/>
          <w:sz w:val="20"/>
          <w:szCs w:val="20"/>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20"/>
          <w:szCs w:val="20"/>
          <w:i w:val="1"/>
          <w:iCs w:val="1"/>
          <w:color w:val="auto"/>
        </w:rPr>
        <w:t>pro tanto</w:t>
      </w:r>
      <w:r>
        <w:rPr>
          <w:rFonts w:ascii="Arial" w:cs="Arial" w:eastAsia="Arial" w:hAnsi="Arial"/>
          <w:sz w:val="20"/>
          <w:szCs w:val="20"/>
          <w:color w:val="auto"/>
        </w:rPr>
        <w:t>.</w:t>
      </w:r>
    </w:p>
    <w:p>
      <w:pPr>
        <w:spacing w:after="0" w:line="189" w:lineRule="exact"/>
        <w:rPr>
          <w:rFonts w:ascii="Arial" w:cs="Arial" w:eastAsia="Arial" w:hAnsi="Arial"/>
          <w:sz w:val="20"/>
          <w:szCs w:val="20"/>
          <w:color w:val="auto"/>
        </w:rPr>
      </w:pPr>
    </w:p>
    <w:p>
      <w:pPr>
        <w:jc w:val="both"/>
        <w:ind w:firstLine="1493"/>
        <w:spacing w:after="0" w:line="268" w:lineRule="auto"/>
        <w:tabs>
          <w:tab w:leader="none" w:pos="189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Lender may at any time sell to one or more commercial banks, financial institutions, or other Persons (a “</w:t>
      </w:r>
      <w:r>
        <w:rPr>
          <w:rFonts w:ascii="Arial" w:cs="Arial" w:eastAsia="Arial" w:hAnsi="Arial"/>
          <w:sz w:val="18"/>
          <w:szCs w:val="18"/>
          <w:u w:val="single" w:color="auto"/>
          <w:color w:val="auto"/>
        </w:rPr>
        <w:t>Participant</w:t>
      </w:r>
      <w:r>
        <w:rPr>
          <w:rFonts w:ascii="Arial" w:cs="Arial" w:eastAsia="Arial" w:hAnsi="Arial"/>
          <w:sz w:val="18"/>
          <w:szCs w:val="18"/>
          <w:color w:val="auto"/>
        </w:rPr>
        <w:t>”) participating interests in all or any portion of its Obligations, its Commitment, and the other rights and interests of that Lender (the “</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hereunder and under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or a Disqualified Institution,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w:t>
      </w: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45" w:name="page246"/>
    <w:bookmarkEnd w:id="245"/>
    <w:p>
      <w:pPr>
        <w:jc w:val="both"/>
        <w:ind w:left="200"/>
        <w:spacing w:after="0" w:line="269" w:lineRule="auto"/>
        <w:rPr>
          <w:sz w:val="20"/>
          <w:szCs w:val="20"/>
          <w:color w:val="auto"/>
        </w:rPr>
      </w:pPr>
      <w:r>
        <w:rPr>
          <w:rFonts w:ascii="Arial" w:cs="Arial" w:eastAsia="Arial" w:hAnsi="Arial"/>
          <w:sz w:val="18"/>
          <w:szCs w:val="18"/>
          <w:color w:val="auto"/>
        </w:rPr>
        <w:t>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74" w:lineRule="exact"/>
        <w:rPr>
          <w:sz w:val="20"/>
          <w:szCs w:val="20"/>
          <w:color w:val="auto"/>
        </w:rPr>
      </w:pPr>
    </w:p>
    <w:p>
      <w:pPr>
        <w:jc w:val="both"/>
        <w:ind w:left="200" w:firstLine="1493"/>
        <w:spacing w:after="0" w:line="246" w:lineRule="auto"/>
        <w:tabs>
          <w:tab w:leader="none" w:pos="209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Arial" w:cs="Arial" w:eastAsia="Arial" w:hAnsi="Arial"/>
          <w:sz w:val="20"/>
          <w:szCs w:val="20"/>
          <w:u w:val="single" w:color="auto"/>
          <w:color w:val="auto"/>
        </w:rPr>
        <w:t>Section 17.9</w:t>
      </w:r>
      <w:r>
        <w:rPr>
          <w:rFonts w:ascii="Arial" w:cs="Arial" w:eastAsia="Arial" w:hAnsi="Arial"/>
          <w:sz w:val="20"/>
          <w:szCs w:val="20"/>
          <w:color w:val="auto"/>
        </w:rPr>
        <w:t>, disclose all documents and information which it now or hereafter may have relating to any Loan Party and its Restricted Subsidiaries and their respective businesses.</w:t>
      </w:r>
    </w:p>
    <w:p>
      <w:pPr>
        <w:spacing w:after="0" w:line="189" w:lineRule="exact"/>
        <w:rPr>
          <w:rFonts w:ascii="Arial" w:cs="Arial" w:eastAsia="Arial" w:hAnsi="Arial"/>
          <w:sz w:val="20"/>
          <w:szCs w:val="20"/>
          <w:color w:val="auto"/>
        </w:rPr>
      </w:pPr>
    </w:p>
    <w:p>
      <w:pPr>
        <w:jc w:val="both"/>
        <w:ind w:left="200" w:firstLine="1493"/>
        <w:spacing w:after="0" w:line="243" w:lineRule="auto"/>
        <w:tabs>
          <w:tab w:leader="none" w:pos="2093" w:val="left"/>
        </w:tabs>
        <w:numPr>
          <w:ilvl w:val="0"/>
          <w:numId w:val="255"/>
        </w:numPr>
        <w:rPr>
          <w:rFonts w:ascii="Arial" w:cs="Arial" w:eastAsia="Arial" w:hAnsi="Arial"/>
          <w:sz w:val="20"/>
          <w:szCs w:val="20"/>
          <w:color w:val="auto"/>
        </w:rPr>
      </w:pPr>
      <w:r>
        <w:rPr>
          <w:rFonts w:ascii="Arial" w:cs="Arial" w:eastAsia="Arial" w:hAnsi="Arial"/>
          <w:sz w:val="20"/>
          <w:szCs w:val="20"/>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pledge shall release such Lender from any of its obligations hereunder or substitute any such pledgee or assignee for such Lender as a party hereto.</w:t>
      </w:r>
    </w:p>
    <w:p>
      <w:pPr>
        <w:spacing w:after="0" w:line="18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13.2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Successors</w:t>
      </w:r>
      <w:r>
        <w:rPr>
          <w:rFonts w:ascii="Arial" w:cs="Arial" w:eastAsia="Arial" w:hAnsi="Arial"/>
          <w:sz w:val="20"/>
          <w:szCs w:val="20"/>
          <w:color w:val="auto"/>
        </w:rPr>
        <w:t xml:space="preserve">. This Agreement shall bind and inure to the benefit of the respective successors and assigns of each of the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Borrower may assign this Agreement or any rights or duties hereunder without the Lenders’ prior written consent and any prohibited assignment shall be absolutely void </w:t>
      </w:r>
      <w:r>
        <w:rPr>
          <w:rFonts w:ascii="Arial" w:cs="Arial" w:eastAsia="Arial" w:hAnsi="Arial"/>
          <w:sz w:val="20"/>
          <w:szCs w:val="20"/>
          <w:i w:val="1"/>
          <w:iCs w:val="1"/>
          <w:color w:val="auto"/>
        </w:rPr>
        <w:t>ab initio</w:t>
      </w:r>
      <w:r>
        <w:rPr>
          <w:rFonts w:ascii="Arial" w:cs="Arial" w:eastAsia="Arial" w:hAnsi="Arial"/>
          <w:sz w:val="20"/>
          <w:szCs w:val="20"/>
          <w:color w:val="auto"/>
        </w:rPr>
        <w:t xml:space="preserve">. No consent to assignment by the Lenders shall release any Borrower from its Obligations. A Lender may assign this Agreement and the other Loan Documents and its rights and duties hereunder and thereunder pursuant to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and, except as expressly required pursuant to </w:t>
      </w:r>
      <w:r>
        <w:rPr>
          <w:rFonts w:ascii="Arial" w:cs="Arial" w:eastAsia="Arial" w:hAnsi="Arial"/>
          <w:sz w:val="20"/>
          <w:szCs w:val="20"/>
          <w:u w:val="single" w:color="auto"/>
          <w:color w:val="auto"/>
        </w:rPr>
        <w:t>Section 13.1</w:t>
      </w:r>
      <w:r>
        <w:rPr>
          <w:rFonts w:ascii="Arial" w:cs="Arial" w:eastAsia="Arial" w:hAnsi="Arial"/>
          <w:sz w:val="20"/>
          <w:szCs w:val="20"/>
          <w:color w:val="auto"/>
        </w:rPr>
        <w:t>, no consent or approval by any Borrower is required in connection with any such assignment.</w:t>
      </w:r>
    </w:p>
    <w:p>
      <w:pPr>
        <w:spacing w:after="0" w:line="188" w:lineRule="exact"/>
        <w:rPr>
          <w:sz w:val="20"/>
          <w:szCs w:val="20"/>
          <w:color w:val="auto"/>
        </w:rPr>
      </w:pPr>
    </w:p>
    <w:p>
      <w:pPr>
        <w:ind w:left="400" w:hanging="392"/>
        <w:spacing w:after="0"/>
        <w:tabs>
          <w:tab w:leader="none" w:pos="400" w:val="left"/>
        </w:tabs>
        <w:numPr>
          <w:ilvl w:val="0"/>
          <w:numId w:val="256"/>
        </w:numPr>
        <w:rPr>
          <w:rFonts w:ascii="Arial" w:cs="Arial" w:eastAsia="Arial" w:hAnsi="Arial"/>
          <w:sz w:val="20"/>
          <w:szCs w:val="20"/>
          <w:color w:val="auto"/>
        </w:rPr>
      </w:pPr>
      <w:r>
        <w:rPr>
          <w:rFonts w:ascii="Arial" w:cs="Arial" w:eastAsia="Arial" w:hAnsi="Arial"/>
          <w:sz w:val="20"/>
          <w:szCs w:val="20"/>
          <w:b w:val="1"/>
          <w:bCs w:val="1"/>
          <w:color w:val="auto"/>
        </w:rPr>
        <w:t>AMENDMENTS; WAIVERS.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14.1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Amendments and Waivers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6" w:lineRule="auto"/>
        <w:tabs>
          <w:tab w:leader="none" w:pos="2093" w:val="left"/>
        </w:tabs>
        <w:numPr>
          <w:ilvl w:val="0"/>
          <w:numId w:val="257"/>
        </w:numPr>
        <w:rPr>
          <w:rFonts w:ascii="Arial" w:cs="Arial" w:eastAsia="Arial" w:hAnsi="Arial"/>
          <w:sz w:val="20"/>
          <w:szCs w:val="20"/>
          <w:color w:val="auto"/>
        </w:rPr>
      </w:pPr>
      <w:r>
        <w:rPr>
          <w:rFonts w:ascii="Arial" w:cs="Arial" w:eastAsia="Arial" w:hAnsi="Arial"/>
          <w:sz w:val="20"/>
          <w:szCs w:val="20"/>
          <w:color w:val="auto"/>
        </w:rPr>
        <w:t>No amendment, waiver or other modification of any provision of this Agreement or any other Loan Document (other than the Fee Letter), and no consent with respect to any departure by any Loan Party therefrom, shall be effective unless the same shall be in writing and signed by the Required Lenders (or by Agent at the written request of the Required Lenders) and the Loan Parties that are party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6" w:name="page247"/>
    <w:bookmarkEnd w:id="246"/>
    <w:p>
      <w:pPr>
        <w:jc w:val="both"/>
        <w:spacing w:after="0" w:line="249" w:lineRule="auto"/>
        <w:rPr>
          <w:sz w:val="20"/>
          <w:szCs w:val="20"/>
          <w:color w:val="auto"/>
        </w:rPr>
      </w:pPr>
      <w:r>
        <w:rPr>
          <w:rFonts w:ascii="Arial" w:cs="Arial" w:eastAsia="Arial" w:hAnsi="Arial"/>
          <w:sz w:val="20"/>
          <w:szCs w:val="20"/>
          <w:color w:val="auto"/>
        </w:rPr>
        <w:t xml:space="preserve">thereto and then any such waiver or consent shall be effective, but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waiver, amendment, or consent shall, unless in writing and signed by all of the Lenders directly affected thereby and all of the Loan Parties that are party thereto, do any of the following:</w:t>
      </w:r>
    </w:p>
    <w:p>
      <w:pPr>
        <w:spacing w:after="0" w:line="188" w:lineRule="exact"/>
        <w:rPr>
          <w:sz w:val="20"/>
          <w:szCs w:val="20"/>
          <w:color w:val="auto"/>
        </w:rPr>
      </w:pPr>
    </w:p>
    <w:p>
      <w:pPr>
        <w:ind w:left="560" w:right="20" w:firstLine="1494"/>
        <w:spacing w:after="0" w:line="260"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 xml:space="preserve">increase the amount of or extend the expiration date of any Commitment of any Lender or amend, modify, or eliminate the penultimate sentence of </w:t>
      </w:r>
      <w:r>
        <w:rPr>
          <w:rFonts w:ascii="Arial" w:cs="Arial" w:eastAsia="Arial" w:hAnsi="Arial"/>
          <w:sz w:val="20"/>
          <w:szCs w:val="20"/>
          <w:u w:val="single" w:color="auto"/>
          <w:color w:val="auto"/>
        </w:rPr>
        <w:t>Section 2.4(c)(i)</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560" w:right="40" w:firstLine="1494"/>
        <w:spacing w:after="0" w:line="260"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postpone or delay any date fixed by this Agreement or any other Loan Document for any payment of principal, interest, fees, or other amounts due hereunder or under any other Loan Document,</w:t>
      </w:r>
    </w:p>
    <w:p>
      <w:pPr>
        <w:spacing w:after="0" w:line="175" w:lineRule="exact"/>
        <w:rPr>
          <w:rFonts w:ascii="Arial" w:cs="Arial" w:eastAsia="Arial" w:hAnsi="Arial"/>
          <w:sz w:val="20"/>
          <w:szCs w:val="20"/>
          <w:color w:val="auto"/>
        </w:rPr>
      </w:pPr>
    </w:p>
    <w:p>
      <w:pPr>
        <w:jc w:val="both"/>
        <w:ind w:left="560" w:firstLine="1494"/>
        <w:spacing w:after="0" w:line="243"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on, any loan or other extension of credit hereunder, or reduce any regularly scheduled or periodic fees or other amounts payable hereunder or under any other Loan Document (except (A) in connection with the waiver of applicability of </w:t>
      </w:r>
      <w:r>
        <w:rPr>
          <w:rFonts w:ascii="Arial" w:cs="Arial" w:eastAsia="Arial" w:hAnsi="Arial"/>
          <w:sz w:val="20"/>
          <w:szCs w:val="20"/>
          <w:u w:val="single" w:color="auto"/>
          <w:color w:val="auto"/>
        </w:rPr>
        <w:t>Section 2.6(c)</w:t>
      </w:r>
      <w:r>
        <w:rPr>
          <w:rFonts w:ascii="Arial" w:cs="Arial" w:eastAsia="Arial" w:hAnsi="Arial"/>
          <w:sz w:val="20"/>
          <w:szCs w:val="20"/>
          <w:color w:val="auto"/>
        </w:rPr>
        <w:t xml:space="preserve"> (which waiver shall be effective with the written consent of the Required Lenders), (B) as expressly set forth in </w:t>
      </w:r>
      <w:r>
        <w:rPr>
          <w:rFonts w:ascii="Arial" w:cs="Arial" w:eastAsia="Arial" w:hAnsi="Arial"/>
          <w:sz w:val="20"/>
          <w:szCs w:val="20"/>
          <w:u w:val="single" w:color="auto"/>
          <w:color w:val="auto"/>
        </w:rPr>
        <w:t>Section 14.1(g)</w:t>
      </w:r>
      <w:r>
        <w:rPr>
          <w:rFonts w:ascii="Arial" w:cs="Arial" w:eastAsia="Arial" w:hAnsi="Arial"/>
          <w:sz w:val="20"/>
          <w:szCs w:val="20"/>
          <w:color w:val="auto"/>
        </w:rPr>
        <w:t>, and (C) that any amendment or modification of defined terms used in the financial covenants in this Agreement shall not constitute a reduction in the rate of interest or a reduction of fees for purposes of this clause (iii)),</w:t>
      </w:r>
    </w:p>
    <w:p>
      <w:pPr>
        <w:spacing w:after="0" w:line="194" w:lineRule="exact"/>
        <w:rPr>
          <w:rFonts w:ascii="Arial" w:cs="Arial" w:eastAsia="Arial" w:hAnsi="Arial"/>
          <w:sz w:val="20"/>
          <w:szCs w:val="20"/>
          <w:color w:val="auto"/>
        </w:rPr>
      </w:pPr>
    </w:p>
    <w:p>
      <w:pPr>
        <w:ind w:left="560" w:right="20" w:firstLine="1494"/>
        <w:spacing w:after="0" w:line="260"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amend, modify, or eliminate this Section or any provision of this Agreement providing for consent or other action by all Lenders or by Supermajority Lenders,</w:t>
      </w:r>
    </w:p>
    <w:p>
      <w:pPr>
        <w:spacing w:after="0" w:line="175" w:lineRule="exact"/>
        <w:rPr>
          <w:rFonts w:ascii="Arial" w:cs="Arial" w:eastAsia="Arial" w:hAnsi="Arial"/>
          <w:sz w:val="20"/>
          <w:szCs w:val="20"/>
          <w:color w:val="auto"/>
        </w:rPr>
      </w:pPr>
    </w:p>
    <w:p>
      <w:pPr>
        <w:jc w:val="both"/>
        <w:ind w:left="560" w:right="20" w:firstLine="1494"/>
        <w:spacing w:after="0" w:line="249"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result in any or all of the Obligations being secured by any interest in real property (with it being acknowledged that the granting of any Lien on real property to secure any or all of the Obligations shall directly affect each Lender),</w:t>
      </w:r>
    </w:p>
    <w:p>
      <w:pPr>
        <w:spacing w:after="0" w:line="187" w:lineRule="exact"/>
        <w:rPr>
          <w:rFonts w:ascii="Arial" w:cs="Arial" w:eastAsia="Arial" w:hAnsi="Arial"/>
          <w:sz w:val="20"/>
          <w:szCs w:val="20"/>
          <w:color w:val="auto"/>
        </w:rPr>
      </w:pPr>
    </w:p>
    <w:p>
      <w:pPr>
        <w:ind w:left="2440" w:hanging="386"/>
        <w:spacing w:after="0"/>
        <w:tabs>
          <w:tab w:leader="none" w:pos="244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 xml:space="preserve">amend, modify, or eliminate </w:t>
      </w:r>
      <w:r>
        <w:rPr>
          <w:rFonts w:ascii="Arial" w:cs="Arial" w:eastAsia="Arial" w:hAnsi="Arial"/>
          <w:sz w:val="20"/>
          <w:szCs w:val="20"/>
          <w:u w:val="single" w:color="auto"/>
          <w:color w:val="auto"/>
        </w:rPr>
        <w:t>Section 15.11</w:t>
      </w:r>
      <w:r>
        <w:rPr>
          <w:rFonts w:ascii="Arial" w:cs="Arial" w:eastAsia="Arial" w:hAnsi="Arial"/>
          <w:sz w:val="20"/>
          <w:szCs w:val="20"/>
          <w:color w:val="auto"/>
        </w:rPr>
        <w:t>,</w:t>
      </w:r>
    </w:p>
    <w:p>
      <w:pPr>
        <w:spacing w:after="0" w:line="214" w:lineRule="exact"/>
        <w:rPr>
          <w:rFonts w:ascii="Arial" w:cs="Arial" w:eastAsia="Arial" w:hAnsi="Arial"/>
          <w:sz w:val="20"/>
          <w:szCs w:val="20"/>
          <w:color w:val="auto"/>
        </w:rPr>
      </w:pPr>
    </w:p>
    <w:p>
      <w:pPr>
        <w:jc w:val="both"/>
        <w:ind w:left="560" w:firstLine="1494"/>
        <w:spacing w:after="0" w:line="249"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 xml:space="preserve">(A) other than as permitted by </w:t>
      </w:r>
      <w:r>
        <w:rPr>
          <w:rFonts w:ascii="Arial" w:cs="Arial" w:eastAsia="Arial" w:hAnsi="Arial"/>
          <w:sz w:val="20"/>
          <w:szCs w:val="20"/>
          <w:u w:val="single" w:color="auto"/>
          <w:color w:val="auto"/>
        </w:rPr>
        <w:t>Section 15.11</w:t>
      </w:r>
      <w:r>
        <w:rPr>
          <w:rFonts w:ascii="Arial" w:cs="Arial" w:eastAsia="Arial" w:hAnsi="Arial"/>
          <w:sz w:val="20"/>
          <w:szCs w:val="20"/>
          <w:color w:val="auto"/>
        </w:rPr>
        <w:t>, release or contractually subordinate Agent’s Lien in and to any of the Collateral or (B) subordinate payment of any of the Obligations except as expressly provided for in the Loan Documents, as in effect on the date hereof,</w:t>
      </w:r>
    </w:p>
    <w:p>
      <w:pPr>
        <w:spacing w:after="0" w:line="187" w:lineRule="exact"/>
        <w:rPr>
          <w:rFonts w:ascii="Arial" w:cs="Arial" w:eastAsia="Arial" w:hAnsi="Arial"/>
          <w:sz w:val="20"/>
          <w:szCs w:val="20"/>
          <w:color w:val="auto"/>
        </w:rPr>
      </w:pPr>
    </w:p>
    <w:p>
      <w:pPr>
        <w:ind w:left="2840" w:hanging="786"/>
        <w:spacing w:after="0"/>
        <w:tabs>
          <w:tab w:leader="none" w:pos="28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amend, modify, or eliminate the definitions of “Required Lenders,” “Supermajority Lenders” or “Pro</w:t>
      </w:r>
    </w:p>
    <w:p>
      <w:pPr>
        <w:spacing w:after="0" w:line="38"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20"/>
          <w:szCs w:val="20"/>
          <w:color w:val="auto"/>
        </w:rPr>
        <w:t>Rata Share”,</w:t>
      </w:r>
    </w:p>
    <w:p>
      <w:pPr>
        <w:spacing w:after="0" w:line="198" w:lineRule="exact"/>
        <w:rPr>
          <w:rFonts w:ascii="Arial" w:cs="Arial" w:eastAsia="Arial" w:hAnsi="Arial"/>
          <w:sz w:val="18"/>
          <w:szCs w:val="18"/>
          <w:color w:val="auto"/>
        </w:rPr>
      </w:pPr>
    </w:p>
    <w:p>
      <w:pPr>
        <w:jc w:val="both"/>
        <w:ind w:left="560" w:firstLine="1494"/>
        <w:spacing w:after="0" w:line="246"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89" w:lineRule="exact"/>
        <w:rPr>
          <w:rFonts w:ascii="Arial" w:cs="Arial" w:eastAsia="Arial" w:hAnsi="Arial"/>
          <w:sz w:val="20"/>
          <w:szCs w:val="20"/>
          <w:color w:val="auto"/>
        </w:rPr>
      </w:pPr>
    </w:p>
    <w:p>
      <w:pPr>
        <w:ind w:left="2440" w:hanging="386"/>
        <w:spacing w:after="0"/>
        <w:tabs>
          <w:tab w:leader="none" w:pos="2440" w:val="left"/>
        </w:tabs>
        <w:numPr>
          <w:ilvl w:val="1"/>
          <w:numId w:val="258"/>
        </w:numPr>
        <w:rPr>
          <w:rFonts w:ascii="Arial" w:cs="Arial" w:eastAsia="Arial" w:hAnsi="Arial"/>
          <w:sz w:val="19"/>
          <w:szCs w:val="19"/>
          <w:color w:val="auto"/>
        </w:rPr>
      </w:pPr>
      <w:r>
        <w:rPr>
          <w:rFonts w:ascii="Arial" w:cs="Arial" w:eastAsia="Arial" w:hAnsi="Arial"/>
          <w:sz w:val="19"/>
          <w:szCs w:val="19"/>
          <w:color w:val="auto"/>
        </w:rPr>
        <w:t xml:space="preserve">amend, modify, or eliminate any of the provisions of </w:t>
      </w:r>
      <w:r>
        <w:rPr>
          <w:rFonts w:ascii="Arial" w:cs="Arial" w:eastAsia="Arial" w:hAnsi="Arial"/>
          <w:sz w:val="19"/>
          <w:szCs w:val="19"/>
          <w:u w:val="single" w:color="auto"/>
          <w:color w:val="auto"/>
        </w:rPr>
        <w:t>Section 2.4(b)(i)</w:t>
      </w:r>
      <w:r>
        <w:rPr>
          <w:rFonts w:ascii="Arial" w:cs="Arial" w:eastAsia="Arial" w:hAnsi="Arial"/>
          <w:sz w:val="19"/>
          <w:szCs w:val="19"/>
          <w:color w:val="auto"/>
        </w:rPr>
        <w:t xml:space="preserve">, (ii) or (iii) or </w:t>
      </w:r>
      <w:r>
        <w:rPr>
          <w:rFonts w:ascii="Arial" w:cs="Arial" w:eastAsia="Arial" w:hAnsi="Arial"/>
          <w:sz w:val="19"/>
          <w:szCs w:val="19"/>
          <w:u w:val="single" w:color="auto"/>
          <w:color w:val="auto"/>
        </w:rPr>
        <w:t>Section 2.4(f)</w:t>
      </w:r>
      <w:r>
        <w:rPr>
          <w:rFonts w:ascii="Arial" w:cs="Arial" w:eastAsia="Arial" w:hAnsi="Arial"/>
          <w:sz w:val="19"/>
          <w:szCs w:val="19"/>
          <w:color w:val="auto"/>
        </w:rPr>
        <w:t>, or</w:t>
      </w:r>
    </w:p>
    <w:p>
      <w:pPr>
        <w:spacing w:after="0" w:line="226" w:lineRule="exact"/>
        <w:rPr>
          <w:rFonts w:ascii="Arial" w:cs="Arial" w:eastAsia="Arial" w:hAnsi="Arial"/>
          <w:sz w:val="19"/>
          <w:szCs w:val="19"/>
          <w:color w:val="auto"/>
        </w:rPr>
      </w:pPr>
    </w:p>
    <w:p>
      <w:pPr>
        <w:ind w:left="560" w:right="20" w:firstLine="1494"/>
        <w:spacing w:after="0" w:line="260" w:lineRule="auto"/>
        <w:tabs>
          <w:tab w:leader="none" w:pos="2453" w:val="left"/>
        </w:tabs>
        <w:numPr>
          <w:ilvl w:val="1"/>
          <w:numId w:val="258"/>
        </w:numPr>
        <w:rPr>
          <w:rFonts w:ascii="Arial" w:cs="Arial" w:eastAsia="Arial" w:hAnsi="Arial"/>
          <w:sz w:val="20"/>
          <w:szCs w:val="20"/>
          <w:color w:val="auto"/>
        </w:rPr>
      </w:pPr>
      <w:r>
        <w:rPr>
          <w:rFonts w:ascii="Arial" w:cs="Arial" w:eastAsia="Arial" w:hAnsi="Arial"/>
          <w:sz w:val="20"/>
          <w:szCs w:val="20"/>
          <w:color w:val="auto"/>
        </w:rPr>
        <w:t xml:space="preserve">amend, modify, or eliminate any of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with respect to assignments to, or participations with, Persons who are Loan Parties, or Affiliates of a Loan Party;</w:t>
      </w:r>
    </w:p>
    <w:p>
      <w:pPr>
        <w:spacing w:after="0" w:line="175" w:lineRule="exact"/>
        <w:rPr>
          <w:rFonts w:ascii="Arial" w:cs="Arial" w:eastAsia="Arial" w:hAnsi="Arial"/>
          <w:sz w:val="20"/>
          <w:szCs w:val="20"/>
          <w:color w:val="auto"/>
        </w:rPr>
      </w:pPr>
    </w:p>
    <w:p>
      <w:pPr>
        <w:ind w:left="1880" w:hanging="387"/>
        <w:spacing w:after="0"/>
        <w:tabs>
          <w:tab w:leader="none" w:pos="188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No amendment, waiver, modification, or consent shall amend, modify, waive, or eliminate,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-725805</wp:posOffset>
            </wp:positionV>
            <wp:extent cx="25082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7">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47" w:name="page248"/>
    <w:bookmarkEnd w:id="247"/>
    <w:p>
      <w:pPr>
        <w:ind w:left="560" w:right="20" w:firstLine="1494"/>
        <w:spacing w:after="0" w:line="260" w:lineRule="auto"/>
        <w:tabs>
          <w:tab w:leader="none" w:pos="2453" w:val="left"/>
        </w:tabs>
        <w:numPr>
          <w:ilvl w:val="1"/>
          <w:numId w:val="260"/>
        </w:numPr>
        <w:rPr>
          <w:rFonts w:ascii="Arial" w:cs="Arial" w:eastAsia="Arial" w:hAnsi="Arial"/>
          <w:sz w:val="20"/>
          <w:szCs w:val="20"/>
          <w:color w:val="auto"/>
        </w:rPr>
      </w:pPr>
      <w:r>
        <w:rPr>
          <w:rFonts w:ascii="Arial" w:cs="Arial" w:eastAsia="Arial" w:hAnsi="Arial"/>
          <w:sz w:val="20"/>
          <w:szCs w:val="20"/>
          <w:color w:val="auto"/>
        </w:rPr>
        <w:t>the definition of, or any of the terms or provisions of, the Fee Letter, without the written consent of Agent and Borrowers (and shall not require the written consent of any of the Lenders),</w:t>
      </w:r>
    </w:p>
    <w:p>
      <w:pPr>
        <w:spacing w:after="0" w:line="175" w:lineRule="exact"/>
        <w:rPr>
          <w:rFonts w:ascii="Arial" w:cs="Arial" w:eastAsia="Arial" w:hAnsi="Arial"/>
          <w:sz w:val="20"/>
          <w:szCs w:val="20"/>
          <w:color w:val="auto"/>
        </w:rPr>
      </w:pPr>
    </w:p>
    <w:p>
      <w:pPr>
        <w:ind w:left="560" w:firstLine="1494"/>
        <w:spacing w:after="0" w:line="260" w:lineRule="auto"/>
        <w:tabs>
          <w:tab w:leader="none" w:pos="2453" w:val="left"/>
        </w:tabs>
        <w:numPr>
          <w:ilvl w:val="1"/>
          <w:numId w:val="260"/>
        </w:numPr>
        <w:rPr>
          <w:rFonts w:ascii="Arial" w:cs="Arial" w:eastAsia="Arial" w:hAnsi="Arial"/>
          <w:sz w:val="20"/>
          <w:szCs w:val="20"/>
          <w:color w:val="auto"/>
        </w:rPr>
      </w:pPr>
      <w:r>
        <w:rPr>
          <w:rFonts w:ascii="Arial" w:cs="Arial" w:eastAsia="Arial" w:hAnsi="Arial"/>
          <w:sz w:val="20"/>
          <w:szCs w:val="20"/>
          <w:color w:val="auto"/>
        </w:rPr>
        <w:t xml:space="preserve">any provision of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pertaining to Agent, or any other rights or duties of Agent under this Agreement or the other Loan Documents, without the written consent of Agent, Borrowers, and the Required Lenders;</w:t>
      </w:r>
    </w:p>
    <w:p>
      <w:pPr>
        <w:spacing w:after="0" w:line="175" w:lineRule="exact"/>
        <w:rPr>
          <w:rFonts w:ascii="Arial" w:cs="Arial" w:eastAsia="Arial" w:hAnsi="Arial"/>
          <w:sz w:val="20"/>
          <w:szCs w:val="20"/>
          <w:color w:val="auto"/>
        </w:rPr>
      </w:pPr>
    </w:p>
    <w:p>
      <w:pPr>
        <w:jc w:val="both"/>
        <w:ind w:firstLine="1493"/>
        <w:spacing w:after="0" w:line="278" w:lineRule="auto"/>
        <w:tabs>
          <w:tab w:leader="none" w:pos="189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without written consent of Agent, Borrowers and the Supermajority Lenders, modify, or eliminate the definition of Borrowing Base or any of the defined terms (including the definitions of Eligible Accounts, Eligible Equipment Inventory, Eligible Parts and Tools Inventory, and Eligible Rolling Stock) that are used in such definition to the extent that any such change results in more credit being made available to Borrowers based upon the Borrowing Base, but not otherwise, or the definitions of “Maximum Revolver Amount,” “Excess Availability,” or “Availability”;</w:t>
      </w:r>
    </w:p>
    <w:p>
      <w:pPr>
        <w:spacing w:after="0" w:line="163" w:lineRule="exact"/>
        <w:rPr>
          <w:rFonts w:ascii="Arial" w:cs="Arial" w:eastAsia="Arial" w:hAnsi="Arial"/>
          <w:sz w:val="18"/>
          <w:szCs w:val="18"/>
          <w:color w:val="auto"/>
        </w:rPr>
      </w:pPr>
    </w:p>
    <w:p>
      <w:pPr>
        <w:jc w:val="both"/>
        <w:ind w:firstLine="1493"/>
        <w:spacing w:after="0" w:line="290" w:lineRule="auto"/>
        <w:tabs>
          <w:tab w:leader="none" w:pos="189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any Issuing Bank, or any other rights or duties of any Issuing Bank under this Agreement or the other Loan Documents, without the written consent of such Issuing Bank, Agent, Borrowers, and the Required Lenders;</w:t>
      </w:r>
    </w:p>
    <w:p>
      <w:pPr>
        <w:spacing w:after="0" w:line="153" w:lineRule="exact"/>
        <w:rPr>
          <w:rFonts w:ascii="Arial" w:cs="Arial" w:eastAsia="Arial" w:hAnsi="Arial"/>
          <w:sz w:val="18"/>
          <w:szCs w:val="18"/>
          <w:color w:val="auto"/>
        </w:rPr>
      </w:pPr>
    </w:p>
    <w:p>
      <w:pPr>
        <w:jc w:val="both"/>
        <w:ind w:firstLine="1493"/>
        <w:spacing w:after="0" w:line="290" w:lineRule="auto"/>
        <w:tabs>
          <w:tab w:leader="none" w:pos="189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w:t>
      </w:r>
    </w:p>
    <w:p>
      <w:pPr>
        <w:spacing w:after="0" w:line="153" w:lineRule="exact"/>
        <w:rPr>
          <w:rFonts w:ascii="Arial" w:cs="Arial" w:eastAsia="Arial" w:hAnsi="Arial"/>
          <w:sz w:val="18"/>
          <w:szCs w:val="18"/>
          <w:color w:val="auto"/>
        </w:rPr>
      </w:pPr>
    </w:p>
    <w:p>
      <w:pPr>
        <w:jc w:val="both"/>
        <w:ind w:firstLine="1493"/>
        <w:spacing w:after="0" w:line="272" w:lineRule="auto"/>
        <w:tabs>
          <w:tab w:leader="none" w:pos="189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(iii) that affect such Lender, (iii) any amendment contemplated by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of this Agreement in connection with a Benchmark Transition Event shall be effective as contemplated by such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hereof and (iv) any amendment contemplated by </w:t>
      </w:r>
      <w:r>
        <w:rPr>
          <w:rFonts w:ascii="Arial" w:cs="Arial" w:eastAsia="Arial" w:hAnsi="Arial"/>
          <w:sz w:val="18"/>
          <w:szCs w:val="18"/>
          <w:u w:val="single" w:color="auto"/>
          <w:color w:val="auto"/>
        </w:rPr>
        <w:t>Section 2.6(g)</w:t>
      </w:r>
      <w:r>
        <w:rPr>
          <w:rFonts w:ascii="Arial" w:cs="Arial" w:eastAsia="Arial" w:hAnsi="Arial"/>
          <w:sz w:val="18"/>
          <w:szCs w:val="18"/>
          <w:color w:val="auto"/>
        </w:rPr>
        <w:t xml:space="preserve"> of this Agreement in connection with the use or administration of Term SOFR shall be effective as contemplated by such </w:t>
      </w:r>
      <w:r>
        <w:rPr>
          <w:rFonts w:ascii="Arial" w:cs="Arial" w:eastAsia="Arial" w:hAnsi="Arial"/>
          <w:sz w:val="18"/>
          <w:szCs w:val="18"/>
          <w:u w:val="single" w:color="auto"/>
          <w:color w:val="auto"/>
        </w:rPr>
        <w:t>Section 2.6(g)</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1880" w:hanging="387"/>
        <w:spacing w:after="0"/>
        <w:tabs>
          <w:tab w:leader="none" w:pos="188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[Reserved].</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20"/>
          <w:szCs w:val="20"/>
          <w:u w:val="single" w:color="auto"/>
          <w:color w:val="auto"/>
        </w:rPr>
        <w:t>14.2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Replacement of Certain Lenders</w:t>
      </w:r>
      <w:r>
        <w:rPr>
          <w:rFonts w:ascii="Arial" w:cs="Arial" w:eastAsia="Arial" w:hAnsi="Arial"/>
          <w:sz w:val="20"/>
          <w:szCs w:val="20"/>
          <w:color w:val="auto"/>
        </w:rPr>
        <w:t>.</w:t>
      </w:r>
    </w:p>
    <w:p>
      <w:pPr>
        <w:spacing w:after="0" w:line="221" w:lineRule="exact"/>
        <w:rPr>
          <w:sz w:val="20"/>
          <w:szCs w:val="20"/>
          <w:color w:val="auto"/>
        </w:rPr>
      </w:pPr>
    </w:p>
    <w:p>
      <w:pPr>
        <w:jc w:val="both"/>
        <w:ind w:firstLine="1493"/>
        <w:spacing w:after="0" w:line="242" w:lineRule="auto"/>
        <w:tabs>
          <w:tab w:leader="none" w:pos="189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16</w:t>
      </w:r>
      <w:r>
        <w:rPr>
          <w:rFonts w:ascii="Arial" w:cs="Arial" w:eastAsia="Arial" w:hAnsi="Arial"/>
          <w:sz w:val="20"/>
          <w:szCs w:val="20"/>
          <w:color w:val="auto"/>
        </w:rPr>
        <w:t>, then Borrowers or Agent, upon at least five Business Days prior irrevocable notice, may permanently replace any Lender that failed to give its consent, authorization, or agreement (a “</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or any Lender that made a claim for compensation (a “</w:t>
      </w:r>
      <w:r>
        <w:rPr>
          <w:rFonts w:ascii="Arial" w:cs="Arial" w:eastAsia="Arial" w:hAnsi="Arial"/>
          <w:sz w:val="20"/>
          <w:szCs w:val="20"/>
          <w:u w:val="single" w:color="auto"/>
          <w:color w:val="auto"/>
        </w:rPr>
        <w:t>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w:t>
      </w:r>
      <w:r>
        <w:rPr>
          <w:rFonts w:ascii="Arial" w:cs="Arial" w:eastAsia="Arial" w:hAnsi="Arial"/>
          <w:sz w:val="20"/>
          <w:szCs w:val="20"/>
          <w:color w:val="auto"/>
        </w:rPr>
        <w:t>”) with one or more Replacement Lenders, and the Non-Consenting Lender or Tax Lender, as applicable, shall have no right to refuse to be replaced</w:t>
      </w:r>
    </w:p>
    <w:p>
      <w:pPr>
        <w:spacing w:after="0" w:line="200" w:lineRule="exact"/>
        <w:rPr>
          <w:sz w:val="20"/>
          <w:szCs w:val="20"/>
          <w:color w:val="auto"/>
        </w:rPr>
      </w:pP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48" w:name="page249"/>
    <w:bookmarkEnd w:id="248"/>
    <w:p>
      <w:pPr>
        <w:ind w:left="200"/>
        <w:spacing w:after="0" w:line="260" w:lineRule="auto"/>
        <w:rPr>
          <w:sz w:val="20"/>
          <w:szCs w:val="20"/>
          <w:color w:val="auto"/>
        </w:rPr>
      </w:pPr>
      <w:r>
        <w:rPr>
          <w:rFonts w:ascii="Arial" w:cs="Arial" w:eastAsia="Arial" w:hAnsi="Arial"/>
          <w:sz w:val="20"/>
          <w:szCs w:val="20"/>
          <w:color w:val="auto"/>
        </w:rPr>
        <w:t>hereunder. Such notice to replace the Non-Consenting Lender or Tax Lender, as applicable, shall specify an effective date for such replacement, which date shall not be later than 15 Business Days after the date such notice is given.</w:t>
      </w:r>
    </w:p>
    <w:p>
      <w:pPr>
        <w:spacing w:after="0" w:line="176" w:lineRule="exact"/>
        <w:rPr>
          <w:sz w:val="20"/>
          <w:szCs w:val="20"/>
          <w:color w:val="auto"/>
        </w:rPr>
      </w:pPr>
    </w:p>
    <w:p>
      <w:pPr>
        <w:jc w:val="both"/>
        <w:ind w:left="200" w:firstLine="1493"/>
        <w:spacing w:after="0" w:line="269" w:lineRule="auto"/>
        <w:tabs>
          <w:tab w:leader="none" w:pos="209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 (i) all interest, fees and other amounts that may be due in payable in respect thereof, (ii) an assumption of its Pro Rata Share of participations in the Letters of Credit, and (iii) Funding Losses). If the Non-Consenting Lender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 accordance with the terms of </w:t>
      </w:r>
      <w:r>
        <w:rPr>
          <w:rFonts w:ascii="Arial" w:cs="Arial" w:eastAsia="Arial" w:hAnsi="Arial"/>
          <w:sz w:val="18"/>
          <w:szCs w:val="18"/>
          <w:u w:val="single" w:color="auto"/>
          <w:color w:val="auto"/>
        </w:rPr>
        <w:t>Section 13.1</w:t>
      </w:r>
      <w:r>
        <w:rPr>
          <w:rFonts w:ascii="Arial" w:cs="Arial" w:eastAsia="Arial" w:hAnsi="Arial"/>
          <w:sz w:val="18"/>
          <w:szCs w:val="18"/>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to purchase a participation in each Letter of Credit, in an amount equal to its Pro Rata Share of participations in such Letters of Credit.</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u w:val="single" w:color="auto"/>
          <w:color w:val="auto"/>
        </w:rPr>
        <w:t>14.3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No Waivers; Cumulative Remedies</w:t>
      </w:r>
      <w:r>
        <w:rPr>
          <w:rFonts w:ascii="Arial" w:cs="Arial" w:eastAsia="Arial" w:hAnsi="Arial"/>
          <w:sz w:val="19"/>
          <w:szCs w:val="19"/>
          <w:color w:val="auto"/>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Parent and Borrowers of any provision of this Agreement. Agent’s and each Lender’s rights under this Agreement and the other Loan Documents will be cumulative and not exclusive of any other right or remedy that Agent or any Lender may have.</w:t>
      </w:r>
    </w:p>
    <w:p>
      <w:pPr>
        <w:spacing w:after="0" w:line="171" w:lineRule="exact"/>
        <w:rPr>
          <w:sz w:val="20"/>
          <w:szCs w:val="20"/>
          <w:color w:val="auto"/>
        </w:rPr>
      </w:pPr>
    </w:p>
    <w:p>
      <w:pPr>
        <w:ind w:left="400" w:hanging="392"/>
        <w:spacing w:after="0"/>
        <w:tabs>
          <w:tab w:leader="none" w:pos="400" w:val="left"/>
        </w:tabs>
        <w:numPr>
          <w:ilvl w:val="0"/>
          <w:numId w:val="264"/>
        </w:numPr>
        <w:rPr>
          <w:rFonts w:ascii="Arial" w:cs="Arial" w:eastAsia="Arial" w:hAnsi="Arial"/>
          <w:sz w:val="20"/>
          <w:szCs w:val="20"/>
          <w:color w:val="auto"/>
        </w:rPr>
      </w:pPr>
      <w:r>
        <w:rPr>
          <w:rFonts w:ascii="Arial" w:cs="Arial" w:eastAsia="Arial" w:hAnsi="Arial"/>
          <w:sz w:val="20"/>
          <w:szCs w:val="20"/>
          <w:b w:val="1"/>
          <w:bCs w:val="1"/>
          <w:color w:val="auto"/>
        </w:rPr>
        <w:t>AGENT; THE LENDER GROUP.</w:t>
      </w:r>
    </w:p>
    <w:p>
      <w:pPr>
        <w:spacing w:after="0" w:line="21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15.1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Appointment and Authorization of Agent</w:t>
      </w:r>
      <w:r>
        <w:rPr>
          <w:rFonts w:ascii="Arial" w:cs="Arial" w:eastAsia="Arial" w:hAnsi="Arial"/>
          <w:sz w:val="19"/>
          <w:szCs w:val="19"/>
          <w:color w:val="auto"/>
        </w:rPr>
        <w:t xml:space="preserve">. 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Arial" w:cs="Arial" w:eastAsia="Arial" w:hAnsi="Arial"/>
          <w:sz w:val="19"/>
          <w:szCs w:val="19"/>
          <w:u w:val="single" w:color="auto"/>
          <w:color w:val="auto"/>
        </w:rPr>
        <w:t>Section 15</w:t>
      </w:r>
      <w:r>
        <w:rPr>
          <w:rFonts w:ascii="Arial" w:cs="Arial" w:eastAsia="Arial" w:hAnsi="Arial"/>
          <w:sz w:val="19"/>
          <w:szCs w:val="19"/>
          <w:color w:val="auto"/>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49" w:name="page250"/>
    <w:bookmarkEnd w:id="249"/>
    <w:p>
      <w:pPr>
        <w:jc w:val="both"/>
        <w:spacing w:after="0" w:line="268" w:lineRule="auto"/>
        <w:rPr>
          <w:sz w:val="20"/>
          <w:szCs w:val="20"/>
          <w:color w:val="auto"/>
        </w:rPr>
      </w:pPr>
      <w:r>
        <w:rPr>
          <w:rFonts w:ascii="Arial" w:cs="Arial" w:eastAsia="Arial" w:hAnsi="Arial"/>
          <w:sz w:val="18"/>
          <w:szCs w:val="18"/>
          <w:color w:val="auto"/>
        </w:rPr>
        <w:t>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15.2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Delegation of Duties</w:t>
      </w:r>
      <w:r>
        <w:rPr>
          <w:rFonts w:ascii="Arial" w:cs="Arial" w:eastAsia="Arial" w:hAnsi="Arial"/>
          <w:sz w:val="20"/>
          <w:szCs w:val="20"/>
          <w:color w:val="auto"/>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8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u w:val="single" w:color="auto"/>
          <w:color w:val="auto"/>
        </w:rPr>
        <w:t>15.3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Liability of Agent</w:t>
      </w:r>
      <w:r>
        <w:rPr>
          <w:rFonts w:ascii="Arial" w:cs="Arial" w:eastAsia="Arial" w:hAnsi="Arial"/>
          <w:sz w:val="18"/>
          <w:szCs w:val="18"/>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any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0" w:name="page251"/>
    <w:bookmarkEnd w:id="250"/>
    <w:p>
      <w:pPr>
        <w:jc w:val="both"/>
        <w:ind w:firstLine="749"/>
        <w:spacing w:after="0" w:line="271" w:lineRule="auto"/>
        <w:rPr>
          <w:sz w:val="20"/>
          <w:szCs w:val="20"/>
          <w:color w:val="auto"/>
        </w:rPr>
      </w:pPr>
      <w:r>
        <w:rPr>
          <w:rFonts w:ascii="Arial" w:cs="Arial" w:eastAsia="Arial" w:hAnsi="Arial"/>
          <w:sz w:val="18"/>
          <w:szCs w:val="18"/>
          <w:u w:val="single" w:color="auto"/>
          <w:color w:val="auto"/>
        </w:rPr>
        <w:t>15.4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Reliance by Agent</w:t>
      </w:r>
      <w:r>
        <w:rPr>
          <w:rFonts w:ascii="Arial" w:cs="Arial" w:eastAsia="Arial" w:hAnsi="Arial"/>
          <w:sz w:val="18"/>
          <w:szCs w:val="18"/>
          <w:color w:val="auto"/>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any Loan Party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16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15.5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Notice of Default or Event of Default</w:t>
      </w:r>
      <w:r>
        <w:rPr>
          <w:rFonts w:ascii="Arial" w:cs="Arial" w:eastAsia="Arial" w:hAnsi="Arial"/>
          <w:sz w:val="19"/>
          <w:szCs w:val="19"/>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9"/>
          <w:szCs w:val="19"/>
          <w:u w:val="single" w:color="auto"/>
          <w:color w:val="auto"/>
        </w:rPr>
        <w:t>Section 15.4</w:t>
      </w:r>
      <w:r>
        <w:rPr>
          <w:rFonts w:ascii="Arial" w:cs="Arial" w:eastAsia="Arial" w:hAnsi="Arial"/>
          <w:sz w:val="19"/>
          <w:szCs w:val="19"/>
          <w:color w:val="auto"/>
        </w:rPr>
        <w:t xml:space="preserve">, Agent shall take such action with respect to such Default or Event of Default as may be requested by the Required Lenders in accordance with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8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u w:val="single" w:color="auto"/>
          <w:color w:val="auto"/>
        </w:rPr>
        <w:t>15.6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Credit Decision</w:t>
      </w:r>
      <w:r>
        <w:rPr>
          <w:rFonts w:ascii="Arial" w:cs="Arial" w:eastAsia="Arial" w:hAnsi="Arial"/>
          <w:sz w:val="18"/>
          <w:szCs w:val="18"/>
          <w:color w:val="auto"/>
        </w:rPr>
        <w:t>. Each Lender (and Bank Product Provider)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Loan Party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Loan Party or any other Person party to a Loan Document. Except for notices, reports, and other documents expressly herein required to be furnished to the Lenders by Agent, Agent shall not have any duty or responsibility to provide any Lender (or Bank Product Provider) with any credit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1" w:name="page252"/>
    <w:bookmarkEnd w:id="251"/>
    <w:p>
      <w:pPr>
        <w:jc w:val="both"/>
        <w:spacing w:after="0" w:line="256" w:lineRule="auto"/>
        <w:rPr>
          <w:sz w:val="20"/>
          <w:szCs w:val="20"/>
          <w:color w:val="auto"/>
        </w:rPr>
      </w:pPr>
      <w:r>
        <w:rPr>
          <w:rFonts w:ascii="Arial" w:cs="Arial" w:eastAsia="Arial" w:hAnsi="Arial"/>
          <w:sz w:val="19"/>
          <w:szCs w:val="19"/>
          <w:color w:val="auto"/>
        </w:rPr>
        <w:t>other information concerning the business, prospects, operations, property, financial and other condition or creditworthiness of any Loan Party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Loan Party,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17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u w:val="single" w:color="auto"/>
          <w:color w:val="auto"/>
        </w:rPr>
        <w:t>15.7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Costs and Expenses; Indemnification</w:t>
      </w:r>
      <w:r>
        <w:rPr>
          <w:rFonts w:ascii="Arial" w:cs="Arial" w:eastAsia="Arial" w:hAnsi="Arial"/>
          <w:sz w:val="18"/>
          <w:szCs w:val="18"/>
          <w:color w:val="auto"/>
        </w:rPr>
        <w:t xml:space="preserve">.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the Loan Parties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If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the Loan Parties and without limiting the obligation of any Loan Party to do so) from and against any and all Indemnified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the Loan Parties. The undertaking in this Section shall survive the payment of all Obligations hereunder and the resignation or replacement of Agent.</w:t>
      </w:r>
    </w:p>
    <w:p>
      <w:pPr>
        <w:spacing w:after="0" w:line="17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u w:val="single" w:color="auto"/>
          <w:color w:val="auto"/>
        </w:rPr>
        <w:t>15.8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Agent in Individual Capacity</w:t>
      </w:r>
      <w:r>
        <w:rPr>
          <w:rFonts w:ascii="Arial" w:cs="Arial" w:eastAsia="Arial" w:hAnsi="Arial"/>
          <w:sz w:val="18"/>
          <w:szCs w:val="18"/>
          <w:color w:val="auto"/>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2" w:name="page253"/>
    <w:bookmarkEnd w:id="252"/>
    <w:p>
      <w:pPr>
        <w:jc w:val="both"/>
        <w:spacing w:after="0" w:line="260" w:lineRule="auto"/>
        <w:rPr>
          <w:sz w:val="20"/>
          <w:szCs w:val="20"/>
          <w:color w:val="auto"/>
        </w:rPr>
      </w:pPr>
      <w:r>
        <w:rPr>
          <w:rFonts w:ascii="Arial" w:cs="Arial" w:eastAsia="Arial" w:hAnsi="Arial"/>
          <w:sz w:val="20"/>
          <w:szCs w:val="20"/>
          <w:color w:val="auto"/>
        </w:rPr>
        <w:t>use its reasonable best efforts to obtain), Agent shall not be under any obligation to provide such information to them. The terms “Lender” and “Lenders” include Wells Fargo in its individual capacity.</w:t>
      </w:r>
    </w:p>
    <w:p>
      <w:pPr>
        <w:spacing w:after="0" w:line="17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u w:val="single" w:color="auto"/>
          <w:color w:val="auto"/>
        </w:rPr>
        <w:t>15.9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Successor Agent</w:t>
      </w:r>
      <w:r>
        <w:rPr>
          <w:rFonts w:ascii="Arial" w:cs="Arial" w:eastAsia="Arial" w:hAnsi="Arial"/>
          <w:sz w:val="18"/>
          <w:szCs w:val="18"/>
          <w:color w:val="auto"/>
        </w:rPr>
        <w:t xml:space="preserve">. Agent may resign as Agent upon 30 days (ten days if an Event of Default has occurred and is continuing) prior written notice to the Lenders (unless such notice is waived by the Required Lenders) and Borrowers (unless such notice is waived by Borrowers or a Default or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u w:val="single" w:color="auto"/>
          <w:color w:val="auto"/>
        </w:rPr>
        <w:t>15.10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Lender in Individual Capacity</w:t>
      </w:r>
      <w:r>
        <w:rPr>
          <w:rFonts w:ascii="Arial" w:cs="Arial" w:eastAsia="Arial" w:hAnsi="Arial"/>
          <w:sz w:val="18"/>
          <w:szCs w:val="18"/>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166"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u w:val="single" w:color="auto"/>
          <w:color w:val="auto"/>
        </w:rPr>
        <w:t>15.11</w:t>
      </w:r>
      <w:r>
        <w:rPr>
          <w:sz w:val="20"/>
          <w:szCs w:val="20"/>
          <w:color w:val="auto"/>
        </w:rPr>
        <w:tab/>
      </w:r>
      <w:r>
        <w:rPr>
          <w:rFonts w:ascii="Arial" w:cs="Arial" w:eastAsia="Arial" w:hAnsi="Arial"/>
          <w:sz w:val="18"/>
          <w:szCs w:val="18"/>
          <w:b w:val="1"/>
          <w:bCs w:val="1"/>
          <w:u w:val="single" w:color="auto"/>
          <w:color w:val="auto"/>
        </w:rPr>
        <w:t>Collateral Matters</w:t>
      </w:r>
      <w:r>
        <w:rPr>
          <w:rFonts w:ascii="Arial" w:cs="Arial" w:eastAsia="Arial" w:hAnsi="Arial"/>
          <w:sz w:val="18"/>
          <w:szCs w:val="18"/>
          <w:color w:val="auto"/>
        </w:rPr>
        <w:t>.</w:t>
      </w:r>
    </w:p>
    <w:p>
      <w:pPr>
        <w:spacing w:after="0" w:line="221" w:lineRule="exact"/>
        <w:rPr>
          <w:sz w:val="20"/>
          <w:szCs w:val="20"/>
          <w:color w:val="auto"/>
        </w:rPr>
      </w:pPr>
    </w:p>
    <w:p>
      <w:pPr>
        <w:jc w:val="both"/>
        <w:ind w:left="200" w:firstLine="1493"/>
        <w:spacing w:after="0" w:line="246" w:lineRule="auto"/>
        <w:tabs>
          <w:tab w:leader="none" w:pos="209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The Lenders hereby irrevocably authorize (and by entering into a Bank Product Agreement, each Bank Product Provider shall be deemed to authorize) Agent to release or subordinate any Lien on any Collateral (i) upon the termination of the Commitments and payment and satisfaction in full by the Loan Parties of all of the Obligations, (ii) constituting property being sold or disposed of if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3" w:name="page254"/>
    <w:bookmarkEnd w:id="253"/>
    <w:p>
      <w:pPr>
        <w:jc w:val="both"/>
        <w:spacing w:after="0" w:line="267" w:lineRule="auto"/>
        <w:rPr>
          <w:sz w:val="20"/>
          <w:szCs w:val="20"/>
          <w:color w:val="auto"/>
        </w:rPr>
      </w:pPr>
      <w:r>
        <w:rPr>
          <w:rFonts w:ascii="Arial" w:cs="Arial" w:eastAsia="Arial" w:hAnsi="Arial"/>
          <w:sz w:val="18"/>
          <w:szCs w:val="18"/>
          <w:color w:val="auto"/>
        </w:rPr>
        <w:t xml:space="preserve">release is required or desirable in connection therewith and if Administrative Borrower certifies to Agent that the sale or disposition is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(and Agent may rely conclusively on any such certificate, without further inquiry), (iii) constituting property in which no Loan Party owned any interest at the time Agent’s Lien was granted nor at any time thereafter, (iv) constituting property leased or licensed to a Loan Party under a lease or license that has expired or is terminated in a transaction permitted under this Agreement, (v) in connection with a credit bid or purchase authorized under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or (vi) in connection with the designation of any Restricted Subsidiary as an Unrestricted Subsidiary if such designation is permitted under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Bank Product Obligations not entitled to the application set forth in </w:t>
      </w:r>
      <w:r>
        <w:rPr>
          <w:rFonts w:ascii="Arial" w:cs="Arial" w:eastAsia="Arial" w:hAnsi="Arial"/>
          <w:sz w:val="18"/>
          <w:szCs w:val="18"/>
          <w:u w:val="single" w:color="auto"/>
          <w:color w:val="auto"/>
        </w:rPr>
        <w:t>Section 2.4(b)(iii)(J)</w:t>
      </w:r>
      <w:r>
        <w:rPr>
          <w:rFonts w:ascii="Arial" w:cs="Arial" w:eastAsia="Arial" w:hAnsi="Arial"/>
          <w:sz w:val="18"/>
          <w:szCs w:val="18"/>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w:t>
      </w:r>
    </w:p>
    <w:p>
      <w:pPr>
        <w:spacing w:after="0" w:line="200" w:lineRule="exact"/>
        <w:rPr>
          <w:sz w:val="20"/>
          <w:szCs w:val="20"/>
          <w:color w:val="auto"/>
        </w:rPr>
      </w:pPr>
    </w:p>
    <w:p>
      <w:pPr>
        <w:spacing w:after="0" w:line="20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54" w:name="page255"/>
    <w:bookmarkEnd w:id="254"/>
    <w:p>
      <w:pPr>
        <w:jc w:val="both"/>
        <w:ind w:left="200"/>
        <w:spacing w:after="0" w:line="260" w:lineRule="auto"/>
        <w:rPr>
          <w:sz w:val="20"/>
          <w:szCs w:val="20"/>
          <w:color w:val="auto"/>
        </w:rPr>
      </w:pPr>
      <w:r>
        <w:rPr>
          <w:rFonts w:ascii="Arial" w:cs="Arial" w:eastAsia="Arial" w:hAnsi="Arial"/>
          <w:sz w:val="19"/>
          <w:szCs w:val="19"/>
          <w:color w:val="auto"/>
        </w:rPr>
        <w:t xml:space="preserve">irrevocably authorizes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Arial" w:cs="Arial" w:eastAsia="Arial" w:hAnsi="Arial"/>
          <w:sz w:val="19"/>
          <w:szCs w:val="19"/>
          <w:u w:val="single" w:color="auto"/>
          <w:color w:val="auto"/>
        </w:rPr>
        <w:t>Section 15.11</w:t>
      </w:r>
      <w:r>
        <w:rPr>
          <w:rFonts w:ascii="Arial" w:cs="Arial" w:eastAsia="Arial" w:hAnsi="Arial"/>
          <w:sz w:val="19"/>
          <w:szCs w:val="19"/>
          <w:color w:val="auto"/>
        </w:rPr>
        <w:t xml:space="preserve"> to release its Lien on such property.</w:t>
      </w:r>
    </w:p>
    <w:p>
      <w:pPr>
        <w:spacing w:after="0" w:line="178" w:lineRule="exact"/>
        <w:rPr>
          <w:sz w:val="20"/>
          <w:szCs w:val="20"/>
          <w:color w:val="auto"/>
        </w:rPr>
      </w:pPr>
    </w:p>
    <w:p>
      <w:pPr>
        <w:jc w:val="both"/>
        <w:ind w:left="200" w:firstLine="1493"/>
        <w:spacing w:after="0" w:line="270" w:lineRule="auto"/>
        <w:tabs>
          <w:tab w:leader="none" w:pos="209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70"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u w:val="single" w:color="auto"/>
          <w:color w:val="auto"/>
        </w:rPr>
        <w:t>15.12</w:t>
      </w:r>
      <w:r>
        <w:rPr>
          <w:sz w:val="20"/>
          <w:szCs w:val="20"/>
          <w:color w:val="auto"/>
        </w:rPr>
        <w:tab/>
      </w:r>
      <w:r>
        <w:rPr>
          <w:rFonts w:ascii="Arial" w:cs="Arial" w:eastAsia="Arial" w:hAnsi="Arial"/>
          <w:sz w:val="16"/>
          <w:szCs w:val="16"/>
          <w:b w:val="1"/>
          <w:bCs w:val="1"/>
          <w:u w:val="single" w:color="auto"/>
          <w:color w:val="auto"/>
        </w:rPr>
        <w:t>Restrictions on Actions by Lenders; Sharing of Payments</w:t>
      </w:r>
      <w:r>
        <w:rPr>
          <w:rFonts w:ascii="Arial" w:cs="Arial" w:eastAsia="Arial" w:hAnsi="Arial"/>
          <w:sz w:val="16"/>
          <w:szCs w:val="16"/>
          <w:color w:val="auto"/>
        </w:rPr>
        <w:t>.</w:t>
      </w:r>
    </w:p>
    <w:p>
      <w:pPr>
        <w:spacing w:after="0" w:line="221" w:lineRule="exact"/>
        <w:rPr>
          <w:sz w:val="20"/>
          <w:szCs w:val="20"/>
          <w:color w:val="auto"/>
        </w:rPr>
      </w:pPr>
    </w:p>
    <w:p>
      <w:pPr>
        <w:jc w:val="both"/>
        <w:ind w:left="200" w:firstLine="1493"/>
        <w:spacing w:after="0" w:line="243" w:lineRule="auto"/>
        <w:tabs>
          <w:tab w:leader="none" w:pos="209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Each of the Lenders agrees that it shall not, without the express written consent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94" w:lineRule="exact"/>
        <w:rPr>
          <w:rFonts w:ascii="Arial" w:cs="Arial" w:eastAsia="Arial" w:hAnsi="Arial"/>
          <w:sz w:val="20"/>
          <w:szCs w:val="20"/>
          <w:color w:val="auto"/>
        </w:rPr>
      </w:pPr>
    </w:p>
    <w:p>
      <w:pPr>
        <w:jc w:val="both"/>
        <w:ind w:left="200" w:firstLine="1493"/>
        <w:spacing w:after="0" w:line="270" w:lineRule="auto"/>
        <w:tabs>
          <w:tab w:leader="none" w:pos="209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70" w:lineRule="exact"/>
        <w:rPr>
          <w:sz w:val="20"/>
          <w:szCs w:val="20"/>
          <w:color w:val="auto"/>
        </w:rPr>
      </w:pPr>
    </w:p>
    <w:p>
      <w:pPr>
        <w:ind w:firstLine="749"/>
        <w:spacing w:after="0" w:line="266" w:lineRule="auto"/>
        <w:rPr>
          <w:sz w:val="20"/>
          <w:szCs w:val="20"/>
          <w:color w:val="auto"/>
        </w:rPr>
      </w:pPr>
      <w:r>
        <w:rPr>
          <w:rFonts w:ascii="Arial" w:cs="Arial" w:eastAsia="Arial" w:hAnsi="Arial"/>
          <w:sz w:val="20"/>
          <w:szCs w:val="20"/>
          <w:u w:val="single" w:color="auto"/>
          <w:color w:val="auto"/>
        </w:rPr>
        <w:t>15.13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Agency for Perfection</w:t>
      </w:r>
      <w:r>
        <w:rPr>
          <w:rFonts w:ascii="Arial" w:cs="Arial" w:eastAsia="Arial" w:hAnsi="Arial"/>
          <w:sz w:val="20"/>
          <w:szCs w:val="20"/>
          <w:color w:val="auto"/>
        </w:rPr>
        <w:t>. Agent hereby appoints each other Lender (and each Bank Product Provider) as its agent (and each Lender hereby accepts (and by entering into a Bank Product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5" w:name="page256"/>
    <w:bookmarkEnd w:id="255"/>
    <w:p>
      <w:pPr>
        <w:jc w:val="both"/>
        <w:spacing w:after="0" w:line="263" w:lineRule="auto"/>
        <w:rPr>
          <w:sz w:val="20"/>
          <w:szCs w:val="20"/>
          <w:color w:val="auto"/>
        </w:rPr>
      </w:pPr>
      <w:r>
        <w:rPr>
          <w:rFonts w:ascii="Arial" w:cs="Arial" w:eastAsia="Arial" w:hAnsi="Arial"/>
          <w:sz w:val="19"/>
          <w:szCs w:val="19"/>
          <w:color w:val="auto"/>
        </w:rPr>
        <w:t>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6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15.14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Payments by Agent to the Lenders</w:t>
      </w:r>
      <w:r>
        <w:rPr>
          <w:rFonts w:ascii="Arial" w:cs="Arial" w:eastAsia="Arial" w:hAnsi="Arial"/>
          <w:sz w:val="20"/>
          <w:szCs w:val="20"/>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8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15.15</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Concerning the Collateral and Related Loan Documents</w:t>
      </w:r>
      <w:r>
        <w:rPr>
          <w:rFonts w:ascii="Arial" w:cs="Arial" w:eastAsia="Arial" w:hAnsi="Arial"/>
          <w:sz w:val="20"/>
          <w:szCs w:val="20"/>
          <w:color w:val="auto"/>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8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color w:val="auto"/>
        </w:rPr>
        <w:t xml:space="preserve">15.16 </w:t>
      </w:r>
      <w:r>
        <w:rPr>
          <w:rFonts w:ascii="Arial" w:cs="Arial" w:eastAsia="Arial" w:hAnsi="Arial"/>
          <w:sz w:val="20"/>
          <w:szCs w:val="20"/>
          <w:b w:val="1"/>
          <w:bCs w:val="1"/>
          <w:color w:val="auto"/>
        </w:rPr>
        <w:t>Field Examination Reports; Confidentiality; Disclaimers by Lenders; Other Reports and Information</w:t>
      </w:r>
      <w:r>
        <w:rPr>
          <w:rFonts w:ascii="Arial" w:cs="Arial" w:eastAsia="Arial" w:hAnsi="Arial"/>
          <w:sz w:val="20"/>
          <w:szCs w:val="20"/>
          <w:color w:val="auto"/>
        </w:rPr>
        <w:t>. By becoming a party to this Agreement,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-188595</wp:posOffset>
            </wp:positionV>
            <wp:extent cx="63423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7">
                      <a:extLst>
                        <a:ext uri="{28A0092B-C50C-407E-A947-70E740481C1C}"/>
                      </a:extLst>
                    </a:blip>
                    <a:srcRect/>
                    <a:stretch>
                      <a:fillRect/>
                    </a:stretch>
                  </pic:blipFill>
                  <pic:spPr bwMode="auto">
                    <a:xfrm>
                      <a:off x="0" y="0"/>
                      <a:ext cx="6342380" cy="8255"/>
                    </a:xfrm>
                    <a:prstGeom prst="rect">
                      <a:avLst/>
                    </a:prstGeom>
                    <a:noFill/>
                  </pic:spPr>
                </pic:pic>
              </a:graphicData>
            </a:graphic>
          </wp:anchor>
        </w:drawing>
      </w:r>
    </w:p>
    <w:p>
      <w:pPr>
        <w:spacing w:after="0" w:line="150" w:lineRule="exact"/>
        <w:rPr>
          <w:sz w:val="20"/>
          <w:szCs w:val="20"/>
          <w:color w:val="auto"/>
        </w:rPr>
      </w:pPr>
    </w:p>
    <w:p>
      <w:pPr>
        <w:jc w:val="both"/>
        <w:ind w:left="200" w:right="20" w:firstLine="1493"/>
        <w:spacing w:after="0" w:line="249" w:lineRule="auto"/>
        <w:tabs>
          <w:tab w:leader="none" w:pos="209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is deemed to have requested that Agent furnish such Lender, promptly after it becomes available, a copy of each field examination report respecting any Loan Party or its Subsidiaries (each, a “</w:t>
      </w:r>
      <w:r>
        <w:rPr>
          <w:rFonts w:ascii="Arial" w:cs="Arial" w:eastAsia="Arial" w:hAnsi="Arial"/>
          <w:sz w:val="20"/>
          <w:szCs w:val="20"/>
          <w:u w:val="single" w:color="auto"/>
          <w:color w:val="auto"/>
        </w:rPr>
        <w:t>Report</w:t>
      </w:r>
      <w:r>
        <w:rPr>
          <w:rFonts w:ascii="Arial" w:cs="Arial" w:eastAsia="Arial" w:hAnsi="Arial"/>
          <w:sz w:val="20"/>
          <w:szCs w:val="20"/>
          <w:color w:val="auto"/>
        </w:rPr>
        <w:t>”) prepared by or at the request of Agent, and Agent shall so furnish each Lender with such Reports,</w:t>
      </w:r>
    </w:p>
    <w:p>
      <w:pPr>
        <w:spacing w:after="0" w:line="187" w:lineRule="exact"/>
        <w:rPr>
          <w:rFonts w:ascii="Arial" w:cs="Arial" w:eastAsia="Arial" w:hAnsi="Arial"/>
          <w:sz w:val="20"/>
          <w:szCs w:val="20"/>
          <w:color w:val="auto"/>
        </w:rPr>
      </w:pPr>
    </w:p>
    <w:p>
      <w:pPr>
        <w:ind w:left="200" w:right="20" w:firstLine="1493"/>
        <w:spacing w:after="0" w:line="260" w:lineRule="auto"/>
        <w:tabs>
          <w:tab w:leader="none" w:pos="209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expressly agrees and acknowledges that Agent does not (i) make any representation or warranty as to the accuracy of any Report, and (ii) shall not be liable for any information contained in any Report,</w:t>
      </w:r>
    </w:p>
    <w:p>
      <w:pPr>
        <w:spacing w:after="0" w:line="175" w:lineRule="exact"/>
        <w:rPr>
          <w:rFonts w:ascii="Arial" w:cs="Arial" w:eastAsia="Arial" w:hAnsi="Arial"/>
          <w:sz w:val="20"/>
          <w:szCs w:val="20"/>
          <w:color w:val="auto"/>
        </w:rPr>
      </w:pPr>
    </w:p>
    <w:p>
      <w:pPr>
        <w:jc w:val="both"/>
        <w:ind w:left="200" w:firstLine="1493"/>
        <w:spacing w:after="0" w:line="290" w:lineRule="auto"/>
        <w:tabs>
          <w:tab w:leader="none" w:pos="209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Parent’s and its Subsidiaries’ books and records, as well as on representations of the Loan Parties’ personnel,</w:t>
      </w:r>
    </w:p>
    <w:p>
      <w:pPr>
        <w:spacing w:after="0" w:line="153" w:lineRule="exact"/>
        <w:rPr>
          <w:rFonts w:ascii="Arial" w:cs="Arial" w:eastAsia="Arial" w:hAnsi="Arial"/>
          <w:sz w:val="18"/>
          <w:szCs w:val="18"/>
          <w:color w:val="auto"/>
        </w:rPr>
      </w:pPr>
    </w:p>
    <w:p>
      <w:pPr>
        <w:jc w:val="both"/>
        <w:ind w:left="200" w:firstLine="1493"/>
        <w:spacing w:after="0" w:line="249" w:lineRule="auto"/>
        <w:tabs>
          <w:tab w:leader="none" w:pos="209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17.9</w:t>
      </w:r>
      <w:r>
        <w:rPr>
          <w:rFonts w:ascii="Arial" w:cs="Arial" w:eastAsia="Arial" w:hAnsi="Arial"/>
          <w:sz w:val="20"/>
          <w:szCs w:val="20"/>
          <w:color w:val="auto"/>
        </w:rPr>
        <w:t>, and</w:t>
      </w:r>
    </w:p>
    <w:p>
      <w:pPr>
        <w:spacing w:after="0" w:line="187" w:lineRule="exact"/>
        <w:rPr>
          <w:rFonts w:ascii="Arial" w:cs="Arial" w:eastAsia="Arial" w:hAnsi="Arial"/>
          <w:sz w:val="20"/>
          <w:szCs w:val="20"/>
          <w:color w:val="auto"/>
        </w:rPr>
      </w:pPr>
    </w:p>
    <w:p>
      <w:pPr>
        <w:jc w:val="both"/>
        <w:ind w:left="200" w:firstLine="1493"/>
        <w:spacing w:after="0" w:line="274" w:lineRule="auto"/>
        <w:tabs>
          <w:tab w:leader="none" w:pos="209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6" w:name="page257"/>
    <w:bookmarkEnd w:id="256"/>
    <w:p>
      <w:pPr>
        <w:ind w:left="200"/>
        <w:spacing w:after="0"/>
        <w:rPr>
          <w:sz w:val="20"/>
          <w:szCs w:val="20"/>
          <w:color w:val="auto"/>
        </w:rPr>
      </w:pPr>
      <w:r>
        <w:rPr>
          <w:rFonts w:ascii="Arial" w:cs="Arial" w:eastAsia="Arial" w:hAnsi="Arial"/>
          <w:sz w:val="20"/>
          <w:szCs w:val="20"/>
          <w:color w:val="auto"/>
        </w:rPr>
        <w:t>or indirect result of any third parties who might obtain all or part of any Report through the indemnifying Lender.</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w:t>
      </w:r>
    </w:p>
    <w:p>
      <w:pPr>
        <w:spacing w:after="0" w:line="3" w:lineRule="exact"/>
        <w:rPr>
          <w:sz w:val="20"/>
          <w:szCs w:val="20"/>
          <w:color w:val="auto"/>
        </w:rPr>
      </w:pPr>
    </w:p>
    <w:p>
      <w:pPr>
        <w:ind w:firstLine="8"/>
        <w:spacing w:after="0" w:line="243" w:lineRule="auto"/>
        <w:tabs>
          <w:tab w:leader="none" w:pos="288"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any time that Agent renders to Borrowers a statement regarding the Loan Account, Agent shall send a copy of such statement to each Lender.</w:t>
      </w:r>
    </w:p>
    <w:p>
      <w:pPr>
        <w:spacing w:after="0" w:line="18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u w:val="single" w:color="auto"/>
          <w:color w:val="auto"/>
        </w:rPr>
        <w:t>15.17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Several Obligations; No Liability</w:t>
      </w:r>
      <w:r>
        <w:rPr>
          <w:rFonts w:ascii="Arial" w:cs="Arial" w:eastAsia="Arial" w:hAnsi="Arial"/>
          <w:sz w:val="18"/>
          <w:szCs w:val="18"/>
          <w:color w:val="auto"/>
        </w:rPr>
        <w:t xml:space="preserve">. Notwithstanding that certain of the Loan Documents now or hereafter may have been or will be executed only by or in favor of Agent in its capacity as such, and not by or in favor of any other member of the Lender Group,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Arial" w:cs="Arial" w:eastAsia="Arial" w:hAnsi="Arial"/>
          <w:sz w:val="18"/>
          <w:szCs w:val="18"/>
          <w:u w:val="single" w:color="auto"/>
          <w:color w:val="auto"/>
        </w:rPr>
        <w:t>Section 15.7</w:t>
      </w:r>
      <w:r>
        <w:rPr>
          <w:rFonts w:ascii="Arial" w:cs="Arial" w:eastAsia="Arial" w:hAnsi="Arial"/>
          <w:sz w:val="18"/>
          <w:szCs w:val="18"/>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17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u w:val="single" w:color="auto"/>
          <w:color w:val="auto"/>
        </w:rPr>
        <w:t>15.18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Joint Lead Arrangers, Joint Book Runners, and Co-Syndication Agents</w:t>
      </w:r>
      <w:r>
        <w:rPr>
          <w:rFonts w:ascii="Arial" w:cs="Arial" w:eastAsia="Arial" w:hAnsi="Arial"/>
          <w:sz w:val="20"/>
          <w:szCs w:val="20"/>
          <w:color w:val="auto"/>
        </w:rPr>
        <w:t>. Each of the Joint Lead Arrangers, Joint Book Runners, and Co-Syndication Agents, in such capacities, shall not have any right, power, obligation, liability, responsibility, or duty under this Agreement other than those applicable to it in its capacity as a Lender, as Agent, as Swing Lender, or as Issuing Bank. Without limiting the foregoing, each of the Joint Lead Arrangers, Joint Book Runners, and Co-Syndication Agents, in such capacities, shall not have or be deemed to have any fiduciary relationship with any member of the Lender Group or any Loan Party. Each Lender, Agent, Swing Lender, Issuing Bank, and each Loan Party acknowledges that it has not relied, and will not rely, on the Joint Lead Arrangers, Joint Book Runners, and Co-Syndication Agents, in deciding to enter into this Agreement or in taking or not taking action hereunder. Each of the Joint Lead Arrangers, Joint Book Runners, and Co-Syndication Agents, in such capacities, shall be entitled to resign at any time by giving notice to Agent and Borrowers.</w:t>
      </w:r>
    </w:p>
    <w:p>
      <w:pPr>
        <w:spacing w:after="0" w:line="192" w:lineRule="exact"/>
        <w:rPr>
          <w:sz w:val="20"/>
          <w:szCs w:val="20"/>
          <w:color w:val="auto"/>
        </w:rPr>
      </w:pPr>
    </w:p>
    <w:p>
      <w:pPr>
        <w:ind w:left="400" w:hanging="392"/>
        <w:spacing w:after="0"/>
        <w:tabs>
          <w:tab w:leader="none" w:pos="400" w:val="left"/>
        </w:tabs>
        <w:numPr>
          <w:ilvl w:val="0"/>
          <w:numId w:val="270"/>
        </w:numPr>
        <w:rPr>
          <w:rFonts w:ascii="Arial" w:cs="Arial" w:eastAsia="Arial" w:hAnsi="Arial"/>
          <w:sz w:val="20"/>
          <w:szCs w:val="20"/>
          <w:color w:val="auto"/>
        </w:rPr>
      </w:pPr>
      <w:r>
        <w:rPr>
          <w:rFonts w:ascii="Arial" w:cs="Arial" w:eastAsia="Arial" w:hAnsi="Arial"/>
          <w:sz w:val="20"/>
          <w:szCs w:val="20"/>
          <w:b w:val="1"/>
          <w:bCs w:val="1"/>
          <w:color w:val="auto"/>
        </w:rPr>
        <w:t>WITHHOLDING TAXES.</w:t>
      </w:r>
    </w:p>
    <w:p>
      <w:pPr>
        <w:spacing w:after="0" w:line="215"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u w:val="single" w:color="auto"/>
          <w:color w:val="auto"/>
        </w:rPr>
        <w:t>16.1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Payments</w:t>
      </w:r>
      <w:r>
        <w:rPr>
          <w:rFonts w:ascii="Arial" w:cs="Arial" w:eastAsia="Arial" w:hAnsi="Arial"/>
          <w:sz w:val="19"/>
          <w:szCs w:val="19"/>
          <w:color w:val="auto"/>
        </w:rPr>
        <w:t>.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7" w:name="page258"/>
    <w:bookmarkEnd w:id="257"/>
    <w:p>
      <w:pPr>
        <w:jc w:val="both"/>
        <w:spacing w:after="0" w:line="269" w:lineRule="auto"/>
        <w:rPr>
          <w:sz w:val="20"/>
          <w:szCs w:val="20"/>
          <w:color w:val="auto"/>
        </w:rPr>
      </w:pPr>
      <w:r>
        <w:rPr>
          <w:rFonts w:ascii="Arial" w:cs="Arial" w:eastAsia="Arial" w:hAnsi="Arial"/>
          <w:sz w:val="18"/>
          <w:szCs w:val="18"/>
          <w:color w:val="auto"/>
        </w:rPr>
        <w:t xml:space="preserve">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(as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(collectively a “</w:t>
      </w:r>
      <w:r>
        <w:rPr>
          <w:rFonts w:ascii="Arial" w:cs="Arial" w:eastAsia="Arial" w:hAnsi="Arial"/>
          <w:sz w:val="18"/>
          <w:szCs w:val="18"/>
          <w:u w:val="single" w:color="auto"/>
          <w:color w:val="auto"/>
        </w:rPr>
        <w:t>Tax Indemnitee</w:t>
      </w:r>
      <w:r>
        <w:rPr>
          <w:rFonts w:ascii="Arial" w:cs="Arial" w:eastAsia="Arial" w:hAnsi="Arial"/>
          <w:sz w:val="18"/>
          <w:szCs w:val="18"/>
          <w:color w:val="auto"/>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survive the termination of this Agreement, the resignation and replacement of the Agent, and the repayment of the Obligations.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16.2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Exemptions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6" w:lineRule="auto"/>
        <w:tabs>
          <w:tab w:leader="none" w:pos="2093" w:val="left"/>
        </w:tabs>
        <w:numPr>
          <w:ilvl w:val="1"/>
          <w:numId w:val="271"/>
        </w:numPr>
        <w:rPr>
          <w:rFonts w:ascii="Arial" w:cs="Arial" w:eastAsia="Arial" w:hAnsi="Arial"/>
          <w:sz w:val="20"/>
          <w:szCs w:val="20"/>
          <w:color w:val="auto"/>
        </w:rPr>
      </w:pPr>
      <w:r>
        <w:rPr>
          <w:rFonts w:ascii="Arial" w:cs="Arial" w:eastAsia="Arial" w:hAnsi="Arial"/>
          <w:sz w:val="20"/>
          <w:szCs w:val="20"/>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Administrative Borrower on behalf of all Borrowers one of the following before receiving its first payment under this Agreement:</w:t>
      </w:r>
    </w:p>
    <w:p>
      <w:pPr>
        <w:spacing w:after="0" w:line="189" w:lineRule="exact"/>
        <w:rPr>
          <w:rFonts w:ascii="Arial" w:cs="Arial" w:eastAsia="Arial" w:hAnsi="Arial"/>
          <w:sz w:val="20"/>
          <w:szCs w:val="20"/>
          <w:color w:val="auto"/>
        </w:rPr>
      </w:pPr>
    </w:p>
    <w:p>
      <w:pPr>
        <w:jc w:val="both"/>
        <w:ind w:left="760" w:firstLine="1494"/>
        <w:spacing w:after="0" w:line="270" w:lineRule="auto"/>
        <w:tabs>
          <w:tab w:leader="none" w:pos="2653" w:val="left"/>
        </w:tabs>
        <w:numPr>
          <w:ilvl w:val="2"/>
          <w:numId w:val="271"/>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any of the Borrowers (within the meaning of Section 871(h)(3)(B) of the IRC), or (iii) a controlled foreign corporation related to Borrowers within the meaning of Section 864(d)</w:t>
      </w:r>
    </w:p>
    <w:p>
      <w:pPr>
        <w:spacing w:after="0" w:line="1" w:lineRule="exact"/>
        <w:rPr>
          <w:rFonts w:ascii="Arial" w:cs="Arial" w:eastAsia="Arial" w:hAnsi="Arial"/>
          <w:sz w:val="18"/>
          <w:szCs w:val="18"/>
          <w:color w:val="auto"/>
        </w:rPr>
      </w:pPr>
    </w:p>
    <w:p>
      <w:pPr>
        <w:ind w:left="760" w:hanging="3"/>
        <w:spacing w:after="0" w:line="243" w:lineRule="auto"/>
        <w:tabs>
          <w:tab w:leader="none" w:pos="1053" w:val="left"/>
        </w:tabs>
        <w:numPr>
          <w:ilvl w:val="0"/>
          <w:numId w:val="272"/>
        </w:numPr>
        <w:rPr>
          <w:rFonts w:ascii="Arial" w:cs="Arial" w:eastAsia="Arial" w:hAnsi="Arial"/>
          <w:sz w:val="20"/>
          <w:szCs w:val="20"/>
          <w:color w:val="auto"/>
        </w:rPr>
      </w:pPr>
      <w:r>
        <w:rPr>
          <w:rFonts w:ascii="Arial" w:cs="Arial" w:eastAsia="Arial" w:hAnsi="Arial"/>
          <w:sz w:val="20"/>
          <w:szCs w:val="20"/>
          <w:color w:val="auto"/>
        </w:rPr>
        <w:t>of the IRC, and (b) a properly completed and executed IRS Form W-8BEN, Form W-8BEN-E or Form W-8IMY (with proper attachments as applicable);</w:t>
      </w:r>
    </w:p>
    <w:p>
      <w:pPr>
        <w:spacing w:after="0" w:line="192" w:lineRule="exact"/>
        <w:rPr>
          <w:rFonts w:ascii="Arial" w:cs="Arial" w:eastAsia="Arial" w:hAnsi="Arial"/>
          <w:sz w:val="20"/>
          <w:szCs w:val="20"/>
          <w:color w:val="auto"/>
        </w:rPr>
      </w:pPr>
    </w:p>
    <w:p>
      <w:pPr>
        <w:ind w:left="760" w:firstLine="1494"/>
        <w:spacing w:after="0" w:line="315" w:lineRule="auto"/>
        <w:tabs>
          <w:tab w:leader="none" w:pos="2653" w:val="left"/>
        </w:tabs>
        <w:numPr>
          <w:ilvl w:val="2"/>
          <w:numId w:val="272"/>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30" w:lineRule="exact"/>
        <w:rPr>
          <w:rFonts w:ascii="Arial" w:cs="Arial" w:eastAsia="Arial" w:hAnsi="Arial"/>
          <w:sz w:val="18"/>
          <w:szCs w:val="18"/>
          <w:color w:val="auto"/>
        </w:rPr>
      </w:pPr>
    </w:p>
    <w:p>
      <w:pPr>
        <w:jc w:val="both"/>
        <w:ind w:left="760" w:firstLine="1494"/>
        <w:spacing w:after="0" w:line="249" w:lineRule="auto"/>
        <w:tabs>
          <w:tab w:leader="none" w:pos="2653" w:val="left"/>
        </w:tabs>
        <w:numPr>
          <w:ilvl w:val="2"/>
          <w:numId w:val="272"/>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87" w:lineRule="exact"/>
        <w:rPr>
          <w:rFonts w:ascii="Arial" w:cs="Arial" w:eastAsia="Arial" w:hAnsi="Arial"/>
          <w:sz w:val="20"/>
          <w:szCs w:val="20"/>
          <w:color w:val="auto"/>
        </w:rPr>
      </w:pPr>
    </w:p>
    <w:p>
      <w:pPr>
        <w:jc w:val="both"/>
        <w:ind w:left="760" w:firstLine="1494"/>
        <w:spacing w:after="0" w:line="282" w:lineRule="auto"/>
        <w:tabs>
          <w:tab w:leader="none" w:pos="2653" w:val="left"/>
        </w:tabs>
        <w:numPr>
          <w:ilvl w:val="2"/>
          <w:numId w:val="272"/>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8" w:name="page259"/>
    <w:bookmarkEnd w:id="258"/>
    <w:p>
      <w:pPr>
        <w:jc w:val="both"/>
        <w:ind w:left="560" w:right="20" w:firstLine="1494"/>
        <w:spacing w:after="0" w:line="249" w:lineRule="auto"/>
        <w:tabs>
          <w:tab w:leader="none" w:pos="2453" w:val="left"/>
        </w:tabs>
        <w:numPr>
          <w:ilvl w:val="1"/>
          <w:numId w:val="273"/>
        </w:numPr>
        <w:rPr>
          <w:rFonts w:ascii="Arial" w:cs="Arial" w:eastAsia="Arial" w:hAnsi="Arial"/>
          <w:sz w:val="20"/>
          <w:szCs w:val="20"/>
          <w:color w:val="auto"/>
        </w:rPr>
      </w:pPr>
      <w:r>
        <w:rPr>
          <w:rFonts w:ascii="Arial" w:cs="Arial" w:eastAsia="Arial" w:hAnsi="Arial"/>
          <w:sz w:val="20"/>
          <w:szCs w:val="20"/>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87" w:lineRule="exact"/>
        <w:rPr>
          <w:rFonts w:ascii="Arial" w:cs="Arial" w:eastAsia="Arial" w:hAnsi="Arial"/>
          <w:sz w:val="20"/>
          <w:szCs w:val="20"/>
          <w:color w:val="auto"/>
        </w:rPr>
      </w:pPr>
    </w:p>
    <w:p>
      <w:pPr>
        <w:jc w:val="both"/>
        <w:ind w:firstLine="1493"/>
        <w:spacing w:after="0" w:line="290" w:lineRule="auto"/>
        <w:tabs>
          <w:tab w:leader="none" w:pos="189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Lender or Participant shall provide new forms (or successor forms) upon the expiration or obsolescence of any previously delivered forms and to promptly notify Agent and Administrative Borrower (or, in the case of a Participant, to the Lender granting the participation only) of any change in circumstances which would modify or render invalid any claimed exemption or reduction.</w:t>
      </w:r>
    </w:p>
    <w:p>
      <w:pPr>
        <w:spacing w:after="0" w:line="153" w:lineRule="exact"/>
        <w:rPr>
          <w:rFonts w:ascii="Arial" w:cs="Arial" w:eastAsia="Arial" w:hAnsi="Arial"/>
          <w:sz w:val="18"/>
          <w:szCs w:val="18"/>
          <w:color w:val="auto"/>
        </w:rPr>
      </w:pPr>
    </w:p>
    <w:p>
      <w:pPr>
        <w:jc w:val="both"/>
        <w:ind w:firstLine="1493"/>
        <w:spacing w:after="0" w:line="270" w:lineRule="auto"/>
        <w:tabs>
          <w:tab w:leader="none" w:pos="189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Administrative Borrower (or, in the case of a Participant, to the Lender granting the participation only) of any change in circumstances which would modify or render invalid any claimed exemption or reduction.</w:t>
      </w:r>
    </w:p>
    <w:p>
      <w:pPr>
        <w:spacing w:after="0" w:line="175" w:lineRule="exact"/>
        <w:rPr>
          <w:rFonts w:ascii="Arial" w:cs="Arial" w:eastAsia="Arial" w:hAnsi="Arial"/>
          <w:sz w:val="18"/>
          <w:szCs w:val="18"/>
          <w:color w:val="auto"/>
        </w:rPr>
      </w:pPr>
    </w:p>
    <w:p>
      <w:pPr>
        <w:jc w:val="both"/>
        <w:ind w:firstLine="1493"/>
        <w:spacing w:after="0" w:line="255" w:lineRule="auto"/>
        <w:tabs>
          <w:tab w:leader="none" w:pos="1893"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to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Arial" w:cs="Arial" w:eastAsia="Arial" w:hAnsi="Arial"/>
          <w:sz w:val="19"/>
          <w:szCs w:val="19"/>
          <w:u w:val="single" w:color="auto"/>
          <w:color w:val="auto"/>
        </w:rPr>
        <w:t>Section 16.2(a)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16.2(c)</w:t>
      </w:r>
      <w:r>
        <w:rPr>
          <w:rFonts w:ascii="Arial" w:cs="Arial" w:eastAsia="Arial" w:hAnsi="Arial"/>
          <w:sz w:val="19"/>
          <w:szCs w:val="19"/>
          <w:color w:val="auto"/>
        </w:rPr>
        <w:t xml:space="preserve"> as no longer valid. With respect to such percentage amount, such Participant or Assignee may provide new documentation, pursuant to </w:t>
      </w:r>
      <w:r>
        <w:rPr>
          <w:rFonts w:ascii="Arial" w:cs="Arial" w:eastAsia="Arial" w:hAnsi="Arial"/>
          <w:sz w:val="19"/>
          <w:szCs w:val="19"/>
          <w:u w:val="single" w:color="auto"/>
          <w:color w:val="auto"/>
        </w:rPr>
        <w:t>Section 16.2(a)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16.2(c)</w:t>
      </w:r>
      <w:r>
        <w:rPr>
          <w:rFonts w:ascii="Arial" w:cs="Arial" w:eastAsia="Arial" w:hAnsi="Arial"/>
          <w:sz w:val="19"/>
          <w:szCs w:val="19"/>
          <w:color w:val="auto"/>
        </w:rPr>
        <w:t xml:space="preserve">, if applicable. Borrowers agree that each Participant shall be entitled to the benefits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amount than the participating Lender would be entitled in the absence of such participation.</w:t>
      </w:r>
    </w:p>
    <w:p>
      <w:pPr>
        <w:spacing w:after="0" w:line="183" w:lineRule="exact"/>
        <w:rPr>
          <w:rFonts w:ascii="Arial" w:cs="Arial" w:eastAsia="Arial" w:hAnsi="Arial"/>
          <w:sz w:val="19"/>
          <w:szCs w:val="19"/>
          <w:color w:val="auto"/>
        </w:rPr>
      </w:pPr>
    </w:p>
    <w:p>
      <w:pPr>
        <w:jc w:val="both"/>
        <w:ind w:firstLine="1493"/>
        <w:spacing w:after="0" w:line="256" w:lineRule="auto"/>
        <w:tabs>
          <w:tab w:leader="none" w:pos="1893" w:val="left"/>
        </w:tabs>
        <w:numPr>
          <w:ilvl w:val="0"/>
          <w:numId w:val="27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w:t>
      </w: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59" w:name="page260"/>
    <w:bookmarkEnd w:id="259"/>
    <w:p>
      <w:pPr>
        <w:ind w:left="200"/>
        <w:spacing w:after="0" w:line="286" w:lineRule="auto"/>
        <w:rPr>
          <w:sz w:val="20"/>
          <w:szCs w:val="20"/>
          <w:color w:val="auto"/>
        </w:rPr>
      </w:pPr>
      <w:r>
        <w:rPr>
          <w:rFonts w:ascii="Arial" w:cs="Arial" w:eastAsia="Arial" w:hAnsi="Arial"/>
          <w:sz w:val="19"/>
          <w:szCs w:val="19"/>
          <w:color w:val="auto"/>
        </w:rPr>
        <w:t>complied with such Lender’s obligations under FATCA or to determine the amount to deduct and withhold from such payment. Solely for purposes of this clause (e), “FATCA” shall include any amendments made to FATCA after the date of this Agreement.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16.3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Reductions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43" w:lineRule="auto"/>
        <w:tabs>
          <w:tab w:leader="none" w:pos="2093"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20"/>
          <w:szCs w:val="20"/>
          <w:u w:val="single" w:color="auto"/>
          <w:color w:val="auto"/>
        </w:rPr>
        <w:t>Section 16.2(a)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16.2(c)</w:t>
      </w:r>
      <w:r>
        <w:rPr>
          <w:rFonts w:ascii="Arial" w:cs="Arial" w:eastAsia="Arial" w:hAnsi="Arial"/>
          <w:sz w:val="20"/>
          <w:szCs w:val="20"/>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94" w:lineRule="exact"/>
        <w:rPr>
          <w:rFonts w:ascii="Arial" w:cs="Arial" w:eastAsia="Arial" w:hAnsi="Arial"/>
          <w:sz w:val="20"/>
          <w:szCs w:val="20"/>
          <w:color w:val="auto"/>
        </w:rPr>
      </w:pPr>
    </w:p>
    <w:p>
      <w:pPr>
        <w:jc w:val="both"/>
        <w:ind w:left="200" w:firstLine="1493"/>
        <w:spacing w:after="0" w:line="270" w:lineRule="auto"/>
        <w:tabs>
          <w:tab w:leader="none" w:pos="209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7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u w:val="single" w:color="auto"/>
          <w:color w:val="auto"/>
        </w:rPr>
        <w:t>16.4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Refunds</w:t>
      </w:r>
      <w:r>
        <w:rPr>
          <w:rFonts w:ascii="Arial" w:cs="Arial" w:eastAsia="Arial" w:hAnsi="Arial"/>
          <w:sz w:val="18"/>
          <w:szCs w:val="18"/>
          <w:color w:val="auto"/>
        </w:rPr>
        <w:t xml:space="preserve">. If Agent or a Lender determines, in its sole discretion, that it has received a refund of any Indemnified Taxes to which the Loan Parties have paid additional amounts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so long as no Default or Event of Default has occurred and is continuing, it shall pay over such refund to the Administrative Borrower on behalf of the Loan Parties (but only to the extent of payments made, or additional amounts paid, by the Loan Parties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8"/>
          <w:szCs w:val="18"/>
          <w:u w:val="single" w:color="auto"/>
          <w:color w:val="auto"/>
        </w:rPr>
        <w:t>provided</w:t>
      </w:r>
      <w:r>
        <w:rPr>
          <w:rFonts w:ascii="Arial" w:cs="Arial" w:eastAsia="Arial" w:hAnsi="Arial"/>
          <w:sz w:val="18"/>
          <w:szCs w:val="18"/>
          <w:color w:val="auto"/>
        </w:rPr>
        <w:t>, that the Loan Parties, upon the request of Agent or such Lender, agrees to repay the amount paid over to the Loan Parties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8"/>
          <w:szCs w:val="18"/>
          <w:u w:val="single" w:color="auto"/>
          <w:color w:val="auto"/>
        </w:rPr>
        <w:t>Section 16.4</w:t>
      </w:r>
      <w:r>
        <w:rPr>
          <w:rFonts w:ascii="Arial" w:cs="Arial" w:eastAsia="Arial" w:hAnsi="Arial"/>
          <w:sz w:val="18"/>
          <w:szCs w:val="18"/>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0" w:name="page261"/>
    <w:bookmarkEnd w:id="260"/>
    <w:p>
      <w:pPr>
        <w:jc w:val="both"/>
        <w:ind w:firstLine="749"/>
        <w:spacing w:after="0" w:line="275" w:lineRule="auto"/>
        <w:rPr>
          <w:sz w:val="20"/>
          <w:szCs w:val="20"/>
          <w:color w:val="auto"/>
        </w:rPr>
      </w:pPr>
      <w:r>
        <w:rPr>
          <w:rFonts w:ascii="Arial" w:cs="Arial" w:eastAsia="Arial" w:hAnsi="Arial"/>
          <w:sz w:val="18"/>
          <w:szCs w:val="18"/>
          <w:u w:val="single" w:color="auto"/>
          <w:color w:val="auto"/>
        </w:rPr>
        <w:t>16.5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Designation of a Different Lending Office</w:t>
      </w:r>
      <w:r>
        <w:rPr>
          <w:rFonts w:ascii="Arial" w:cs="Arial" w:eastAsia="Arial" w:hAnsi="Arial"/>
          <w:sz w:val="18"/>
          <w:szCs w:val="18"/>
          <w:color w:val="auto"/>
        </w:rPr>
        <w:t xml:space="preserve">. If any Lender requires the Borrowers to pay any Indemnified Taxes or additional amounts to any Lender or any Governmental Authority for the account of any Lender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60" w:lineRule="exact"/>
        <w:rPr>
          <w:sz w:val="20"/>
          <w:szCs w:val="20"/>
          <w:color w:val="auto"/>
        </w:rPr>
      </w:pPr>
    </w:p>
    <w:p>
      <w:pPr>
        <w:ind w:left="400" w:hanging="392"/>
        <w:spacing w:after="0"/>
        <w:tabs>
          <w:tab w:leader="none" w:pos="400" w:val="left"/>
        </w:tabs>
        <w:numPr>
          <w:ilvl w:val="0"/>
          <w:numId w:val="276"/>
        </w:numPr>
        <w:rPr>
          <w:rFonts w:ascii="Arial" w:cs="Arial" w:eastAsia="Arial" w:hAnsi="Arial"/>
          <w:sz w:val="20"/>
          <w:szCs w:val="20"/>
          <w:color w:val="auto"/>
        </w:rPr>
      </w:pPr>
      <w:r>
        <w:rPr>
          <w:rFonts w:ascii="Arial" w:cs="Arial" w:eastAsia="Arial" w:hAnsi="Arial"/>
          <w:sz w:val="20"/>
          <w:szCs w:val="20"/>
          <w:b w:val="1"/>
          <w:bCs w:val="1"/>
          <w:color w:val="auto"/>
        </w:rPr>
        <w:t>GENERAL PROVISIONS.</w:t>
      </w:r>
    </w:p>
    <w:p>
      <w:pPr>
        <w:spacing w:after="0" w:line="2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u w:val="single" w:color="auto"/>
          <w:color w:val="auto"/>
        </w:rPr>
        <w:t>17.1</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This Agreement shall be binding and deemed effective when executed by Parent, each Borrower, Agent, and each Lender whose signature is provided for on the signature pages hereof.</w:t>
      </w:r>
    </w:p>
    <w:p>
      <w:pPr>
        <w:spacing w:after="0" w:line="16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u w:val="single" w:color="auto"/>
          <w:color w:val="auto"/>
        </w:rPr>
        <w:t>17.2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Section Headings</w:t>
      </w:r>
      <w:r>
        <w:rPr>
          <w:rFonts w:ascii="Arial" w:cs="Arial" w:eastAsia="Arial" w:hAnsi="Arial"/>
          <w:sz w:val="20"/>
          <w:szCs w:val="20"/>
          <w:color w:val="auto"/>
        </w:rPr>
        <w:t>. Headings and numbers have been set forth herein for convenience only. Unless the contrary is compelled by the context, everything contained in each Section applies equally to this entire Agreement.</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u w:val="single" w:color="auto"/>
          <w:color w:val="auto"/>
        </w:rPr>
        <w:t>17.3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Interpretation</w:t>
      </w:r>
      <w:r>
        <w:rPr>
          <w:rFonts w:ascii="Arial" w:cs="Arial" w:eastAsia="Arial" w:hAnsi="Arial"/>
          <w:sz w:val="20"/>
          <w:szCs w:val="20"/>
          <w:color w:val="auto"/>
        </w:rPr>
        <w:t>. Neither this Agreement nor any uncertainty or ambiguity herein shall be construed against the Lender Group or Parent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8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20"/>
          <w:szCs w:val="20"/>
          <w:u w:val="single" w:color="auto"/>
          <w:color w:val="auto"/>
        </w:rPr>
        <w:t>17.4</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Severability of Provisions</w:t>
      </w:r>
      <w:r>
        <w:rPr>
          <w:rFonts w:ascii="Arial" w:cs="Arial" w:eastAsia="Arial" w:hAnsi="Arial"/>
          <w:sz w:val="20"/>
          <w:szCs w:val="20"/>
          <w:color w:val="auto"/>
        </w:rPr>
        <w:t>. Each provision of this Agreement shall be severable from every other provision of this Agreement for the purpose of determining the legal enforceability of any specific provision.</w:t>
      </w:r>
    </w:p>
    <w:p>
      <w:pPr>
        <w:spacing w:after="0" w:line="16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u w:val="single" w:color="auto"/>
          <w:color w:val="auto"/>
        </w:rPr>
        <w:t>17.5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Bank Product Providers</w:t>
      </w:r>
      <w:r>
        <w:rPr>
          <w:rFonts w:ascii="Arial" w:cs="Arial" w:eastAsia="Arial" w:hAnsi="Arial"/>
          <w:sz w:val="19"/>
          <w:szCs w:val="19"/>
          <w:color w:val="auto"/>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release, increase, or decrease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1" w:name="page262"/>
    <w:bookmarkEnd w:id="261"/>
    <w:p>
      <w:pPr>
        <w:jc w:val="both"/>
        <w:spacing w:after="0" w:line="271" w:lineRule="auto"/>
        <w:rPr>
          <w:sz w:val="20"/>
          <w:szCs w:val="20"/>
          <w:color w:val="auto"/>
        </w:rPr>
      </w:pPr>
      <w:r>
        <w:rPr>
          <w:rFonts w:ascii="Arial" w:cs="Arial" w:eastAsia="Arial" w:hAnsi="Arial"/>
          <w:sz w:val="18"/>
          <w:szCs w:val="18"/>
          <w:color w:val="auto"/>
        </w:rPr>
        <w:t>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6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u w:val="single" w:color="auto"/>
          <w:color w:val="auto"/>
        </w:rPr>
        <w:t>17.6</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Debtor-Creditor Relationship</w:t>
      </w:r>
      <w:r>
        <w:rPr>
          <w:rFonts w:ascii="Arial" w:cs="Arial" w:eastAsia="Arial" w:hAnsi="Arial"/>
          <w:sz w:val="19"/>
          <w:szCs w:val="19"/>
          <w:color w:val="auto"/>
        </w:rPr>
        <w:t>. The relationship between the Lender Group and its members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6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u w:val="single" w:color="auto"/>
          <w:color w:val="auto"/>
        </w:rPr>
        <w:t>17.7</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Counterparts; Electronic Execution</w:t>
      </w:r>
      <w:r>
        <w:rPr>
          <w:rFonts w:ascii="Arial" w:cs="Arial" w:eastAsia="Arial" w:hAnsi="Arial"/>
          <w:sz w:val="19"/>
          <w:szCs w:val="19"/>
          <w:color w:val="auto"/>
        </w:rPr>
        <w:t xml:space="preserve">. This Agreement may be executed in any number of counterparts and by different parties on separate counterparts, each of which, when executed and delivered, shall be deemed to be an original, and all of which, when taken together, shall constitute but one and the same Agreement.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 The foregoing shall apply to each other Loan Document, and any notice delivered hereunder or thereunder,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17.8</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Revival and Reinstatement of Obligations; Certain Waivers</w:t>
      </w:r>
      <w:r>
        <w:rPr>
          <w:rFonts w:ascii="Arial" w:cs="Arial" w:eastAsia="Arial" w:hAnsi="Arial"/>
          <w:sz w:val="20"/>
          <w:szCs w:val="20"/>
          <w:color w:val="auto"/>
        </w:rPr>
        <w:t>.</w:t>
      </w:r>
    </w:p>
    <w:p>
      <w:pPr>
        <w:spacing w:after="0" w:line="221" w:lineRule="exact"/>
        <w:rPr>
          <w:sz w:val="20"/>
          <w:szCs w:val="20"/>
          <w:color w:val="auto"/>
        </w:rPr>
      </w:pPr>
    </w:p>
    <w:p>
      <w:pPr>
        <w:jc w:val="both"/>
        <w:ind w:left="200" w:firstLine="1493"/>
        <w:spacing w:after="0" w:line="256" w:lineRule="auto"/>
        <w:tabs>
          <w:tab w:leader="none" w:pos="2093" w:val="left"/>
        </w:tabs>
        <w:numPr>
          <w:ilvl w:val="0"/>
          <w:numId w:val="277"/>
        </w:numPr>
        <w:rPr>
          <w:rFonts w:ascii="Arial" w:cs="Arial" w:eastAsia="Arial" w:hAnsi="Arial"/>
          <w:sz w:val="19"/>
          <w:szCs w:val="19"/>
          <w:color w:val="auto"/>
        </w:rPr>
      </w:pPr>
      <w:r>
        <w:rPr>
          <w:rFonts w:ascii="Arial" w:cs="Arial" w:eastAsia="Arial" w:hAnsi="Arial"/>
          <w:sz w:val="19"/>
          <w:szCs w:val="19"/>
          <w:color w:val="auto"/>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Arial" w:cs="Arial" w:eastAsia="Arial" w:hAnsi="Arial"/>
          <w:sz w:val="19"/>
          <w:szCs w:val="19"/>
          <w:u w:val="single" w:color="auto"/>
          <w:color w:val="auto"/>
        </w:rPr>
        <w:t>Voidable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w:t>
      </w:r>
      <w:r>
        <w:rPr>
          <w:rFonts w:ascii="Arial" w:cs="Arial" w:eastAsia="Arial" w:hAnsi="Arial"/>
          <w:sz w:val="19"/>
          <w:szCs w:val="19"/>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2" w:name="page263"/>
    <w:bookmarkEnd w:id="262"/>
    <w:p>
      <w:pPr>
        <w:jc w:val="both"/>
        <w:spacing w:after="0" w:line="255" w:lineRule="auto"/>
        <w:rPr>
          <w:sz w:val="20"/>
          <w:szCs w:val="20"/>
          <w:color w:val="auto"/>
        </w:rPr>
      </w:pPr>
      <w:r>
        <w:rPr>
          <w:rFonts w:ascii="Arial" w:cs="Arial" w:eastAsia="Arial" w:hAnsi="Arial"/>
          <w:sz w:val="19"/>
          <w:szCs w:val="19"/>
          <w:color w:val="auto"/>
        </w:rPr>
        <w:t>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spacing w:after="0" w:line="187" w:lineRule="exact"/>
        <w:rPr>
          <w:sz w:val="20"/>
          <w:szCs w:val="20"/>
          <w:color w:val="auto"/>
        </w:rPr>
      </w:pPr>
    </w:p>
    <w:p>
      <w:pPr>
        <w:ind w:left="1880" w:hanging="387"/>
        <w:spacing w:after="0"/>
        <w:tabs>
          <w:tab w:leader="none" w:pos="18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[Reserved].</w:t>
      </w:r>
    </w:p>
    <w:p>
      <w:pPr>
        <w:spacing w:after="0" w:line="208"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0"/>
          <w:szCs w:val="20"/>
          <w:u w:val="single" w:color="auto"/>
          <w:color w:val="auto"/>
        </w:rPr>
        <w:t>17.9</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w:t>
      </w:r>
    </w:p>
    <w:p>
      <w:pPr>
        <w:spacing w:after="0" w:line="221" w:lineRule="exact"/>
        <w:rPr>
          <w:sz w:val="20"/>
          <w:szCs w:val="20"/>
          <w:color w:val="auto"/>
        </w:rPr>
      </w:pPr>
    </w:p>
    <w:p>
      <w:pPr>
        <w:jc w:val="both"/>
        <w:ind w:firstLine="1493"/>
        <w:spacing w:after="0" w:line="267" w:lineRule="auto"/>
        <w:tabs>
          <w:tab w:leader="none" w:pos="189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Arial" w:cs="Arial" w:eastAsia="Arial" w:hAnsi="Arial"/>
          <w:sz w:val="18"/>
          <w:szCs w:val="18"/>
          <w:u w:val="single" w:color="auto"/>
          <w:color w:val="auto"/>
        </w:rPr>
        <w:t>Lender Group Representatives</w:t>
      </w:r>
      <w:r>
        <w:rPr>
          <w:rFonts w:ascii="Arial" w:cs="Arial" w:eastAsia="Arial" w:hAnsi="Arial"/>
          <w:sz w:val="18"/>
          <w:szCs w:val="18"/>
          <w:color w:val="auto"/>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Subsidiary or Affiliate shall have agreed to receive such information hereunder subject to the terms of this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actual or proposed assignment, participation or pledge of any Lender’s interest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receipt of Confidential Information any such assignee, participant, or pledgee shall have agreed in writing to receive such Confidential Information either subject to the terms of this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or pursuant to confidentiality requirements substantially similar to those contained in this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(and such Person may disclose such Confidential Information to Persons employed or engaged by</w:t>
      </w:r>
    </w:p>
    <w:p>
      <w:pPr>
        <w:spacing w:after="0" w:line="200" w:lineRule="exact"/>
        <w:rPr>
          <w:sz w:val="20"/>
          <w:szCs w:val="20"/>
          <w:color w:val="auto"/>
        </w:rPr>
      </w:pP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63" w:name="page264"/>
    <w:bookmarkEnd w:id="263"/>
    <w:p>
      <w:pPr>
        <w:jc w:val="both"/>
        <w:ind w:left="200"/>
        <w:spacing w:after="0" w:line="257" w:lineRule="auto"/>
        <w:rPr>
          <w:sz w:val="20"/>
          <w:szCs w:val="20"/>
          <w:color w:val="auto"/>
        </w:rPr>
      </w:pPr>
      <w:r>
        <w:rPr>
          <w:rFonts w:ascii="Arial" w:cs="Arial" w:eastAsia="Arial" w:hAnsi="Arial"/>
          <w:sz w:val="19"/>
          <w:szCs w:val="19"/>
          <w:color w:val="auto"/>
        </w:rPr>
        <w:t xml:space="preserve">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spacing w:after="0" w:line="183" w:lineRule="exact"/>
        <w:rPr>
          <w:sz w:val="20"/>
          <w:szCs w:val="20"/>
          <w:color w:val="auto"/>
        </w:rPr>
      </w:pPr>
    </w:p>
    <w:p>
      <w:pPr>
        <w:jc w:val="both"/>
        <w:ind w:left="200" w:firstLine="1493"/>
        <w:spacing w:after="0" w:line="243" w:lineRule="auto"/>
        <w:tabs>
          <w:tab w:leader="none" w:pos="2093"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the Agent.</w:t>
      </w:r>
    </w:p>
    <w:p>
      <w:pPr>
        <w:spacing w:after="0" w:line="194" w:lineRule="exact"/>
        <w:rPr>
          <w:rFonts w:ascii="Arial" w:cs="Arial" w:eastAsia="Arial" w:hAnsi="Arial"/>
          <w:sz w:val="20"/>
          <w:szCs w:val="20"/>
          <w:color w:val="auto"/>
        </w:rPr>
      </w:pPr>
    </w:p>
    <w:p>
      <w:pPr>
        <w:jc w:val="both"/>
        <w:ind w:left="200" w:firstLine="1493"/>
        <w:spacing w:after="0" w:line="268" w:lineRule="auto"/>
        <w:tabs>
          <w:tab w:leader="none" w:pos="209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Loan Party agrees that Agent may make available to members of the Lender Group materials and information provided by or on behalf of Parent and its Subsidiaries in connection with this Agreement or the other Loan Documents or any Bank Product Agreements or the transactions contemplated hereby or thereby or in connection with any Bank Product Obligations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or a substantially similar secure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 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w:t>
      </w:r>
      <w:r>
        <w:rPr>
          <w:rFonts w:ascii="Arial" w:cs="Arial" w:eastAsia="Arial" w:hAnsi="Arial"/>
          <w:sz w:val="18"/>
          <w:szCs w:val="18"/>
          <w:i w:val="1"/>
          <w:iCs w:val="1"/>
          <w:color w:val="auto"/>
        </w:rPr>
        <w:t>i.e.</w:t>
      </w:r>
      <w:r>
        <w:rPr>
          <w:rFonts w:ascii="Arial" w:cs="Arial" w:eastAsia="Arial" w:hAnsi="Arial"/>
          <w:sz w:val="18"/>
          <w:szCs w:val="18"/>
          <w:color w:val="auto"/>
        </w:rPr>
        <w:t>, Lenders that do not wish to receive material non-public information with respect to the Loan Parties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170"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u w:val="single" w:color="auto"/>
          <w:color w:val="auto"/>
        </w:rPr>
        <w:t>17.10</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4" w:name="page265"/>
    <w:bookmarkEnd w:id="264"/>
    <w:p>
      <w:pPr>
        <w:jc w:val="both"/>
        <w:spacing w:after="0" w:line="263" w:lineRule="auto"/>
        <w:rPr>
          <w:sz w:val="20"/>
          <w:szCs w:val="20"/>
          <w:color w:val="auto"/>
        </w:rPr>
      </w:pPr>
      <w:r>
        <w:rPr>
          <w:rFonts w:ascii="Arial" w:cs="Arial" w:eastAsia="Arial" w:hAnsi="Arial"/>
          <w:sz w:val="19"/>
          <w:szCs w:val="19"/>
          <w:color w:val="auto"/>
        </w:rPr>
        <w:t>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16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 xml:space="preserve">17.11 </w:t>
      </w:r>
      <w:r>
        <w:rPr>
          <w:rFonts w:ascii="Arial" w:cs="Arial" w:eastAsia="Arial" w:hAnsi="Arial"/>
          <w:sz w:val="20"/>
          <w:szCs w:val="20"/>
          <w:b w:val="1"/>
          <w:bCs w:val="1"/>
          <w:color w:val="auto"/>
        </w:rPr>
        <w:t>Patriot Act; Certain Additional Due Diligence</w:t>
      </w:r>
      <w:r>
        <w:rPr>
          <w:rFonts w:ascii="Arial" w:cs="Arial" w:eastAsia="Arial" w:hAnsi="Arial"/>
          <w:sz w:val="20"/>
          <w:szCs w:val="20"/>
          <w:color w:val="auto"/>
        </w:rPr>
        <w:t>. 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-468630</wp:posOffset>
            </wp:positionV>
            <wp:extent cx="30619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7">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line="16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u w:val="single" w:color="auto"/>
          <w:color w:val="auto"/>
        </w:rPr>
        <w:t>17.12</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Integration</w:t>
      </w:r>
      <w:r>
        <w:rPr>
          <w:rFonts w:ascii="Arial" w:cs="Arial" w:eastAsia="Arial" w:hAnsi="Arial"/>
          <w:sz w:val="20"/>
          <w:szCs w:val="20"/>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88"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b w:val="1"/>
          <w:bCs w:val="1"/>
          <w:color w:val="auto"/>
        </w:rPr>
        <w:t>Parent as Agent for Borrowers</w:t>
      </w:r>
      <w:r>
        <w:rPr>
          <w:rFonts w:ascii="Arial" w:cs="Arial" w:eastAsia="Arial" w:hAnsi="Arial"/>
          <w:sz w:val="18"/>
          <w:szCs w:val="18"/>
          <w:color w:val="auto"/>
        </w:rPr>
        <w:t>. Each Borrower hereby irrevocably appoints Parent as the borrowing agent and attorney-in-fact for all Borrowers (the “</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and (c) to take such action as the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(which in the case of legal fees shall be limited to the attorneys’ fees of one outside counsel to all members of the Lender Group taken as a whole and one local counsel to all members of the Lender Group taken as a whole in each relevant jurisdiction (which may include a single counsel acting in multiple jurisdictions) (and, solely in the case of an actual or perceived conflict of interest where the indemnitee affected by such conflict of interest has informed Parent in writing of such conflict and thereafter retains its own counsel, one additional counsel in each relevant jurisdiction to each group of Lender Group members similarly situated taken as a whole, and, in all cases excluding, for the avoidance of doubt, the allocated costs of internal counsel)), made against the Lender Group by any Borrower or by any third party whosoever, arising from or incurred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-3387725</wp:posOffset>
            </wp:positionV>
            <wp:extent cx="22860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8">
                      <a:extLst>
                        <a:ext uri="{28A0092B-C50C-407E-A947-70E740481C1C}"/>
                      </a:extLst>
                    </a:blip>
                    <a:srcRect/>
                    <a:stretch>
                      <a:fillRect/>
                    </a:stretch>
                  </pic:blipFill>
                  <pic:spPr bwMode="auto">
                    <a:xfrm>
                      <a:off x="0" y="0"/>
                      <a:ext cx="228600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5" w:name="page266"/>
    <w:bookmarkEnd w:id="265"/>
    <w:p>
      <w:pPr>
        <w:jc w:val="both"/>
        <w:spacing w:after="0" w:line="274" w:lineRule="auto"/>
        <w:rPr>
          <w:sz w:val="20"/>
          <w:szCs w:val="20"/>
          <w:color w:val="auto"/>
        </w:rPr>
      </w:pPr>
      <w:r>
        <w:rPr>
          <w:rFonts w:ascii="Arial" w:cs="Arial" w:eastAsia="Arial" w:hAnsi="Arial"/>
          <w:sz w:val="18"/>
          <w:szCs w:val="18"/>
          <w:color w:val="auto"/>
        </w:rPr>
        <w:t>reason of (i) the handling of the Loan Account and Collateral of Borrowers as herein provided, or (ii) the Lender Group’s relying on any instructions of the Administrative Borrower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that Borrowers will have no liability to the relevant Agent-Related Person or Lender-Related Person under this </w:t>
      </w:r>
      <w:r>
        <w:rPr>
          <w:rFonts w:ascii="Arial" w:cs="Arial" w:eastAsia="Arial" w:hAnsi="Arial"/>
          <w:sz w:val="18"/>
          <w:szCs w:val="18"/>
          <w:u w:val="single" w:color="auto"/>
          <w:color w:val="auto"/>
        </w:rPr>
        <w:t>Section 17.13</w:t>
      </w:r>
      <w:r>
        <w:rPr>
          <w:rFonts w:ascii="Arial" w:cs="Arial" w:eastAsia="Arial" w:hAnsi="Arial"/>
          <w:sz w:val="18"/>
          <w:szCs w:val="18"/>
          <w:color w:val="auto"/>
        </w:rPr>
        <w:t xml:space="preserve"> with respect to any liability that has been finally determined by a court of competent jurisdiction to have resulted solely from the gross negligence, bad faith, or willful misconduct of, or a material breach of its obligations under any Loan Document by, such Agent-Related Person or Lender-Related Person, as the case may be, or any disputes solely between or among Agent-Related Persons and/or Lender-Related Persons that do not involve any acts or omissions of any Loan Party, other than claims against Wells Fargo or any of its Affiliates or any of their respective Agent-Related Persons or Lender-Related Persons, as applicable.</w:t>
      </w:r>
    </w:p>
    <w:p>
      <w:pPr>
        <w:spacing w:after="0" w:line="16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17.14 </w:t>
      </w:r>
      <w:r>
        <w:rPr>
          <w:rFonts w:ascii="Arial" w:cs="Arial" w:eastAsia="Arial" w:hAnsi="Arial"/>
          <w:sz w:val="20"/>
          <w:szCs w:val="20"/>
          <w:b w:val="1"/>
          <w:bCs w:val="1"/>
          <w:color w:val="auto"/>
        </w:rPr>
        <w:t>Acknowledgement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-613410</wp:posOffset>
            </wp:positionV>
            <wp:extent cx="479552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0">
                      <a:extLst>
                        <a:ext uri="{28A0092B-C50C-407E-A947-70E740481C1C}"/>
                      </a:extLst>
                    </a:blip>
                    <a:srcRect/>
                    <a:stretch>
                      <a:fillRect/>
                    </a:stretch>
                  </pic:blipFill>
                  <pic:spPr bwMode="auto">
                    <a:xfrm>
                      <a:off x="0" y="0"/>
                      <a:ext cx="4795520" cy="8255"/>
                    </a:xfrm>
                    <a:prstGeom prst="rect">
                      <a:avLst/>
                    </a:prstGeom>
                    <a:noFill/>
                  </pic:spPr>
                </pic:pic>
              </a:graphicData>
            </a:graphic>
          </wp:anchor>
        </w:drawing>
      </w:r>
    </w:p>
    <w:p>
      <w:pPr>
        <w:spacing w:after="0" w:line="169" w:lineRule="exact"/>
        <w:rPr>
          <w:sz w:val="20"/>
          <w:szCs w:val="20"/>
          <w:color w:val="auto"/>
        </w:rPr>
      </w:pPr>
    </w:p>
    <w:p>
      <w:pPr>
        <w:ind w:left="200" w:right="20" w:firstLine="1493"/>
        <w:spacing w:after="0" w:line="286" w:lineRule="auto"/>
        <w:tabs>
          <w:tab w:leader="none" w:pos="2093"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3" w:lineRule="exact"/>
        <w:rPr>
          <w:rFonts w:ascii="Arial" w:cs="Arial" w:eastAsia="Arial" w:hAnsi="Arial"/>
          <w:sz w:val="19"/>
          <w:szCs w:val="19"/>
          <w:color w:val="auto"/>
        </w:rPr>
      </w:pPr>
    </w:p>
    <w:p>
      <w:pPr>
        <w:ind w:left="2080" w:hanging="387"/>
        <w:spacing w:after="0"/>
        <w:tabs>
          <w:tab w:leader="none" w:pos="208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4" w:lineRule="exact"/>
        <w:rPr>
          <w:rFonts w:ascii="Arial" w:cs="Arial" w:eastAsia="Arial" w:hAnsi="Arial"/>
          <w:sz w:val="20"/>
          <w:szCs w:val="20"/>
          <w:color w:val="auto"/>
        </w:rPr>
      </w:pPr>
    </w:p>
    <w:p>
      <w:pPr>
        <w:ind w:left="2640" w:hanging="386"/>
        <w:spacing w:after="0"/>
        <w:tabs>
          <w:tab w:leader="none" w:pos="2640" w:val="left"/>
        </w:tabs>
        <w:numPr>
          <w:ilvl w:val="1"/>
          <w:numId w:val="281"/>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4" w:lineRule="exact"/>
        <w:rPr>
          <w:rFonts w:ascii="Arial" w:cs="Arial" w:eastAsia="Arial" w:hAnsi="Arial"/>
          <w:sz w:val="20"/>
          <w:szCs w:val="20"/>
          <w:color w:val="auto"/>
        </w:rPr>
      </w:pPr>
    </w:p>
    <w:p>
      <w:pPr>
        <w:jc w:val="both"/>
        <w:ind w:left="760" w:firstLine="1494"/>
        <w:spacing w:after="0" w:line="246" w:lineRule="auto"/>
        <w:tabs>
          <w:tab w:leader="none" w:pos="2653" w:val="left"/>
        </w:tabs>
        <w:numPr>
          <w:ilvl w:val="1"/>
          <w:numId w:val="281"/>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9" w:lineRule="exact"/>
        <w:rPr>
          <w:rFonts w:ascii="Arial" w:cs="Arial" w:eastAsia="Arial" w:hAnsi="Arial"/>
          <w:sz w:val="20"/>
          <w:szCs w:val="20"/>
          <w:color w:val="auto"/>
        </w:rPr>
      </w:pPr>
    </w:p>
    <w:p>
      <w:pPr>
        <w:ind w:left="760" w:right="60" w:firstLine="1494"/>
        <w:spacing w:after="0" w:line="260" w:lineRule="auto"/>
        <w:tabs>
          <w:tab w:leader="none" w:pos="2653" w:val="left"/>
        </w:tabs>
        <w:numPr>
          <w:ilvl w:val="1"/>
          <w:numId w:val="281"/>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u w:val="single" w:color="auto"/>
          <w:color w:val="auto"/>
        </w:rPr>
        <w:t>17.15</w:t>
      </w:r>
      <w:r>
        <w:rPr>
          <w:sz w:val="20"/>
          <w:szCs w:val="20"/>
          <w:color w:val="auto"/>
        </w:rPr>
        <w:tab/>
      </w:r>
      <w:r>
        <w:rPr>
          <w:rFonts w:ascii="Arial" w:cs="Arial" w:eastAsia="Arial" w:hAnsi="Arial"/>
          <w:sz w:val="18"/>
          <w:szCs w:val="18"/>
          <w:b w:val="1"/>
          <w:bCs w:val="1"/>
          <w:u w:val="single" w:color="auto"/>
          <w:color w:val="auto"/>
        </w:rPr>
        <w:t>Amendment and Restatement; Matters Pertaining to Converting Borrowers</w:t>
      </w:r>
      <w:r>
        <w:rPr>
          <w:rFonts w:ascii="Arial" w:cs="Arial" w:eastAsia="Arial" w:hAnsi="Arial"/>
          <w:sz w:val="18"/>
          <w:szCs w:val="18"/>
          <w:color w:val="auto"/>
        </w:rPr>
        <w:t>.</w:t>
      </w:r>
    </w:p>
    <w:p>
      <w:pPr>
        <w:spacing w:after="0" w:line="221" w:lineRule="exact"/>
        <w:rPr>
          <w:sz w:val="20"/>
          <w:szCs w:val="20"/>
          <w:color w:val="auto"/>
        </w:rPr>
      </w:pPr>
    </w:p>
    <w:p>
      <w:pPr>
        <w:jc w:val="both"/>
        <w:ind w:left="200" w:firstLine="1493"/>
        <w:spacing w:after="0" w:line="270" w:lineRule="auto"/>
        <w:tabs>
          <w:tab w:leader="none" w:pos="209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This Agreement constitutes an amendment and restatement of the Existing Credit Agreement effective from and after the Sixth Restatement Effective Date. The execution and delivery of this Agreement shall not constitute a novation of any indebtedness or other obligations owing to Agent, Swing Lender, any Issuing Bank, any Lender, or any other Person under the Existing Credit Agreement based on any facts or events occurring or existing before the execution and delivery of this Agreement. On the Sixth Restatement Effective Date, the credit facilities described in the Existing Credit Agreement shall be amended and supplemented by the facilities described herein, and all loans, Letters of Credit, and other obligations of any Loan Party outstanding as of such date under the Existing Credit Agreement shall be deemed to be loans, Letters of Credit, and obligations outstanding under the corresponding facilities described herein, without further action by any Person. Unless otherwise provided in any other Loan Document, any fees and interest accrued under the Existing Credit Agreement shall accrue up to (but not including) the Sixth Restatement Effective Date at the rates and in the manner provided in the Existing Credit Agreement but shall be due and payable at the times and in the manner provided under this Agreement. All costs and expenses which were due and owing under the Existing Credit Agreement shall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6" w:name="page267"/>
    <w:bookmarkEnd w:id="266"/>
    <w:p>
      <w:pPr>
        <w:jc w:val="both"/>
        <w:spacing w:after="0" w:line="269" w:lineRule="auto"/>
        <w:rPr>
          <w:sz w:val="20"/>
          <w:szCs w:val="20"/>
          <w:color w:val="auto"/>
        </w:rPr>
      </w:pPr>
      <w:r>
        <w:rPr>
          <w:rFonts w:ascii="Arial" w:cs="Arial" w:eastAsia="Arial" w:hAnsi="Arial"/>
          <w:sz w:val="18"/>
          <w:szCs w:val="18"/>
          <w:color w:val="auto"/>
        </w:rPr>
        <w:t xml:space="preserve">continue to be due and owing under, and shall be due and payable in accordance with, this Agreement. On and after the Sixth Restatement Effective Date, each and every reference in the Loan Documents to the “Credit Agreement,” and to the capitalized terms as defined in the “Credit Agreement” (including, without limitation, the terms “Loans” and “Obligations”) shall be deemed to refer to and mean this Agreement, and such capitalized terms as defined and used in this Agreement. Each Loan Party party hereto further confirms and agrees that all such Loan Documents are and shall remain in full force and effect on and after the Sixth Restatement Effective Date, except as otherwise expressly provided herein or therein or except to the extent the same are amended, restated, supplemented or otherwise modified on the Sixth Restatement Effective Date. The amount of each Lender’s Revolver Commitment, as of the Sixth Restatement Effective Date, shall be as set forth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and Agent and each Lender shall cooperate in good faith to make all payments and fundings which Agent and the Lenders must make to reallocate the Revolver Commitments and the Obligations in respect thereof among the Lenders in accordance with their respective Revolver Commitments as set forth on </w:t>
      </w:r>
      <w:r>
        <w:rPr>
          <w:rFonts w:ascii="Arial" w:cs="Arial" w:eastAsia="Arial" w:hAnsi="Arial"/>
          <w:sz w:val="18"/>
          <w:szCs w:val="18"/>
          <w:u w:val="single" w:color="auto"/>
          <w:color w:val="auto"/>
        </w:rPr>
        <w:t>Schedule C-1</w:t>
      </w:r>
      <w:r>
        <w:rPr>
          <w:rFonts w:ascii="Arial" w:cs="Arial" w:eastAsia="Arial" w:hAnsi="Arial"/>
          <w:sz w:val="18"/>
          <w:szCs w:val="18"/>
          <w:color w:val="auto"/>
        </w:rPr>
        <w:t>. On the Sixth Restatement Effective Date, all outstanding loans under the Existing Credit Agreement made by any Person that is a “Lender” under the Existing Credit Agreement who is not a Lender hereunder (each, an “</w:t>
      </w:r>
      <w:r>
        <w:rPr>
          <w:rFonts w:ascii="Arial" w:cs="Arial" w:eastAsia="Arial" w:hAnsi="Arial"/>
          <w:sz w:val="18"/>
          <w:szCs w:val="18"/>
          <w:u w:val="single" w:color="auto"/>
          <w:color w:val="auto"/>
        </w:rPr>
        <w:t>Exiting Lender</w:t>
      </w:r>
      <w:r>
        <w:rPr>
          <w:rFonts w:ascii="Arial" w:cs="Arial" w:eastAsia="Arial" w:hAnsi="Arial"/>
          <w:sz w:val="18"/>
          <w:szCs w:val="18"/>
          <w:color w:val="auto"/>
        </w:rPr>
        <w:t>”) shall be repaid in full and the commitments and other obligations and rights of such Exiting Lender shall be terminated (except that such Exiting Lender shall continue to be entitled to the benefits specified in this Agreement and the other Loan Documents of a Lender which assigned 100% of its interests under the Existing Credit Agreement, with respect to facts and circumstances occurring prior to the Sixth Restatement Effective Date).</w:t>
      </w:r>
    </w:p>
    <w:p>
      <w:pPr>
        <w:spacing w:after="0" w:line="174" w:lineRule="exact"/>
        <w:rPr>
          <w:sz w:val="20"/>
          <w:szCs w:val="20"/>
          <w:color w:val="auto"/>
        </w:rPr>
      </w:pPr>
    </w:p>
    <w:p>
      <w:pPr>
        <w:jc w:val="both"/>
        <w:ind w:firstLine="1493"/>
        <w:spacing w:after="0" w:line="246" w:lineRule="auto"/>
        <w:tabs>
          <w:tab w:leader="none" w:pos="1893"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As of the Sixth Restatement Effective Date, each Converting Borrower shall automatically cease to have any rights or obligations as a Borrower under this Agreement and the other Loan Documents, but shall continue to constitute a Guarantor and shall be bound by all terms, provisions, and conditions applicable to such Converting Borrower in its capacity as a Guarantor under the Guaranty and Security Agreement and the other Loan Documents.</w:t>
      </w:r>
    </w:p>
    <w:p>
      <w:pPr>
        <w:spacing w:after="0" w:line="184"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20"/>
          <w:szCs w:val="20"/>
          <w:u w:val="single" w:color="auto"/>
          <w:color w:val="auto"/>
        </w:rPr>
        <w:t>17.16</w:t>
      </w:r>
      <w:r>
        <w:rPr>
          <w:sz w:val="20"/>
          <w:szCs w:val="20"/>
          <w:color w:val="auto"/>
        </w:rPr>
        <w:tab/>
      </w:r>
      <w:r>
        <w:rPr>
          <w:rFonts w:ascii="Arial" w:cs="Arial" w:eastAsia="Arial" w:hAnsi="Arial"/>
          <w:sz w:val="19"/>
          <w:szCs w:val="19"/>
          <w:b w:val="1"/>
          <w:bCs w:val="1"/>
          <w:u w:val="single" w:color="auto"/>
          <w:color w:val="auto"/>
        </w:rPr>
        <w:t>Certain ERISA Matters</w:t>
      </w:r>
      <w:r>
        <w:rPr>
          <w:rFonts w:ascii="Arial" w:cs="Arial" w:eastAsia="Arial" w:hAnsi="Arial"/>
          <w:sz w:val="19"/>
          <w:szCs w:val="19"/>
          <w:color w:val="auto"/>
        </w:rPr>
        <w:t>.</w:t>
      </w:r>
    </w:p>
    <w:p>
      <w:pPr>
        <w:spacing w:after="0" w:line="221" w:lineRule="exact"/>
        <w:rPr>
          <w:sz w:val="20"/>
          <w:szCs w:val="20"/>
          <w:color w:val="auto"/>
        </w:rPr>
      </w:pPr>
    </w:p>
    <w:p>
      <w:pPr>
        <w:jc w:val="both"/>
        <w:ind w:firstLine="1493"/>
        <w:spacing w:after="0" w:line="246" w:lineRule="auto"/>
        <w:tabs>
          <w:tab w:leader="none" w:pos="1893" w:val="left"/>
        </w:tabs>
        <w:numPr>
          <w:ilvl w:val="0"/>
          <w:numId w:val="284"/>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any Borrower or any other Loan Party, that at least one of the following is and will be true:</w:t>
      </w:r>
    </w:p>
    <w:p>
      <w:pPr>
        <w:spacing w:after="0" w:line="189" w:lineRule="exact"/>
        <w:rPr>
          <w:rFonts w:ascii="Arial" w:cs="Arial" w:eastAsia="Arial" w:hAnsi="Arial"/>
          <w:sz w:val="20"/>
          <w:szCs w:val="20"/>
          <w:color w:val="auto"/>
        </w:rPr>
      </w:pPr>
    </w:p>
    <w:p>
      <w:pPr>
        <w:jc w:val="both"/>
        <w:ind w:left="560" w:firstLine="1494"/>
        <w:spacing w:after="0" w:line="249" w:lineRule="auto"/>
        <w:tabs>
          <w:tab w:leader="none" w:pos="2453" w:val="left"/>
        </w:tabs>
        <w:numPr>
          <w:ilvl w:val="1"/>
          <w:numId w:val="284"/>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Plans with respect to such Lender’s entrance into, participation in, administration of and performance of the Loans, the Letters of Credit, the Commitments or this Agreement,</w:t>
      </w:r>
    </w:p>
    <w:p>
      <w:pPr>
        <w:spacing w:after="0" w:line="187" w:lineRule="exact"/>
        <w:rPr>
          <w:rFonts w:ascii="Arial" w:cs="Arial" w:eastAsia="Arial" w:hAnsi="Arial"/>
          <w:sz w:val="20"/>
          <w:szCs w:val="20"/>
          <w:color w:val="auto"/>
        </w:rPr>
      </w:pPr>
    </w:p>
    <w:p>
      <w:pPr>
        <w:jc w:val="both"/>
        <w:ind w:left="560" w:firstLine="1494"/>
        <w:spacing w:after="0" w:line="257" w:lineRule="auto"/>
        <w:tabs>
          <w:tab w:leader="none" w:pos="2453" w:val="left"/>
        </w:tabs>
        <w:numPr>
          <w:ilvl w:val="1"/>
          <w:numId w:val="28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352" w:right="339" w:bottom="1440" w:gutter="0" w:footer="0" w:header="0"/>
        </w:sectPr>
      </w:pPr>
    </w:p>
    <w:bookmarkStart w:id="267" w:name="page268"/>
    <w:bookmarkEnd w:id="267"/>
    <w:p>
      <w:pPr>
        <w:jc w:val="both"/>
        <w:ind w:left="760" w:firstLine="1494"/>
        <w:spacing w:after="0" w:line="271" w:lineRule="auto"/>
        <w:tabs>
          <w:tab w:leader="none" w:pos="2653" w:val="left"/>
        </w:tabs>
        <w:numPr>
          <w:ilvl w:val="2"/>
          <w:numId w:val="28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spacing w:after="0" w:line="2" w:lineRule="exact"/>
        <w:rPr>
          <w:rFonts w:ascii="Arial" w:cs="Arial" w:eastAsia="Arial" w:hAnsi="Arial"/>
          <w:sz w:val="18"/>
          <w:szCs w:val="18"/>
          <w:color w:val="auto"/>
        </w:rPr>
      </w:pPr>
    </w:p>
    <w:p>
      <w:pPr>
        <w:jc w:val="both"/>
        <w:ind w:left="760" w:hanging="3"/>
        <w:spacing w:after="0" w:line="276"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4" w:lineRule="exact"/>
        <w:rPr>
          <w:rFonts w:ascii="Arial" w:cs="Arial" w:eastAsia="Arial" w:hAnsi="Arial"/>
          <w:sz w:val="18"/>
          <w:szCs w:val="18"/>
          <w:color w:val="auto"/>
        </w:rPr>
      </w:pPr>
    </w:p>
    <w:p>
      <w:pPr>
        <w:ind w:left="760" w:right="20" w:firstLine="1494"/>
        <w:spacing w:after="0" w:line="260" w:lineRule="auto"/>
        <w:tabs>
          <w:tab w:leader="none" w:pos="2653" w:val="left"/>
        </w:tabs>
        <w:numPr>
          <w:ilvl w:val="2"/>
          <w:numId w:val="286"/>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Agent, in its sole discretion, and such Lender.</w:t>
      </w:r>
    </w:p>
    <w:p>
      <w:pPr>
        <w:spacing w:after="0" w:line="175" w:lineRule="exact"/>
        <w:rPr>
          <w:rFonts w:ascii="Arial" w:cs="Arial" w:eastAsia="Arial" w:hAnsi="Arial"/>
          <w:sz w:val="20"/>
          <w:szCs w:val="20"/>
          <w:color w:val="auto"/>
        </w:rPr>
      </w:pPr>
    </w:p>
    <w:p>
      <w:pPr>
        <w:jc w:val="both"/>
        <w:ind w:left="200" w:firstLine="1493"/>
        <w:spacing w:after="0" w:line="272" w:lineRule="auto"/>
        <w:tabs>
          <w:tab w:leader="none" w:pos="2093"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any Borrower or any other Loan Party, that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Agent under this Agreement, any Loan Document or any documents related hereto or thereto).</w:t>
      </w:r>
    </w:p>
    <w:p>
      <w:pPr>
        <w:spacing w:after="0" w:line="167"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u w:val="single" w:color="auto"/>
          <w:color w:val="auto"/>
        </w:rPr>
        <w:t>17.17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Acknowledgment Regarding Any Supported QFCs</w:t>
      </w:r>
      <w:r>
        <w:rPr>
          <w:rFonts w:ascii="Arial" w:cs="Arial" w:eastAsia="Arial" w:hAnsi="Arial"/>
          <w:sz w:val="18"/>
          <w:szCs w:val="18"/>
          <w:color w:val="auto"/>
        </w:rPr>
        <w:t>. To the extent that the Loan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8" w:name="page269"/>
    <w:bookmarkEnd w:id="268"/>
    <w:p>
      <w:pPr>
        <w:ind w:left="760"/>
        <w:spacing w:after="0"/>
        <w:tabs>
          <w:tab w:leader="none" w:pos="1520" w:val="left"/>
        </w:tabs>
        <w:rPr>
          <w:sz w:val="20"/>
          <w:szCs w:val="20"/>
          <w:color w:val="auto"/>
        </w:rPr>
      </w:pPr>
      <w:r>
        <w:rPr>
          <w:rFonts w:ascii="Arial" w:cs="Arial" w:eastAsia="Arial" w:hAnsi="Arial"/>
          <w:sz w:val="20"/>
          <w:szCs w:val="20"/>
          <w:u w:val="single" w:color="auto"/>
          <w:color w:val="auto"/>
        </w:rPr>
        <w:t>17.18</w:t>
      </w:r>
      <w:r>
        <w:rPr>
          <w:sz w:val="20"/>
          <w:szCs w:val="20"/>
          <w:color w:val="auto"/>
        </w:rPr>
        <w:tab/>
      </w:r>
      <w:r>
        <w:rPr>
          <w:rFonts w:ascii="Arial" w:cs="Arial" w:eastAsia="Arial" w:hAnsi="Arial"/>
          <w:sz w:val="16"/>
          <w:szCs w:val="16"/>
          <w:b w:val="1"/>
          <w:bCs w:val="1"/>
          <w:u w:val="single" w:color="auto"/>
          <w:color w:val="auto"/>
        </w:rPr>
        <w:t>Erroneous Payments</w:t>
      </w:r>
      <w:r>
        <w:rPr>
          <w:rFonts w:ascii="Arial" w:cs="Arial" w:eastAsia="Arial" w:hAnsi="Arial"/>
          <w:sz w:val="16"/>
          <w:szCs w:val="16"/>
          <w:color w:val="auto"/>
        </w:rPr>
        <w:t>.</w:t>
      </w:r>
    </w:p>
    <w:p>
      <w:pPr>
        <w:spacing w:after="0" w:line="221" w:lineRule="exact"/>
        <w:rPr>
          <w:sz w:val="20"/>
          <w:szCs w:val="20"/>
          <w:color w:val="auto"/>
        </w:rPr>
      </w:pPr>
    </w:p>
    <w:p>
      <w:pPr>
        <w:jc w:val="both"/>
        <w:ind w:firstLine="1505"/>
        <w:spacing w:after="0" w:line="268" w:lineRule="auto"/>
        <w:tabs>
          <w:tab w:leader="none" w:pos="189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Each Lender, each Issuing Bank, each other Bank Product Provider and any other party hereto hereby severally agrees that if (i) Agent notifies (which such notice shall be conclusive absent manifest error) such Lender or Issuing Bank or any Bank Product Provider (or the Lender which is an Affiliate of a Lender, Issuing Bank or Bank Product Provider) or any other Person that has received funds from Agent or any of its Affiliates, either for its own account or on behalf of a Lender, Issuing Bank or Bank Product Provider (each such recipient,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 (x) 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 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Arial" w:cs="Arial" w:eastAsia="Arial" w:hAnsi="Arial"/>
          <w:sz w:val="18"/>
          <w:szCs w:val="18"/>
          <w:u w:val="single" w:color="auto"/>
          <w:color w:val="auto"/>
        </w:rPr>
        <w:t>Section 17.18(a)</w:t>
      </w:r>
      <w:r>
        <w:rPr>
          <w:rFonts w:ascii="Arial" w:cs="Arial" w:eastAsia="Arial" w:hAnsi="Arial"/>
          <w:sz w:val="18"/>
          <w:szCs w:val="18"/>
          <w:color w:val="auto"/>
        </w:rPr>
        <w:t>, whether received as a payment, prepayment or repayment of principal, interest, fees, distribution or otherwise; individually and collectively, an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then, in each case, such Payment Recipient is deemed to have knowledge of such error at the time of its receipt of such 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spacing w:after="0" w:line="181" w:lineRule="exact"/>
        <w:rPr>
          <w:rFonts w:ascii="Arial" w:cs="Arial" w:eastAsia="Arial" w:hAnsi="Arial"/>
          <w:sz w:val="18"/>
          <w:szCs w:val="18"/>
          <w:color w:val="auto"/>
        </w:rPr>
      </w:pPr>
    </w:p>
    <w:p>
      <w:pPr>
        <w:ind w:left="1900" w:hanging="395"/>
        <w:spacing w:after="0"/>
        <w:tabs>
          <w:tab w:leader="none" w:pos="19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Without limiting the immediately preceding clause (a), each Payment Recipient agrees that, in the case of clause (a)</w:t>
      </w:r>
    </w:p>
    <w:p>
      <w:pPr>
        <w:spacing w:after="0" w:line="38" w:lineRule="exact"/>
        <w:rPr>
          <w:rFonts w:ascii="Arial" w:cs="Arial" w:eastAsia="Arial" w:hAnsi="Arial"/>
          <w:sz w:val="18"/>
          <w:szCs w:val="18"/>
          <w:color w:val="auto"/>
        </w:rPr>
      </w:pPr>
    </w:p>
    <w:p>
      <w:pPr>
        <w:ind w:left="300" w:hanging="292"/>
        <w:spacing w:after="0"/>
        <w:tabs>
          <w:tab w:leader="none" w:pos="3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above, it shall promptly notify Agent in writing of such occurrence.</w:t>
      </w:r>
    </w:p>
    <w:p>
      <w:pPr>
        <w:spacing w:after="0" w:line="198" w:lineRule="exact"/>
        <w:rPr>
          <w:rFonts w:ascii="Arial" w:cs="Arial" w:eastAsia="Arial" w:hAnsi="Arial"/>
          <w:sz w:val="20"/>
          <w:szCs w:val="20"/>
          <w:color w:val="auto"/>
        </w:rPr>
      </w:pPr>
    </w:p>
    <w:p>
      <w:pPr>
        <w:jc w:val="both"/>
        <w:ind w:firstLine="1505"/>
        <w:spacing w:after="0" w:line="256" w:lineRule="auto"/>
        <w:tabs>
          <w:tab w:leader="none" w:pos="1893" w:val="left"/>
        </w:tabs>
        <w:numPr>
          <w:ilvl w:val="1"/>
          <w:numId w:val="288"/>
        </w:numPr>
        <w:rPr>
          <w:rFonts w:ascii="Arial" w:cs="Arial" w:eastAsia="Arial" w:hAnsi="Arial"/>
          <w:sz w:val="19"/>
          <w:szCs w:val="19"/>
          <w:color w:val="auto"/>
        </w:rPr>
      </w:pPr>
      <w:r>
        <w:rPr>
          <w:rFonts w:ascii="Arial" w:cs="Arial" w:eastAsia="Arial" w:hAnsi="Arial"/>
          <w:sz w:val="19"/>
          <w:szCs w:val="19"/>
          <w:color w:val="auto"/>
        </w:rPr>
        <w:t>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Agent at the greater of the Federal Funds Rate and a rate determined by Agent in accordance with banking industry rules on interbank compensation from time to time in effect.</w:t>
      </w:r>
    </w:p>
    <w:p>
      <w:pPr>
        <w:spacing w:after="0" w:line="185" w:lineRule="exact"/>
        <w:rPr>
          <w:rFonts w:ascii="Arial" w:cs="Arial" w:eastAsia="Arial" w:hAnsi="Arial"/>
          <w:sz w:val="19"/>
          <w:szCs w:val="19"/>
          <w:color w:val="auto"/>
        </w:rPr>
      </w:pPr>
    </w:p>
    <w:p>
      <w:pPr>
        <w:jc w:val="both"/>
        <w:ind w:firstLine="1505"/>
        <w:spacing w:after="0" w:line="256" w:lineRule="auto"/>
        <w:tabs>
          <w:tab w:leader="none" w:pos="1893" w:val="left"/>
        </w:tabs>
        <w:numPr>
          <w:ilvl w:val="1"/>
          <w:numId w:val="288"/>
        </w:numPr>
        <w:rPr>
          <w:rFonts w:ascii="Arial" w:cs="Arial" w:eastAsia="Arial" w:hAnsi="Arial"/>
          <w:sz w:val="19"/>
          <w:szCs w:val="19"/>
          <w:color w:val="auto"/>
        </w:rPr>
      </w:pPr>
      <w:r>
        <w:rPr>
          <w:rFonts w:ascii="Arial" w:cs="Arial" w:eastAsia="Arial" w:hAnsi="Arial"/>
          <w:sz w:val="19"/>
          <w:szCs w:val="19"/>
          <w:color w:val="auto"/>
        </w:rPr>
        <w:t>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w:t>
      </w:r>
      <w:r>
        <w:rPr>
          <w:rFonts w:ascii="Arial" w:cs="Arial" w:eastAsia="Arial" w:hAnsi="Arial"/>
          <w:sz w:val="19"/>
          <w:szCs w:val="19"/>
          <w:u w:val="single" w:color="auto"/>
          <w:color w:val="auto"/>
        </w:rPr>
        <w:t>Erroneous Payment Return Deficiency</w:t>
      </w:r>
      <w:r>
        <w:rPr>
          <w:rFonts w:ascii="Arial" w:cs="Arial" w:eastAsia="Arial" w:hAnsi="Arial"/>
          <w:sz w:val="19"/>
          <w:szCs w:val="19"/>
          <w:color w:val="auto"/>
        </w:rPr>
        <w:t>”), then at the sole discretion of Agent and upon Agent’s written notice to such Lender (i) such Lender shall be deemed to have made a cashless assignment of the full face amount of the portion of its Loans (but not its Commitments) with respect to which such Erroneous Payment was made (the “</w:t>
      </w:r>
      <w:r>
        <w:rPr>
          <w:rFonts w:ascii="Arial" w:cs="Arial" w:eastAsia="Arial" w:hAnsi="Arial"/>
          <w:sz w:val="19"/>
          <w:szCs w:val="19"/>
          <w:u w:val="single" w:color="auto"/>
          <w:color w:val="auto"/>
        </w:rPr>
        <w:t>Erroneous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 Impacted Loans</w:t>
      </w:r>
      <w:r>
        <w:rPr>
          <w:rFonts w:ascii="Arial" w:cs="Arial" w:eastAsia="Arial" w:hAnsi="Arial"/>
          <w:sz w:val="19"/>
          <w:szCs w:val="19"/>
          <w:color w:val="auto"/>
        </w:rPr>
        <w:t>”) to Agent or, at the option of Agent, Agent’s applicable lending affiliate (such assignee, the “</w:t>
      </w:r>
      <w:r>
        <w:rPr>
          <w:rFonts w:ascii="Arial" w:cs="Arial" w:eastAsia="Arial" w:hAnsi="Arial"/>
          <w:sz w:val="19"/>
          <w:szCs w:val="19"/>
          <w:u w:val="single" w:color="auto"/>
          <w:color w:val="auto"/>
        </w:rPr>
        <w:t>Agent Assignee</w:t>
      </w:r>
      <w:r>
        <w:rPr>
          <w:rFonts w:ascii="Arial" w:cs="Arial" w:eastAsia="Arial" w:hAnsi="Arial"/>
          <w:sz w:val="19"/>
          <w:szCs w:val="19"/>
          <w:color w:val="auto"/>
        </w:rPr>
        <w:t>”) in an amount that is equal to the Erroneous Payment Return Deficiency (or such lesser amount as Agent may specify) (such assignment of the Loans (but not Commitments) of the Erroneous Payment Impacted Loans,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69" w:name="page270"/>
    <w:bookmarkEnd w:id="269"/>
    <w:p>
      <w:pPr>
        <w:jc w:val="both"/>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 Deficiency 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on such assigned amount, without further consent or approval of any party hereto and without any payment by Agent Assignee as the assignee of such Erroneous Payment Deficiency Assignment. Without limitation of its rights hereunder, following the effectiveness of the Erroneous Payment Deficiency Assignment,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(3) Agent may reflect such assignments in the Register without further consent or action by any other Person.</w:t>
      </w:r>
    </w:p>
    <w:p>
      <w:pPr>
        <w:spacing w:after="0" w:line="187" w:lineRule="exact"/>
        <w:rPr>
          <w:sz w:val="20"/>
          <w:szCs w:val="20"/>
          <w:color w:val="auto"/>
        </w:rPr>
      </w:pPr>
    </w:p>
    <w:p>
      <w:pPr>
        <w:jc w:val="both"/>
        <w:ind w:firstLine="1505"/>
        <w:spacing w:after="0" w:line="270" w:lineRule="auto"/>
        <w:tabs>
          <w:tab w:leader="none" w:pos="189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Each party hereto hereby agrees that (x) in the event an Erroneous Payment (or portion thereof) is not recovered from any Payment Recipient that has received such Erroneous Payment (or portion thereof) for any reason, Agent (1) shall be subrogated to all the rights of such Payment Recipient and (2) is authorized to set off, net and apply any and all amounts at any time owing to such Payment Recipient under any Loan Document, or otherwise payable or distributable by Agent to such Payment Recipient from any source, against any amount due to Agent under this </w:t>
      </w:r>
      <w:r>
        <w:rPr>
          <w:rFonts w:ascii="Arial" w:cs="Arial" w:eastAsia="Arial" w:hAnsi="Arial"/>
          <w:sz w:val="18"/>
          <w:szCs w:val="18"/>
          <w:u w:val="single" w:color="auto"/>
          <w:color w:val="auto"/>
        </w:rPr>
        <w:t>Section 17.18</w:t>
      </w:r>
      <w:r>
        <w:rPr>
          <w:rFonts w:ascii="Arial" w:cs="Arial" w:eastAsia="Arial" w:hAnsi="Arial"/>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Loan Party, except, in each case, to the extent such Erroneous Payment is, and solely with respect to the amount of such Erroneous Payment that is, comprised of funds received by Agent from the Borrowers or any other Loan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72" w:lineRule="exact"/>
        <w:rPr>
          <w:rFonts w:ascii="Arial" w:cs="Arial" w:eastAsia="Arial" w:hAnsi="Arial"/>
          <w:sz w:val="18"/>
          <w:szCs w:val="18"/>
          <w:color w:val="auto"/>
        </w:rPr>
      </w:pPr>
    </w:p>
    <w:p>
      <w:pPr>
        <w:jc w:val="both"/>
        <w:ind w:firstLine="1505"/>
        <w:spacing w:after="0" w:line="249" w:lineRule="auto"/>
        <w:tabs>
          <w:tab w:leader="none" w:pos="1893"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17.18</w:t>
      </w:r>
      <w:r>
        <w:rPr>
          <w:rFonts w:ascii="Arial" w:cs="Arial" w:eastAsia="Arial" w:hAnsi="Arial"/>
          <w:sz w:val="20"/>
          <w:szCs w:val="20"/>
          <w:color w:val="auto"/>
        </w:rPr>
        <w:t xml:space="preserve"> shall survive the resignation or replacement of Agent or any transfer of right or obligations by, or the replacement of, a Lender, the termination of the Commitments or the repayment, satisfaction or discharge of all Obligations (or any portion thereof) under any Loan Document.</w:t>
      </w:r>
    </w:p>
    <w:p>
      <w:pPr>
        <w:spacing w:after="0" w:line="187" w:lineRule="exact"/>
        <w:rPr>
          <w:rFonts w:ascii="Arial" w:cs="Arial" w:eastAsia="Arial" w:hAnsi="Arial"/>
          <w:sz w:val="20"/>
          <w:szCs w:val="20"/>
          <w:color w:val="auto"/>
        </w:rPr>
      </w:pPr>
    </w:p>
    <w:p>
      <w:pPr>
        <w:jc w:val="both"/>
        <w:ind w:firstLine="1505"/>
        <w:spacing w:after="0" w:line="272" w:lineRule="auto"/>
        <w:tabs>
          <w:tab w:leader="none" w:pos="189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17.18</w:t>
      </w:r>
      <w:r>
        <w:rPr>
          <w:rFonts w:ascii="Arial" w:cs="Arial" w:eastAsia="Arial" w:hAnsi="Arial"/>
          <w:sz w:val="18"/>
          <w:szCs w:val="18"/>
          <w:color w:val="auto"/>
        </w:rPr>
        <w:t xml:space="preserve"> to the contrary notwithstanding, (i) nothing in this </w:t>
      </w:r>
      <w:r>
        <w:rPr>
          <w:rFonts w:ascii="Arial" w:cs="Arial" w:eastAsia="Arial" w:hAnsi="Arial"/>
          <w:sz w:val="18"/>
          <w:szCs w:val="18"/>
          <w:u w:val="single" w:color="auto"/>
          <w:color w:val="auto"/>
        </w:rPr>
        <w:t>Section 17.18</w:t>
      </w:r>
      <w:r>
        <w:rPr>
          <w:rFonts w:ascii="Arial" w:cs="Arial" w:eastAsia="Arial" w:hAnsi="Arial"/>
          <w:sz w:val="18"/>
          <w:szCs w:val="18"/>
          <w:color w:val="auto"/>
        </w:rPr>
        <w:t xml:space="preserve"> will constitute a waiver or release of any claim of any party hereunder arising from any Payment Recipient’s receipt of an Erroneous Payment and (ii) there will only be deemed to be a recovery of the Erroneous Payment to the extent that Agent has received payment from the Payment Recipient in immediately available funds the Erroneous Payment Return Deficiency, whether directly from the Payment Recipient, as a result of the exercise by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Agent Assignee and shall not constitute a recovery of the Erroneous Payment).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 on following page.]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127635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29" w:right="1440" w:bottom="1440" w:gutter="0" w:footer="0" w:header="0"/>
        </w:sectPr>
      </w:pPr>
    </w:p>
    <w:bookmarkStart w:id="271" w:name="page272"/>
    <w:bookmarkEnd w:id="271"/>
    <w:p>
      <w:pPr>
        <w:ind w:right="20" w:firstLine="1498"/>
        <w:spacing w:after="0" w:line="266"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executed and delivered as of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first above written.</w:t>
      </w:r>
    </w:p>
    <w:p>
      <w:pPr>
        <w:spacing w:after="0" w:line="170" w:lineRule="exact"/>
        <w:rPr>
          <w:sz w:val="20"/>
          <w:szCs w:val="20"/>
          <w:color w:val="auto"/>
        </w:rPr>
      </w:pPr>
    </w:p>
    <w:tbl>
      <w:tblPr>
        <w:tblLayout w:type="fixed"/>
        <w:tblInd w:w="1500" w:type="dxa"/>
        <w:tblCellMar>
          <w:top w:w="0" w:type="dxa"/>
          <w:left w:w="0" w:type="dxa"/>
          <w:bottom w:w="0" w:type="dxa"/>
          <w:right w:w="0" w:type="dxa"/>
        </w:tblCellMar>
      </w:tblPr>
      <w:tr>
        <w:trPr>
          <w:trHeight w:val="250"/>
        </w:trPr>
        <w:tc>
          <w:tcPr>
            <w:tcW w:w="3460" w:type="dxa"/>
            <w:vAlign w:val="bottom"/>
            <w:gridSpan w:val="2"/>
          </w:tcPr>
          <w:p>
            <w:pPr>
              <w:spacing w:after="0"/>
              <w:rPr>
                <w:sz w:val="20"/>
                <w:szCs w:val="20"/>
                <w:color w:val="auto"/>
              </w:rPr>
            </w:pPr>
            <w:r>
              <w:rPr>
                <w:rFonts w:ascii="Arial" w:cs="Arial" w:eastAsia="Arial" w:hAnsi="Arial"/>
                <w:sz w:val="20"/>
                <w:szCs w:val="20"/>
                <w:color w:val="auto"/>
              </w:rPr>
              <w:t>PARENT (AND AS A BORROWER):</w:t>
            </w:r>
          </w:p>
        </w:tc>
        <w:tc>
          <w:tcPr>
            <w:tcW w:w="4020" w:type="dxa"/>
            <w:vAlign w:val="bottom"/>
          </w:tcPr>
          <w:p>
            <w:pPr>
              <w:ind w:left="100"/>
              <w:spacing w:after="0"/>
              <w:rPr>
                <w:sz w:val="20"/>
                <w:szCs w:val="20"/>
                <w:color w:val="auto"/>
              </w:rPr>
            </w:pPr>
            <w:r>
              <w:rPr>
                <w:rFonts w:ascii="Arial" w:cs="Arial" w:eastAsia="Arial" w:hAnsi="Arial"/>
                <w:sz w:val="20"/>
                <w:szCs w:val="20"/>
                <w:color w:val="auto"/>
              </w:rPr>
              <w:t>H&amp;E EQUIPMENT SERVICES, INC.</w:t>
            </w:r>
          </w:p>
        </w:tc>
      </w:tr>
      <w:tr>
        <w:trPr>
          <w:trHeight w:val="922"/>
        </w:trPr>
        <w:tc>
          <w:tcPr>
            <w:tcW w:w="1840" w:type="dxa"/>
            <w:vAlign w:val="bottom"/>
          </w:tcPr>
          <w:p>
            <w:pPr>
              <w:ind w:left="780"/>
              <w:spacing w:after="0"/>
              <w:rPr>
                <w:sz w:val="20"/>
                <w:szCs w:val="20"/>
                <w:color w:val="auto"/>
              </w:rPr>
            </w:pPr>
            <w:r>
              <w:rPr>
                <w:rFonts w:ascii="Arial" w:cs="Arial" w:eastAsia="Arial" w:hAnsi="Arial"/>
                <w:sz w:val="18"/>
                <w:szCs w:val="18"/>
                <w:color w:val="auto"/>
              </w:rPr>
              <w:t>By:</w:t>
            </w: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9"/>
                <w:szCs w:val="19"/>
                <w:color w:val="auto"/>
                <w:w w:val="98"/>
              </w:rPr>
              <w:t>Leslie S. Magee</w:t>
            </w:r>
          </w:p>
        </w:tc>
        <w:tc>
          <w:tcPr>
            <w:tcW w:w="4020" w:type="dxa"/>
            <w:vAlign w:val="bottom"/>
            <w:tcBorders>
              <w:bottom w:val="single" w:sz="8" w:color="auto"/>
            </w:tcBorders>
          </w:tcPr>
          <w:p>
            <w:pPr>
              <w:spacing w:after="0"/>
              <w:rPr>
                <w:sz w:val="24"/>
                <w:szCs w:val="24"/>
                <w:color w:val="auto"/>
              </w:rPr>
            </w:pPr>
          </w:p>
        </w:tc>
      </w:tr>
      <w:tr>
        <w:trPr>
          <w:trHeight w:val="461"/>
        </w:trPr>
        <w:tc>
          <w:tcPr>
            <w:tcW w:w="1840" w:type="dxa"/>
            <w:vAlign w:val="bottom"/>
          </w:tcPr>
          <w:p>
            <w:pPr>
              <w:ind w:left="780"/>
              <w:spacing w:after="0"/>
              <w:rPr>
                <w:sz w:val="20"/>
                <w:szCs w:val="20"/>
                <w:color w:val="auto"/>
              </w:rPr>
            </w:pPr>
            <w:r>
              <w:rPr>
                <w:rFonts w:ascii="Arial" w:cs="Arial" w:eastAsia="Arial" w:hAnsi="Arial"/>
                <w:sz w:val="20"/>
                <w:szCs w:val="20"/>
                <w:color w:val="auto"/>
              </w:rPr>
              <w:t>Name:</w:t>
            </w:r>
          </w:p>
        </w:tc>
        <w:tc>
          <w:tcPr>
            <w:tcW w:w="1620" w:type="dxa"/>
            <w:vAlign w:val="bottom"/>
          </w:tcPr>
          <w:p>
            <w:pPr>
              <w:ind w:left="20"/>
              <w:spacing w:after="0"/>
              <w:rPr>
                <w:sz w:val="20"/>
                <w:szCs w:val="20"/>
                <w:color w:val="auto"/>
              </w:rPr>
            </w:pPr>
            <w:r>
              <w:rPr>
                <w:rFonts w:ascii="Arial" w:cs="Arial" w:eastAsia="Arial" w:hAnsi="Arial"/>
                <w:sz w:val="20"/>
                <w:szCs w:val="20"/>
                <w:color w:val="auto"/>
              </w:rPr>
              <w:t>Leslie S. Magee</w:t>
            </w:r>
          </w:p>
        </w:tc>
        <w:tc>
          <w:tcPr>
            <w:tcW w:w="4020" w:type="dxa"/>
            <w:vAlign w:val="bottom"/>
          </w:tcPr>
          <w:p>
            <w:pPr>
              <w:spacing w:after="0"/>
              <w:rPr>
                <w:sz w:val="24"/>
                <w:szCs w:val="24"/>
                <w:color w:val="auto"/>
              </w:rPr>
            </w:pPr>
          </w:p>
        </w:tc>
      </w:tr>
      <w:tr>
        <w:trPr>
          <w:trHeight w:val="485"/>
        </w:trPr>
        <w:tc>
          <w:tcPr>
            <w:tcW w:w="1840" w:type="dxa"/>
            <w:vAlign w:val="bottom"/>
          </w:tcPr>
          <w:p>
            <w:pPr>
              <w:ind w:left="780"/>
              <w:spacing w:after="0"/>
              <w:rPr>
                <w:sz w:val="20"/>
                <w:szCs w:val="20"/>
                <w:color w:val="auto"/>
              </w:rPr>
            </w:pPr>
            <w:r>
              <w:rPr>
                <w:rFonts w:ascii="Arial" w:cs="Arial" w:eastAsia="Arial" w:hAnsi="Arial"/>
                <w:sz w:val="20"/>
                <w:szCs w:val="20"/>
                <w:color w:val="auto"/>
              </w:rPr>
              <w:t>Title:</w:t>
            </w:r>
          </w:p>
        </w:tc>
        <w:tc>
          <w:tcPr>
            <w:tcW w:w="5640" w:type="dxa"/>
            <w:vAlign w:val="bottom"/>
            <w:gridSpan w:val="2"/>
          </w:tcPr>
          <w:p>
            <w:pPr>
              <w:ind w:left="20"/>
              <w:spacing w:after="0"/>
              <w:rPr>
                <w:sz w:val="20"/>
                <w:szCs w:val="20"/>
                <w:color w:val="auto"/>
              </w:rPr>
            </w:pPr>
            <w:r>
              <w:rPr>
                <w:rFonts w:ascii="Arial" w:cs="Arial" w:eastAsia="Arial" w:hAnsi="Arial"/>
                <w:sz w:val="20"/>
                <w:szCs w:val="20"/>
                <w:color w:val="auto"/>
              </w:rPr>
              <w:t>Secretary and Chief Financial Officer</w:t>
            </w:r>
          </w:p>
        </w:tc>
      </w:tr>
    </w:tbl>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2" w:name="page273"/>
    <w:bookmarkEnd w:id="272"/>
    <w:p>
      <w:pPr>
        <w:ind w:left="84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as Agent, as an Issuing Bank, and as a Lender</w:t>
      </w:r>
    </w:p>
    <w:p>
      <w:pPr>
        <w:ind w:left="1160"/>
        <w:spacing w:after="0"/>
        <w:tabs>
          <w:tab w:leader="none" w:pos="2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Brandi Pertucci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8890</wp:posOffset>
            </wp:positionV>
            <wp:extent cx="358775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8">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19" w:lineRule="exact"/>
        <w:rPr>
          <w:sz w:val="20"/>
          <w:szCs w:val="20"/>
          <w:color w:val="auto"/>
        </w:rPr>
      </w:pPr>
    </w:p>
    <w:p>
      <w:pPr>
        <w:ind w:left="1160"/>
        <w:spacing w:after="0"/>
        <w:tabs>
          <w:tab w:leader="none" w:pos="22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Brandi Petrucci</w:t>
      </w:r>
    </w:p>
    <w:p>
      <w:pPr>
        <w:spacing w:after="0" w:line="255" w:lineRule="exact"/>
        <w:rPr>
          <w:sz w:val="20"/>
          <w:szCs w:val="20"/>
          <w:color w:val="auto"/>
        </w:rPr>
      </w:pPr>
    </w:p>
    <w:p>
      <w:pPr>
        <w:ind w:left="1160"/>
        <w:spacing w:after="0"/>
        <w:tabs>
          <w:tab w:leader="none" w:pos="2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273" w:name="page274"/>
    <w:bookmarkEnd w:id="273"/>
    <w:p>
      <w:pPr>
        <w:ind w:left="840"/>
        <w:spacing w:after="0"/>
        <w:rPr>
          <w:sz w:val="20"/>
          <w:szCs w:val="20"/>
          <w:color w:val="auto"/>
        </w:rPr>
      </w:pPr>
      <w:r>
        <w:rPr>
          <w:rFonts w:ascii="Arial" w:cs="Arial" w:eastAsia="Arial" w:hAnsi="Arial"/>
          <w:sz w:val="20"/>
          <w:szCs w:val="20"/>
          <w:color w:val="auto"/>
        </w:rPr>
        <w:t>JPMORGAN CHASE BANK, N.A., as a Joint Lead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Arranger, as a Joint Book Runner, as a Co-Syndication Agent,</w:t>
      </w:r>
    </w:p>
    <w:p>
      <w:pPr>
        <w:ind w:left="840"/>
        <w:spacing w:after="0"/>
        <w:rPr>
          <w:sz w:val="20"/>
          <w:szCs w:val="20"/>
          <w:color w:val="auto"/>
        </w:rPr>
      </w:pPr>
      <w:r>
        <w:rPr>
          <w:rFonts w:ascii="Arial" w:cs="Arial" w:eastAsia="Arial" w:hAnsi="Arial"/>
          <w:sz w:val="20"/>
          <w:szCs w:val="20"/>
          <w:color w:val="auto"/>
        </w:rPr>
        <w:t>and as a Lender</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255"/>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Andrew Rossman</w:t>
            </w:r>
          </w:p>
        </w:tc>
      </w:tr>
      <w:tr>
        <w:trPr>
          <w:trHeight w:val="461"/>
        </w:trPr>
        <w:tc>
          <w:tcPr>
            <w:tcW w:w="1060" w:type="dxa"/>
            <w:vAlign w:val="bottom"/>
          </w:tcPr>
          <w:p>
            <w:pPr>
              <w:spacing w:after="0"/>
              <w:rPr>
                <w:sz w:val="20"/>
                <w:szCs w:val="20"/>
                <w:color w:val="auto"/>
              </w:rPr>
            </w:pPr>
            <w:r>
              <w:rPr>
                <w:rFonts w:ascii="Arial" w:cs="Arial" w:eastAsia="Arial" w:hAnsi="Arial"/>
                <w:sz w:val="20"/>
                <w:szCs w:val="20"/>
                <w:color w:val="auto"/>
              </w:rPr>
              <w:t>Name:</w:t>
            </w:r>
          </w:p>
        </w:tc>
        <w:tc>
          <w:tcPr>
            <w:tcW w:w="5640" w:type="dxa"/>
            <w:vAlign w:val="bottom"/>
          </w:tcPr>
          <w:p>
            <w:pPr>
              <w:ind w:left="20"/>
              <w:spacing w:after="0"/>
              <w:rPr>
                <w:sz w:val="20"/>
                <w:szCs w:val="20"/>
                <w:color w:val="auto"/>
              </w:rPr>
            </w:pPr>
            <w:r>
              <w:rPr>
                <w:rFonts w:ascii="Arial" w:cs="Arial" w:eastAsia="Arial" w:hAnsi="Arial"/>
                <w:sz w:val="20"/>
                <w:szCs w:val="20"/>
                <w:color w:val="auto"/>
              </w:rPr>
              <w:t>Andrew Rossman</w:t>
            </w:r>
          </w:p>
        </w:tc>
      </w:tr>
      <w:tr>
        <w:trPr>
          <w:trHeight w:val="485"/>
        </w:trPr>
        <w:tc>
          <w:tcPr>
            <w:tcW w:w="1060" w:type="dxa"/>
            <w:vAlign w:val="bottom"/>
          </w:tcPr>
          <w:p>
            <w:pPr>
              <w:spacing w:after="0"/>
              <w:rPr>
                <w:sz w:val="20"/>
                <w:szCs w:val="20"/>
                <w:color w:val="auto"/>
              </w:rPr>
            </w:pPr>
            <w:r>
              <w:rPr>
                <w:rFonts w:ascii="Arial" w:cs="Arial" w:eastAsia="Arial" w:hAnsi="Arial"/>
                <w:sz w:val="20"/>
                <w:szCs w:val="20"/>
                <w:color w:val="auto"/>
              </w:rPr>
              <w:t>Title:</w:t>
            </w:r>
          </w:p>
        </w:tc>
        <w:tc>
          <w:tcPr>
            <w:tcW w:w="5640" w:type="dxa"/>
            <w:vAlign w:val="bottom"/>
          </w:tcPr>
          <w:p>
            <w:pPr>
              <w:ind w:left="20"/>
              <w:spacing w:after="0"/>
              <w:rPr>
                <w:sz w:val="20"/>
                <w:szCs w:val="20"/>
                <w:color w:val="auto"/>
              </w:rPr>
            </w:pPr>
            <w:r>
              <w:rPr>
                <w:rFonts w:ascii="Arial" w:cs="Arial" w:eastAsia="Arial" w:hAnsi="Arial"/>
                <w:sz w:val="20"/>
                <w:szCs w:val="20"/>
                <w:color w:val="auto"/>
              </w:rPr>
              <w:t>Executive Director</w:t>
            </w:r>
          </w:p>
        </w:tc>
      </w:tr>
    </w:tbl>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274" w:name="page275"/>
    <w:bookmarkEnd w:id="274"/>
    <w:p>
      <w:pPr>
        <w:ind w:left="840"/>
        <w:spacing w:after="0"/>
        <w:rPr>
          <w:sz w:val="20"/>
          <w:szCs w:val="20"/>
          <w:color w:val="auto"/>
        </w:rPr>
      </w:pPr>
      <w:r>
        <w:rPr>
          <w:rFonts w:ascii="Arial" w:cs="Arial" w:eastAsia="Arial" w:hAnsi="Arial"/>
          <w:sz w:val="20"/>
          <w:szCs w:val="20"/>
          <w:color w:val="auto"/>
        </w:rPr>
        <w:t>BANK OF AMERICA, N.A., as a Lender</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55"/>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Alexandra Mills</w:t>
            </w:r>
          </w:p>
        </w:tc>
      </w:tr>
      <w:tr>
        <w:trPr>
          <w:trHeight w:val="453"/>
        </w:trPr>
        <w:tc>
          <w:tcPr>
            <w:tcW w:w="1060" w:type="dxa"/>
            <w:vAlign w:val="bottom"/>
          </w:tcPr>
          <w:p>
            <w:pPr>
              <w:spacing w:after="0"/>
              <w:rPr>
                <w:sz w:val="20"/>
                <w:szCs w:val="20"/>
                <w:color w:val="auto"/>
              </w:rPr>
            </w:pPr>
            <w:r>
              <w:rPr>
                <w:rFonts w:ascii="Arial" w:cs="Arial" w:eastAsia="Arial" w:hAnsi="Arial"/>
                <w:sz w:val="20"/>
                <w:szCs w:val="20"/>
                <w:color w:val="auto"/>
              </w:rPr>
              <w:t>Name:</w:t>
            </w:r>
          </w:p>
        </w:tc>
        <w:tc>
          <w:tcPr>
            <w:tcW w:w="5640" w:type="dxa"/>
            <w:vAlign w:val="bottom"/>
          </w:tcPr>
          <w:p>
            <w:pPr>
              <w:ind w:left="20"/>
              <w:spacing w:after="0"/>
              <w:rPr>
                <w:sz w:val="20"/>
                <w:szCs w:val="20"/>
                <w:color w:val="auto"/>
              </w:rPr>
            </w:pPr>
            <w:r>
              <w:rPr>
                <w:rFonts w:ascii="Arial" w:cs="Arial" w:eastAsia="Arial" w:hAnsi="Arial"/>
                <w:sz w:val="20"/>
                <w:szCs w:val="20"/>
                <w:color w:val="auto"/>
              </w:rPr>
              <w:t>Alexandra Mills</w:t>
            </w:r>
          </w:p>
        </w:tc>
      </w:tr>
      <w:tr>
        <w:trPr>
          <w:trHeight w:val="250"/>
        </w:trPr>
        <w:tc>
          <w:tcPr>
            <w:tcW w:w="1060" w:type="dxa"/>
            <w:vAlign w:val="bottom"/>
          </w:tcPr>
          <w:p>
            <w:pPr>
              <w:spacing w:after="0"/>
              <w:rPr>
                <w:sz w:val="20"/>
                <w:szCs w:val="20"/>
                <w:color w:val="auto"/>
              </w:rPr>
            </w:pPr>
            <w:r>
              <w:rPr>
                <w:rFonts w:ascii="Arial" w:cs="Arial" w:eastAsia="Arial" w:hAnsi="Arial"/>
                <w:sz w:val="20"/>
                <w:szCs w:val="20"/>
                <w:color w:val="auto"/>
              </w:rPr>
              <w:t>Title:</w:t>
            </w:r>
          </w:p>
        </w:tc>
        <w:tc>
          <w:tcPr>
            <w:tcW w:w="56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275" w:name="page276"/>
    <w:bookmarkEnd w:id="275"/>
    <w:p>
      <w:pPr>
        <w:ind w:left="840"/>
        <w:spacing w:after="0"/>
        <w:rPr>
          <w:sz w:val="20"/>
          <w:szCs w:val="20"/>
          <w:color w:val="auto"/>
        </w:rPr>
      </w:pPr>
      <w:r>
        <w:rPr>
          <w:rFonts w:ascii="Arial" w:cs="Arial" w:eastAsia="Arial" w:hAnsi="Arial"/>
          <w:sz w:val="20"/>
          <w:szCs w:val="20"/>
          <w:color w:val="auto"/>
        </w:rPr>
        <w:t>CAPITAL ONE NATIONAL ASSOCIATION, as a Lender</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55"/>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Walder</w:t>
            </w:r>
          </w:p>
        </w:tc>
      </w:tr>
      <w:tr>
        <w:trPr>
          <w:trHeight w:val="461"/>
        </w:trPr>
        <w:tc>
          <w:tcPr>
            <w:tcW w:w="1060" w:type="dxa"/>
            <w:vAlign w:val="bottom"/>
          </w:tcPr>
          <w:p>
            <w:pPr>
              <w:spacing w:after="0"/>
              <w:rPr>
                <w:sz w:val="20"/>
                <w:szCs w:val="20"/>
                <w:color w:val="auto"/>
              </w:rPr>
            </w:pPr>
            <w:r>
              <w:rPr>
                <w:rFonts w:ascii="Arial" w:cs="Arial" w:eastAsia="Arial" w:hAnsi="Arial"/>
                <w:sz w:val="20"/>
                <w:szCs w:val="20"/>
                <w:color w:val="auto"/>
              </w:rPr>
              <w:t>Name:</w:t>
            </w:r>
          </w:p>
        </w:tc>
        <w:tc>
          <w:tcPr>
            <w:tcW w:w="5640" w:type="dxa"/>
            <w:vAlign w:val="bottom"/>
          </w:tcPr>
          <w:p>
            <w:pPr>
              <w:ind w:left="20"/>
              <w:spacing w:after="0"/>
              <w:rPr>
                <w:sz w:val="20"/>
                <w:szCs w:val="20"/>
                <w:color w:val="auto"/>
              </w:rPr>
            </w:pPr>
            <w:r>
              <w:rPr>
                <w:rFonts w:ascii="Arial" w:cs="Arial" w:eastAsia="Arial" w:hAnsi="Arial"/>
                <w:sz w:val="20"/>
                <w:szCs w:val="20"/>
                <w:color w:val="auto"/>
              </w:rPr>
              <w:t>Kevin Walder</w:t>
            </w:r>
          </w:p>
        </w:tc>
      </w:tr>
      <w:tr>
        <w:trPr>
          <w:trHeight w:val="485"/>
        </w:trPr>
        <w:tc>
          <w:tcPr>
            <w:tcW w:w="1060" w:type="dxa"/>
            <w:vAlign w:val="bottom"/>
          </w:tcPr>
          <w:p>
            <w:pPr>
              <w:spacing w:after="0"/>
              <w:rPr>
                <w:sz w:val="20"/>
                <w:szCs w:val="20"/>
                <w:color w:val="auto"/>
              </w:rPr>
            </w:pPr>
            <w:r>
              <w:rPr>
                <w:rFonts w:ascii="Arial" w:cs="Arial" w:eastAsia="Arial" w:hAnsi="Arial"/>
                <w:sz w:val="20"/>
                <w:szCs w:val="20"/>
                <w:color w:val="auto"/>
              </w:rPr>
              <w:t>Title:</w:t>
            </w:r>
          </w:p>
        </w:tc>
        <w:tc>
          <w:tcPr>
            <w:tcW w:w="5640" w:type="dxa"/>
            <w:vAlign w:val="bottom"/>
          </w:tcPr>
          <w:p>
            <w:pPr>
              <w:ind w:left="20"/>
              <w:spacing w:after="0"/>
              <w:rPr>
                <w:sz w:val="20"/>
                <w:szCs w:val="20"/>
                <w:color w:val="auto"/>
              </w:rPr>
            </w:pPr>
            <w:r>
              <w:rPr>
                <w:rFonts w:ascii="Arial" w:cs="Arial" w:eastAsia="Arial" w:hAnsi="Arial"/>
                <w:sz w:val="20"/>
                <w:szCs w:val="20"/>
                <w:color w:val="auto"/>
              </w:rPr>
              <w:t>Duly Authorized Signatory</w:t>
            </w:r>
          </w:p>
        </w:tc>
      </w:tr>
    </w:tbl>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276" w:name="page277"/>
    <w:bookmarkEnd w:id="276"/>
    <w:p>
      <w:pPr>
        <w:ind w:left="840"/>
        <w:spacing w:after="0"/>
        <w:rPr>
          <w:sz w:val="20"/>
          <w:szCs w:val="20"/>
          <w:color w:val="auto"/>
        </w:rPr>
      </w:pPr>
      <w:r>
        <w:rPr>
          <w:rFonts w:ascii="Arial" w:cs="Arial" w:eastAsia="Arial" w:hAnsi="Arial"/>
          <w:sz w:val="18"/>
          <w:szCs w:val="18"/>
          <w:color w:val="auto"/>
        </w:rPr>
        <w:t>NYCB SPECIALTY FINANCE COMPANY, LLC, as a Lender</w:t>
      </w:r>
    </w:p>
    <w:p>
      <w:pPr>
        <w:spacing w:after="0" w:line="38" w:lineRule="exact"/>
        <w:rPr>
          <w:sz w:val="20"/>
          <w:szCs w:val="20"/>
          <w:color w:val="auto"/>
        </w:rPr>
      </w:pPr>
    </w:p>
    <w:p>
      <w:pPr>
        <w:ind w:left="1160"/>
        <w:spacing w:after="0"/>
        <w:tabs>
          <w:tab w:leader="none" w:pos="2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Willard D. Dickerson,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8890</wp:posOffset>
            </wp:positionV>
            <wp:extent cx="35877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3">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ectPr>
          <w:pgSz w:w="11900" w:h="16838" w:orient="portrait"/>
          <w:cols w:equalWidth="0" w:num="1">
            <w:col w:w="10120"/>
          </w:cols>
          <w:pgMar w:left="1440" w:top="568" w:right="339" w:bottom="1440" w:gutter="0" w:footer="0" w:header="0"/>
        </w:sectPr>
      </w:pPr>
    </w:p>
    <w:p>
      <w:pPr>
        <w:spacing w:after="0" w:line="23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Name:</w:t>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Willard D. Dickerson, Jr.</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ectPr>
          <w:pgSz w:w="11900" w:h="16838" w:orient="portrait"/>
          <w:cols w:equalWidth="0" w:num="2">
            <w:col w:w="1680" w:space="560"/>
            <w:col w:w="7880"/>
          </w:cols>
          <w:pgMar w:left="1440" w:top="568" w:right="339" w:bottom="1440" w:gutter="0" w:footer="0" w:header="0"/>
          <w:type w:val="continuous"/>
        </w:sectPr>
      </w:pP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77470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68" w:right="339" w:bottom="1440" w:gutter="0" w:footer="0" w:header="0"/>
          <w:type w:val="continuous"/>
        </w:sectPr>
      </w:pPr>
    </w:p>
    <w:bookmarkStart w:id="277" w:name="page278"/>
    <w:bookmarkEnd w:id="277"/>
    <w:tbl>
      <w:tblPr>
        <w:tblLayout w:type="fixed"/>
        <w:tblInd w:w="840" w:type="dxa"/>
        <w:tblCellMar>
          <w:top w:w="0" w:type="dxa"/>
          <w:left w:w="0" w:type="dxa"/>
          <w:bottom w:w="0" w:type="dxa"/>
          <w:right w:w="0" w:type="dxa"/>
        </w:tblCellMar>
      </w:tblPr>
      <w:tr>
        <w:trPr>
          <w:trHeight w:val="250"/>
        </w:trPr>
        <w:tc>
          <w:tcPr>
            <w:tcW w:w="1380" w:type="dxa"/>
            <w:vAlign w:val="bottom"/>
          </w:tcPr>
          <w:p>
            <w:pPr>
              <w:spacing w:after="0"/>
              <w:rPr>
                <w:sz w:val="20"/>
                <w:szCs w:val="20"/>
                <w:color w:val="auto"/>
              </w:rPr>
            </w:pPr>
            <w:r>
              <w:rPr>
                <w:rFonts w:ascii="Arial" w:cs="Arial" w:eastAsia="Arial" w:hAnsi="Arial"/>
                <w:sz w:val="20"/>
                <w:szCs w:val="20"/>
                <w:color w:val="auto"/>
              </w:rPr>
              <w:t>TD Bank, N.A.,</w:t>
            </w:r>
          </w:p>
        </w:tc>
        <w:tc>
          <w:tcPr>
            <w:tcW w:w="5640" w:type="dxa"/>
            <w:vAlign w:val="bottom"/>
          </w:tcPr>
          <w:p>
            <w:pPr>
              <w:ind w:left="200"/>
              <w:spacing w:after="0"/>
              <w:rPr>
                <w:sz w:val="20"/>
                <w:szCs w:val="20"/>
                <w:color w:val="auto"/>
              </w:rPr>
            </w:pPr>
            <w:r>
              <w:rPr>
                <w:rFonts w:ascii="Arial" w:cs="Arial" w:eastAsia="Arial" w:hAnsi="Arial"/>
                <w:sz w:val="20"/>
                <w:szCs w:val="20"/>
                <w:color w:val="auto"/>
              </w:rPr>
              <w:t>as a Lender</w:t>
            </w:r>
          </w:p>
        </w:tc>
      </w:tr>
      <w:tr>
        <w:trPr>
          <w:trHeight w:val="463"/>
        </w:trPr>
        <w:tc>
          <w:tcPr>
            <w:tcW w:w="1380" w:type="dxa"/>
            <w:vAlign w:val="bottom"/>
          </w:tcPr>
          <w:p>
            <w:pPr>
              <w:ind w:left="32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Virginia Pulverenti</w:t>
            </w:r>
          </w:p>
        </w:tc>
      </w:tr>
      <w:tr>
        <w:trPr>
          <w:trHeight w:val="461"/>
        </w:trPr>
        <w:tc>
          <w:tcPr>
            <w:tcW w:w="1380" w:type="dxa"/>
            <w:vAlign w:val="bottom"/>
          </w:tcPr>
          <w:p>
            <w:pPr>
              <w:ind w:left="320"/>
              <w:spacing w:after="0"/>
              <w:rPr>
                <w:sz w:val="20"/>
                <w:szCs w:val="20"/>
                <w:color w:val="auto"/>
              </w:rPr>
            </w:pPr>
            <w:r>
              <w:rPr>
                <w:rFonts w:ascii="Arial" w:cs="Arial" w:eastAsia="Arial" w:hAnsi="Arial"/>
                <w:sz w:val="20"/>
                <w:szCs w:val="20"/>
                <w:color w:val="auto"/>
              </w:rPr>
              <w:t>Name:</w:t>
            </w:r>
          </w:p>
        </w:tc>
        <w:tc>
          <w:tcPr>
            <w:tcW w:w="5640" w:type="dxa"/>
            <w:vAlign w:val="bottom"/>
          </w:tcPr>
          <w:p>
            <w:pPr>
              <w:ind w:left="20"/>
              <w:spacing w:after="0"/>
              <w:rPr>
                <w:sz w:val="20"/>
                <w:szCs w:val="20"/>
                <w:color w:val="auto"/>
              </w:rPr>
            </w:pPr>
            <w:r>
              <w:rPr>
                <w:rFonts w:ascii="Arial" w:cs="Arial" w:eastAsia="Arial" w:hAnsi="Arial"/>
                <w:sz w:val="20"/>
                <w:szCs w:val="20"/>
                <w:color w:val="auto"/>
              </w:rPr>
              <w:t>Virginia Pulverenti</w:t>
            </w:r>
          </w:p>
        </w:tc>
      </w:tr>
      <w:tr>
        <w:trPr>
          <w:trHeight w:val="485"/>
        </w:trPr>
        <w:tc>
          <w:tcPr>
            <w:tcW w:w="1380" w:type="dxa"/>
            <w:vAlign w:val="bottom"/>
          </w:tcPr>
          <w:p>
            <w:pPr>
              <w:ind w:left="320"/>
              <w:spacing w:after="0"/>
              <w:rPr>
                <w:sz w:val="20"/>
                <w:szCs w:val="20"/>
                <w:color w:val="auto"/>
              </w:rPr>
            </w:pPr>
            <w:r>
              <w:rPr>
                <w:rFonts w:ascii="Arial" w:cs="Arial" w:eastAsia="Arial" w:hAnsi="Arial"/>
                <w:sz w:val="20"/>
                <w:szCs w:val="20"/>
                <w:color w:val="auto"/>
              </w:rPr>
              <w:t>Title:</w:t>
            </w:r>
          </w:p>
        </w:tc>
        <w:tc>
          <w:tcPr>
            <w:tcW w:w="56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[HEES—CREDIT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68"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20"/>
          <w:szCs w:val="20"/>
          <w:b w:val="1"/>
          <w:bCs w:val="1"/>
          <w:u w:val="single" w:color="auto"/>
          <w:color w:val="auto"/>
        </w:rPr>
        <w:t>Schedule 3.1</w:t>
      </w:r>
    </w:p>
    <w:p>
      <w:pPr>
        <w:spacing w:after="0" w:line="221" w:lineRule="exact"/>
        <w:rPr>
          <w:sz w:val="20"/>
          <w:szCs w:val="20"/>
          <w:color w:val="auto"/>
        </w:rPr>
      </w:pPr>
    </w:p>
    <w:p>
      <w:pPr>
        <w:jc w:val="both"/>
        <w:ind w:firstLine="757"/>
        <w:spacing w:after="0" w:line="256" w:lineRule="auto"/>
        <w:tabs>
          <w:tab w:leader="none" w:pos="1144"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Agent shall have received reasonably satisfactory evidence that the Agent (on behalf of the Lender Group) shall have a valid and perfected first priority (subject to the exceptions set forth in this Agreement) Lien and security interest in the Collateral (including, without limitation, receipt of all certificates evidencing pledged Equity Interests, with accompanying executed stock powers, and all UCC financing statements to be filed in the applicable government UCC filing offices), and all filings, recordations and customary lien searches (the results of which shall demonstrate that, after giving effect to this Agreement and the transactions contemplated herein on the Sixth Restatement Effective Date, no Liens exist with respect to any Collateral, other than Permitted Liens) necessary or desirable in connection with the security interests in and Liens on the Collateral shall have been duly made or obtained and all filing and recording fees and taxes in connection therewith shall have been duly paid (or will be paid in connection with the consummation of the transactions contemplated to occur on the Sixth Restatement Effective Date));</w:t>
      </w:r>
    </w:p>
    <w:p>
      <w:pPr>
        <w:spacing w:after="0" w:line="181" w:lineRule="exact"/>
        <w:rPr>
          <w:rFonts w:ascii="Arial" w:cs="Arial" w:eastAsia="Arial" w:hAnsi="Arial"/>
          <w:sz w:val="19"/>
          <w:szCs w:val="19"/>
          <w:color w:val="auto"/>
        </w:rPr>
      </w:pPr>
    </w:p>
    <w:p>
      <w:pPr>
        <w:ind w:right="40" w:firstLine="757"/>
        <w:spacing w:after="0" w:line="260" w:lineRule="auto"/>
        <w:tabs>
          <w:tab w:leader="none" w:pos="114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Agent shall have received each of the following documents, in form and substance reasonably satisfactory to Agent, duly executed and delivered, and each such document shall be in full force and effect:</w:t>
      </w:r>
    </w:p>
    <w:p>
      <w:pPr>
        <w:spacing w:after="0" w:line="175" w:lineRule="exact"/>
        <w:rPr>
          <w:rFonts w:ascii="Arial" w:cs="Arial" w:eastAsia="Arial" w:hAnsi="Arial"/>
          <w:sz w:val="20"/>
          <w:szCs w:val="20"/>
          <w:color w:val="auto"/>
        </w:rPr>
      </w:pPr>
    </w:p>
    <w:p>
      <w:pPr>
        <w:ind w:left="1900" w:hanging="395"/>
        <w:spacing w:after="0"/>
        <w:tabs>
          <w:tab w:leader="none" w:pos="190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a completed Borrowing Base Certificate,</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this Agreement,</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the Guaranty and Security Agreement,</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the Intercompany Subordination Agreement,</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the Fee Letter, and</w:t>
      </w:r>
    </w:p>
    <w:p>
      <w:pPr>
        <w:spacing w:after="0" w:line="214" w:lineRule="exact"/>
        <w:rPr>
          <w:rFonts w:ascii="Arial" w:cs="Arial" w:eastAsia="Arial" w:hAnsi="Arial"/>
          <w:sz w:val="20"/>
          <w:szCs w:val="20"/>
          <w:color w:val="auto"/>
        </w:rPr>
      </w:pPr>
    </w:p>
    <w:p>
      <w:pPr>
        <w:ind w:left="1900" w:hanging="395"/>
        <w:spacing w:after="0"/>
        <w:tabs>
          <w:tab w:leader="none" w:pos="1900" w:val="left"/>
        </w:tabs>
        <w:numPr>
          <w:ilvl w:val="1"/>
          <w:numId w:val="290"/>
        </w:numPr>
        <w:rPr>
          <w:rFonts w:ascii="Arial" w:cs="Arial" w:eastAsia="Arial" w:hAnsi="Arial"/>
          <w:sz w:val="20"/>
          <w:szCs w:val="20"/>
          <w:color w:val="auto"/>
        </w:rPr>
      </w:pPr>
      <w:r>
        <w:rPr>
          <w:rFonts w:ascii="Arial" w:cs="Arial" w:eastAsia="Arial" w:hAnsi="Arial"/>
          <w:sz w:val="20"/>
          <w:szCs w:val="20"/>
          <w:color w:val="auto"/>
        </w:rPr>
        <w:t>a completed Perfection Certificate for each of the Loan Parties,</w:t>
      </w:r>
    </w:p>
    <w:p>
      <w:pPr>
        <w:spacing w:after="0" w:line="214" w:lineRule="exact"/>
        <w:rPr>
          <w:rFonts w:ascii="Arial" w:cs="Arial" w:eastAsia="Arial" w:hAnsi="Arial"/>
          <w:sz w:val="20"/>
          <w:szCs w:val="20"/>
          <w:color w:val="auto"/>
        </w:rPr>
      </w:pPr>
    </w:p>
    <w:p>
      <w:pPr>
        <w:jc w:val="both"/>
        <w:ind w:firstLine="757"/>
        <w:spacing w:after="0" w:line="246" w:lineRule="auto"/>
        <w:tabs>
          <w:tab w:leader="none" w:pos="114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Agent shall have received a certificate from the chief financial officer of Parent substantially in the form of </w:t>
      </w:r>
      <w:r>
        <w:rPr>
          <w:rFonts w:ascii="Arial" w:cs="Arial" w:eastAsia="Arial" w:hAnsi="Arial"/>
          <w:sz w:val="20"/>
          <w:szCs w:val="20"/>
          <w:u w:val="single" w:color="auto"/>
          <w:color w:val="auto"/>
        </w:rPr>
        <w:t>Exhibit S-1</w:t>
      </w:r>
      <w:r>
        <w:rPr>
          <w:rFonts w:ascii="Arial" w:cs="Arial" w:eastAsia="Arial" w:hAnsi="Arial"/>
          <w:sz w:val="20"/>
          <w:szCs w:val="20"/>
          <w:color w:val="auto"/>
        </w:rPr>
        <w:t xml:space="preserve"> attached hereto, certifying that on the Sixth Restatement Effective Date and immediately after giving effect to the transactions contemplated herein and the making of all Loans to be made on the Sixth Restatement Effective Date, Parent and its Restricted Subsidiaries (on a consolidated basis) are Solvent;</w:t>
      </w:r>
    </w:p>
    <w:p>
      <w:pPr>
        <w:spacing w:after="0" w:line="189" w:lineRule="exact"/>
        <w:rPr>
          <w:rFonts w:ascii="Arial" w:cs="Arial" w:eastAsia="Arial" w:hAnsi="Arial"/>
          <w:sz w:val="20"/>
          <w:szCs w:val="20"/>
          <w:color w:val="auto"/>
        </w:rPr>
      </w:pPr>
    </w:p>
    <w:p>
      <w:pPr>
        <w:jc w:val="both"/>
        <w:ind w:firstLine="757"/>
        <w:spacing w:after="0" w:line="246" w:lineRule="auto"/>
        <w:tabs>
          <w:tab w:leader="none" w:pos="114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Agent shall have received a certificate from an Authorized Officer of each Loan Party (i) certifying as to the resolutions of such Loan Party’s board of directors (or comparable governing body) authorizing its execution, delivery, and performance of the Loan Documents to which it is a party, and authorizing specific officers of such Loan Party to execute the same, and (ii) certifying as to the incumbency and signatures of the officers of such Loan Party executing the Loan Documents;</w:t>
      </w:r>
    </w:p>
    <w:p>
      <w:pPr>
        <w:spacing w:after="0" w:line="189" w:lineRule="exact"/>
        <w:rPr>
          <w:rFonts w:ascii="Arial" w:cs="Arial" w:eastAsia="Arial" w:hAnsi="Arial"/>
          <w:sz w:val="20"/>
          <w:szCs w:val="20"/>
          <w:color w:val="auto"/>
        </w:rPr>
      </w:pPr>
    </w:p>
    <w:p>
      <w:pPr>
        <w:jc w:val="both"/>
        <w:ind w:firstLine="757"/>
        <w:spacing w:after="0" w:line="246" w:lineRule="auto"/>
        <w:tabs>
          <w:tab w:leader="none" w:pos="114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Agent shall have received copies of each Loan Party’s Governing Documents, as amended, modified, or supplemented to the Sixth Restatement Effective Date, which Governing Documents shall be (i) certified by an Authorized Officer of such Loan Party, and (ii) with respect to Governing Documents that are charter documents, certified as of a recent date (not more than 30 days prior to the Sixth Restatement Effective Date) by the appropriate governmental official;</w:t>
      </w:r>
    </w:p>
    <w:p>
      <w:pPr>
        <w:spacing w:after="0" w:line="189" w:lineRule="exact"/>
        <w:rPr>
          <w:rFonts w:ascii="Arial" w:cs="Arial" w:eastAsia="Arial" w:hAnsi="Arial"/>
          <w:sz w:val="20"/>
          <w:szCs w:val="20"/>
          <w:color w:val="auto"/>
        </w:rPr>
      </w:pPr>
    </w:p>
    <w:p>
      <w:pPr>
        <w:jc w:val="both"/>
        <w:ind w:right="20" w:firstLine="757"/>
        <w:spacing w:after="0" w:line="290" w:lineRule="auto"/>
        <w:tabs>
          <w:tab w:leader="none" w:pos="11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Agent shall have received a certificate of good standing (or equivalent thereof) with respect to each Loan Party (to the extent such concept exists in the relevant jurisdiction), dated as of a recent date, such certificate to be issued by the appropriate authority of the jurisdiction of organization of such Loan Party, which certificate shall indicate that such Loan Party is in good standing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9" w:name="page280"/>
    <w:bookmarkEnd w:id="279"/>
    <w:p>
      <w:pPr>
        <w:ind w:left="-757" w:firstLine="757"/>
        <w:spacing w:after="0" w:line="260"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 xml:space="preserve">Agent shall have received certificates of insurance, together with the endorsements thereto, as are required by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of this Agreement, the form and substance of which shall be reasonably satisfactory to Agent;</w:t>
      </w:r>
    </w:p>
    <w:p>
      <w:pPr>
        <w:spacing w:after="0" w:line="175" w:lineRule="exact"/>
        <w:rPr>
          <w:rFonts w:ascii="Arial" w:cs="Arial" w:eastAsia="Arial" w:hAnsi="Arial"/>
          <w:sz w:val="20"/>
          <w:szCs w:val="20"/>
          <w:color w:val="auto"/>
        </w:rPr>
      </w:pPr>
    </w:p>
    <w:p>
      <w:pPr>
        <w:ind w:left="-757" w:right="20" w:firstLine="757"/>
        <w:spacing w:after="0" w:line="260"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Agent shall have received an opinion of the Loan Parties’ counsel, including, without limitation opinions of local counsel as may be reasonably requested by the Agent, in each case, in form and substance reasonably satisfactory to Agent;</w:t>
      </w:r>
    </w:p>
    <w:p>
      <w:pPr>
        <w:spacing w:after="0" w:line="175" w:lineRule="exact"/>
        <w:rPr>
          <w:rFonts w:ascii="Arial" w:cs="Arial" w:eastAsia="Arial" w:hAnsi="Arial"/>
          <w:sz w:val="20"/>
          <w:szCs w:val="20"/>
          <w:color w:val="auto"/>
        </w:rPr>
      </w:pPr>
    </w:p>
    <w:p>
      <w:pPr>
        <w:jc w:val="both"/>
        <w:ind w:left="-757" w:firstLine="757"/>
        <w:spacing w:after="0" w:line="249"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Availability, after giving effect to the extensions of credit on the Sixth Restatement Effective Date under this Agreement and the payment of all fees and expenses required to be paid by Borrowers on the Sixth Restatement Effective Date under this Agreement or the other Loan Documents, shall equal or exceed $250,000,000;</w:t>
      </w:r>
    </w:p>
    <w:p>
      <w:pPr>
        <w:spacing w:after="0" w:line="187" w:lineRule="exact"/>
        <w:rPr>
          <w:rFonts w:ascii="Arial" w:cs="Arial" w:eastAsia="Arial" w:hAnsi="Arial"/>
          <w:sz w:val="20"/>
          <w:szCs w:val="20"/>
          <w:color w:val="auto"/>
        </w:rPr>
      </w:pPr>
    </w:p>
    <w:p>
      <w:pPr>
        <w:jc w:val="both"/>
        <w:ind w:left="-757" w:firstLine="757"/>
        <w:spacing w:after="0" w:line="242"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Agent and the Lenders shall have received, at least five Business Days before the Sixth Restatement Effective Date, all documentation and other information required to complete (i) Patriot Act searches, OFAC/PEP searches and customary individual background checks for each Loan Party, (ii) OFAC/PEP searches and customary individual background searches for each Loan Party’s senior management and key principals, the results of which shall be satisfactory to Agent and the Lenders, and (iii) all other documentation and other information required by regulatory authorities under applicable “know your customer” and anti-money laundering rules and regulations, including, without limitation, the PATRIOT Act, in each case, to the extent requested in writing at least ten Business Days before the Sixth Restatement Effective Date;</w:t>
      </w:r>
    </w:p>
    <w:p>
      <w:pPr>
        <w:spacing w:after="0" w:line="197" w:lineRule="exact"/>
        <w:rPr>
          <w:rFonts w:ascii="Arial" w:cs="Arial" w:eastAsia="Arial" w:hAnsi="Arial"/>
          <w:sz w:val="20"/>
          <w:szCs w:val="20"/>
          <w:color w:val="auto"/>
        </w:rPr>
      </w:pPr>
    </w:p>
    <w:p>
      <w:pPr>
        <w:jc w:val="both"/>
        <w:ind w:left="-757" w:firstLine="757"/>
        <w:spacing w:after="0" w:line="246"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Borrowers shall have paid the fees set forth in the Fee Letter to be paid on the Sixth Restatement Effective Date and all Lender Group Expenses incurred in connection with the transactions evidenced by this Agreement and the other Loan Documents (subject, in the case of Lender Group Expenses, to receipt by Parent of an invoice therefor), which such fees and expenses may, if applicable, be netted from proceeds of any Loans to be funded on the Sixth Restatement Effective Date;</w:t>
      </w:r>
    </w:p>
    <w:p>
      <w:pPr>
        <w:spacing w:after="0" w:line="189" w:lineRule="exact"/>
        <w:rPr>
          <w:rFonts w:ascii="Arial" w:cs="Arial" w:eastAsia="Arial" w:hAnsi="Arial"/>
          <w:sz w:val="20"/>
          <w:szCs w:val="20"/>
          <w:color w:val="auto"/>
        </w:rPr>
      </w:pPr>
    </w:p>
    <w:p>
      <w:pPr>
        <w:jc w:val="both"/>
        <w:ind w:left="-757" w:firstLine="757"/>
        <w:spacing w:after="0" w:line="244"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Parent and each of its Restricted Subsidiaries shall have received all governmental and third party approvals necessary or, in the reasonable opinion of Agent, advisable in connection with this Agreement or the transactions contemplated by the Loan Documents, which shall all be in full force and effect, and all applicable waiting periods shall have expired without any action being taken or threatened by any competent authority which would restrain, prevent or otherwise impose adverse conditions on the Credit Agreement or the transactions contemplated by the Loan Documents;</w:t>
      </w:r>
    </w:p>
    <w:p>
      <w:pPr>
        <w:spacing w:after="0" w:line="192" w:lineRule="exact"/>
        <w:rPr>
          <w:rFonts w:ascii="Arial" w:cs="Arial" w:eastAsia="Arial" w:hAnsi="Arial"/>
          <w:sz w:val="20"/>
          <w:szCs w:val="20"/>
          <w:color w:val="auto"/>
        </w:rPr>
      </w:pPr>
    </w:p>
    <w:p>
      <w:pPr>
        <w:ind w:left="403" w:hanging="403"/>
        <w:spacing w:after="0"/>
        <w:tabs>
          <w:tab w:leader="none" w:pos="403" w:val="left"/>
        </w:tabs>
        <w:numPr>
          <w:ilvl w:val="0"/>
          <w:numId w:val="29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4" w:lineRule="exact"/>
        <w:rPr>
          <w:rFonts w:ascii="Arial" w:cs="Arial" w:eastAsia="Arial" w:hAnsi="Arial"/>
          <w:sz w:val="20"/>
          <w:szCs w:val="20"/>
          <w:color w:val="auto"/>
        </w:rPr>
      </w:pPr>
    </w:p>
    <w:p>
      <w:pPr>
        <w:ind w:left="-757" w:right="20" w:firstLine="757"/>
        <w:spacing w:after="0" w:line="260"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Agent shall have received Projections for the Loan Parties and their Subsidiaries, prepared on an annual basis for the term of this Agreement;</w:t>
      </w:r>
    </w:p>
    <w:p>
      <w:pPr>
        <w:spacing w:after="0" w:line="175" w:lineRule="exact"/>
        <w:rPr>
          <w:rFonts w:ascii="Arial" w:cs="Arial" w:eastAsia="Arial" w:hAnsi="Arial"/>
          <w:sz w:val="20"/>
          <w:szCs w:val="20"/>
          <w:color w:val="auto"/>
        </w:rPr>
      </w:pPr>
    </w:p>
    <w:p>
      <w:pPr>
        <w:ind w:left="403" w:hanging="403"/>
        <w:spacing w:after="0"/>
        <w:tabs>
          <w:tab w:leader="none" w:pos="403"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Sixth Restatement Effective Date shall have occurred on or before February 2, 2023; and</w:t>
      </w:r>
    </w:p>
    <w:p>
      <w:pPr>
        <w:spacing w:after="0" w:line="214" w:lineRule="exact"/>
        <w:rPr>
          <w:rFonts w:ascii="Arial" w:cs="Arial" w:eastAsia="Arial" w:hAnsi="Arial"/>
          <w:sz w:val="20"/>
          <w:szCs w:val="20"/>
          <w:color w:val="auto"/>
        </w:rPr>
      </w:pPr>
    </w:p>
    <w:p>
      <w:pPr>
        <w:ind w:left="-757" w:right="20" w:firstLine="757"/>
        <w:spacing w:after="0" w:line="260" w:lineRule="auto"/>
        <w:tabs>
          <w:tab w:leader="none" w:pos="38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all other documents and legal matters in connection with the transactions contemplated by this Agreement shall have been delivered, executed, or recorded and shall be in form and substance reasonably satisfactory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640715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2"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20"/>
          <w:szCs w:val="20"/>
          <w:b w:val="1"/>
          <w:bCs w:val="1"/>
          <w:u w:val="single" w:color="auto"/>
          <w:color w:val="auto"/>
        </w:rPr>
        <w:t>Schedule 5.1</w:t>
      </w:r>
    </w:p>
    <w:p>
      <w:pPr>
        <w:spacing w:after="0" w:line="22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Deliver to Agent (and if so requested by Agent in writing, with copies for each Lender) each of the financial statements, reports, or other items set forth below at the following times in form reasonably satisfactory to Agent in its Permitted Discretion: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2420" w:type="dxa"/>
            <w:vAlign w:val="bottom"/>
            <w:tcBorders>
              <w:top w:val="single" w:sz="8" w:color="auto"/>
              <w:bottom w:val="single" w:sz="8" w:color="auto"/>
              <w:right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46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020" w:type="dxa"/>
            <w:vAlign w:val="bottom"/>
            <w:tcBorders>
              <w:top w:val="single" w:sz="8" w:color="auto"/>
              <w:bottom w:val="single" w:sz="8" w:color="auto"/>
              <w:right w:val="single" w:sz="8" w:color="auto"/>
            </w:tcBorders>
          </w:tcPr>
          <w:p>
            <w:pPr>
              <w:spacing w:after="0"/>
              <w:rPr>
                <w:sz w:val="3"/>
                <w:szCs w:val="3"/>
                <w:color w:val="auto"/>
              </w:rPr>
            </w:pPr>
          </w:p>
        </w:tc>
      </w:tr>
      <w:tr>
        <w:trPr>
          <w:trHeight w:val="422"/>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as soon as available, but in</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2"/>
              </w:rPr>
              <w:t>(a)  an unaudited consolidated balance sheet, income statement, statement of cash flow, and statement of</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any event within 30 days</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3"/>
              </w:rPr>
              <w:t>shareholder’s equity covering Parent’s and its Restricted Subsidiaries’ operations during such period and</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the end of each of</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0"/>
              </w:rPr>
              <w:t>compared to the corresponding period in the prior year and to the annual operating plan for such fiscal year,</w:t>
            </w: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Parent’s fiscal months</w:t>
            </w:r>
          </w:p>
        </w:tc>
        <w:tc>
          <w:tcPr>
            <w:tcW w:w="440" w:type="dxa"/>
            <w:vAlign w:val="bottom"/>
          </w:tcPr>
          <w:p>
            <w:pPr>
              <w:ind w:left="100"/>
              <w:spacing w:after="0"/>
              <w:rPr>
                <w:sz w:val="20"/>
                <w:szCs w:val="20"/>
                <w:color w:val="auto"/>
              </w:rPr>
            </w:pPr>
            <w:r>
              <w:rPr>
                <w:rFonts w:ascii="Arial" w:cs="Arial" w:eastAsia="Arial" w:hAnsi="Arial"/>
                <w:sz w:val="20"/>
                <w:szCs w:val="20"/>
                <w:color w:val="auto"/>
                <w:w w:val="95"/>
              </w:rPr>
              <w:t>and</w:t>
            </w:r>
          </w:p>
        </w:tc>
        <w:tc>
          <w:tcPr>
            <w:tcW w:w="4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r>
      <w:tr>
        <w:trPr>
          <w:trHeight w:val="869"/>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3"/>
              </w:rPr>
              <w:t>(b)  a Compliance Certificate along with the underlying calculations, including the calculations to arrive at</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2"/>
              </w:rPr>
              <w:t>EBITDA of Parent and its Restricted Subsidiaries, and Fixed Charge Coverage Ratio (even if no Covenant</w:t>
            </w: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c>
          <w:tcPr>
            <w:tcW w:w="87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20"/>
                <w:szCs w:val="20"/>
                <w:color w:val="auto"/>
              </w:rPr>
              <w:t>Testing Period then exists)</w:t>
            </w: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as soon as available, but in</w:t>
            </w:r>
          </w:p>
        </w:tc>
        <w:tc>
          <w:tcPr>
            <w:tcW w:w="440" w:type="dxa"/>
            <w:vAlign w:val="bottom"/>
          </w:tcPr>
          <w:p>
            <w:pPr>
              <w:ind w:left="100"/>
              <w:spacing w:after="0"/>
              <w:rPr>
                <w:sz w:val="20"/>
                <w:szCs w:val="20"/>
                <w:color w:val="auto"/>
              </w:rPr>
            </w:pPr>
            <w:r>
              <w:rPr>
                <w:rFonts w:ascii="Arial" w:cs="Arial" w:eastAsia="Arial" w:hAnsi="Arial"/>
                <w:sz w:val="20"/>
                <w:szCs w:val="20"/>
                <w:color w:val="auto"/>
              </w:rPr>
              <w:t>(c)</w:t>
            </w:r>
          </w:p>
        </w:tc>
        <w:tc>
          <w:tcPr>
            <w:tcW w:w="834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color w:val="auto"/>
                <w:w w:val="99"/>
              </w:rPr>
              <w:t>an unaudited consolidated (and consolidating, if applicable) balance sheet, income statement,</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any event within 45 days</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rPr>
              <w:t>statement of cash flow, and statement of shareholder’s equity covering Parent’s and its Restricted</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the end of each of</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1"/>
              </w:rPr>
              <w:t>Subsidiaries’ operations during such period and compared to the corresponding period in the prior year and</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Parent’s fiscal quarters</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2"/>
              </w:rPr>
              <w:t>to the annual operating plan for such fiscal year, together with a corresponding discussion and analysis of</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1"/>
              </w:rPr>
              <w:t>results from management, (it being understood and agreed that the delivery of Parent’s Form 10-Q (as filed</w:t>
            </w: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rPr>
              <w:t>with the SEC) shall satisfy the requirements set forth in this clause) and</w:t>
            </w:r>
          </w:p>
        </w:tc>
      </w:tr>
      <w:tr>
        <w:trPr>
          <w:trHeight w:val="89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(d)</w:t>
            </w:r>
          </w:p>
        </w:tc>
        <w:tc>
          <w:tcPr>
            <w:tcW w:w="83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[reserved].</w:t>
            </w: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as soon as available, but in</w:t>
            </w:r>
          </w:p>
        </w:tc>
        <w:tc>
          <w:tcPr>
            <w:tcW w:w="440" w:type="dxa"/>
            <w:vAlign w:val="bottom"/>
          </w:tcPr>
          <w:p>
            <w:pPr>
              <w:ind w:left="100"/>
              <w:spacing w:after="0"/>
              <w:rPr>
                <w:sz w:val="20"/>
                <w:szCs w:val="20"/>
                <w:color w:val="auto"/>
              </w:rPr>
            </w:pPr>
            <w:r>
              <w:rPr>
                <w:rFonts w:ascii="Arial" w:cs="Arial" w:eastAsia="Arial" w:hAnsi="Arial"/>
                <w:sz w:val="20"/>
                <w:szCs w:val="20"/>
                <w:color w:val="auto"/>
              </w:rPr>
              <w:t>(e)</w:t>
            </w:r>
          </w:p>
        </w:tc>
        <w:tc>
          <w:tcPr>
            <w:tcW w:w="834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color w:val="auto"/>
                <w:w w:val="98"/>
              </w:rPr>
              <w:t>consolidated (and consolidating, if applicable) financial statements of Parent and its Restricted</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any event within 90 days</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6"/>
              </w:rPr>
              <w:t>Subsidiaries for each such fiscal year, audited by independent certified public accountants reasonably</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the end of each of</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8"/>
              </w:rPr>
              <w:t>acceptable to Agent and certified, without any qualifications (including any (i) “going concern” or like</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Parent’s fiscal years,</w:t>
            </w: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rPr>
              <w:t>qualification or exception, or (ii) qualification or exception as to the scope of such audit), by such</w:t>
            </w: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8780" w:type="dxa"/>
            <w:vAlign w:val="bottom"/>
            <w:tcBorders>
              <w:right w:val="single" w:sz="8" w:color="auto"/>
            </w:tcBorders>
            <w:gridSpan w:val="4"/>
          </w:tcPr>
          <w:p>
            <w:pPr>
              <w:ind w:left="100"/>
              <w:spacing w:after="0" w:line="206" w:lineRule="exact"/>
              <w:rPr>
                <w:sz w:val="20"/>
                <w:szCs w:val="20"/>
                <w:color w:val="auto"/>
              </w:rPr>
            </w:pPr>
            <w:r>
              <w:rPr>
                <w:rFonts w:ascii="Arial" w:cs="Arial" w:eastAsia="Arial" w:hAnsi="Arial"/>
                <w:sz w:val="20"/>
                <w:szCs w:val="20"/>
                <w:color w:val="auto"/>
                <w:w w:val="91"/>
              </w:rPr>
              <w:t>accountants to have been prepared in accordance with GAAP (provided that it shall not be a violation of the</w:t>
            </w: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20" w:type="dxa"/>
            <w:vAlign w:val="bottom"/>
            <w:tcBorders>
              <w:right w:val="single" w:sz="8" w:color="auto"/>
            </w:tcBorders>
          </w:tcPr>
          <w:p>
            <w:pPr>
              <w:spacing w:after="0" w:line="20" w:lineRule="exact"/>
              <w:rPr>
                <w:sz w:val="1"/>
                <w:szCs w:val="1"/>
                <w:color w:val="auto"/>
              </w:rPr>
            </w:pPr>
          </w:p>
        </w:tc>
      </w:tr>
      <w:tr>
        <w:trPr>
          <w:trHeight w:val="233"/>
        </w:trPr>
        <w:tc>
          <w:tcPr>
            <w:tcW w:w="40" w:type="dxa"/>
            <w:vAlign w:val="bottom"/>
            <w:tcBorders>
              <w:right w:val="single" w:sz="8" w:color="auto"/>
            </w:tcBorders>
            <w:shd w:val="clear" w:color="auto" w:fill="000000"/>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3"/>
              </w:rPr>
              <w:t>foregoing if the certification for the fiscal year ending immediately prior to the Maturity Date is subject to a</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4"/>
              </w:rPr>
              <w:t>“going concern” or other qualification solely as a result of such impending Maturity Date occurring within</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5"/>
              </w:rPr>
              <w:t>one year after the date on which the report is delivered) (such audited financial statements to include a</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4"/>
              </w:rPr>
              <w:t>balance sheet, income statement, statement of cash flow, and statement of shareholder’s equity, and, if</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4"/>
              </w:rPr>
              <w:t>prepared, such accountants’ letter to management) (it being understood and agreed that the delivery of</w:t>
            </w: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8"/>
              </w:rPr>
              <w:t>Parent’s Form 10-K (as filed with the SEC) shall satisfy the requirements set forth in this clause with</w:t>
            </w: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rPr>
              <w:t>respect to the audited consolidated and consolidating financial statements) and</w:t>
            </w:r>
          </w:p>
        </w:tc>
      </w:tr>
      <w:tr>
        <w:trPr>
          <w:trHeight w:val="45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391"/>
        </w:trPr>
        <w:tc>
          <w:tcPr>
            <w:tcW w:w="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455"/>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2420" w:type="dxa"/>
            <w:vAlign w:val="bottom"/>
            <w:tcBorders>
              <w:top w:val="single" w:sz="8" w:color="auto"/>
              <w:right w:val="single" w:sz="8" w:color="auto"/>
            </w:tcBorders>
          </w:tcPr>
          <w:p>
            <w:pPr>
              <w:spacing w:after="0"/>
              <w:rPr>
                <w:sz w:val="24"/>
                <w:szCs w:val="24"/>
                <w:color w:val="auto"/>
              </w:rPr>
            </w:pPr>
          </w:p>
        </w:tc>
        <w:tc>
          <w:tcPr>
            <w:tcW w:w="8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4"/>
              </w:rPr>
              <w:t>(f)  a Compliance Certificate along with the underlying calculations, including the calculations to arrive at</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EBITDA of Parent and its Restricted Subsidiaries and Fixed Charge Coverage Ratio (even if no covenant</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Testing Period then exists).</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8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as soon as available, but in</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  copies of Parent’s Projections, in form and substance (including as to scope and underlying</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any event within 60 days</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assumptions) reasonably satisfactory to Agent, in its Permitted Discretion, for such fiscal year and the</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the start of each of</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forthcoming two years, year-by-year, and for such fiscal year, month-by-month, certified by the chief</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Parent’s fiscal years,</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financial officer of Parent as being such officer’s good faith estimate of the financial performance of Parent</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420" w:type="dxa"/>
            <w:vAlign w:val="bottom"/>
            <w:tcBorders>
              <w:bottom w:val="single" w:sz="8" w:color="auto"/>
              <w:right w:val="single" w:sz="8" w:color="auto"/>
            </w:tcBorders>
          </w:tcPr>
          <w:p>
            <w:pPr>
              <w:spacing w:after="0"/>
              <w:rPr>
                <w:sz w:val="22"/>
                <w:szCs w:val="22"/>
                <w:color w:val="auto"/>
              </w:rPr>
            </w:pPr>
          </w:p>
        </w:tc>
        <w:tc>
          <w:tcPr>
            <w:tcW w:w="8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and its Restricted Subsidiaries during the period covered thereby.</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Promptly after the sending</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  Form 10-Q quarterly reports, Form 10-K annual reports, and Form 8-K current reports,</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or filing thereof by Parent</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(provided, that such</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materials filed with the</w:t>
            </w:r>
          </w:p>
        </w:tc>
        <w:tc>
          <w:tcPr>
            <w:tcW w:w="8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(i)  any other public filings made by Parent with the SEC, and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SEC shall be deemed</w:t>
            </w:r>
          </w:p>
        </w:tc>
        <w:tc>
          <w:tcPr>
            <w:tcW w:w="87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delivered when posted to</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 SEC website),</w:t>
            </w:r>
          </w:p>
        </w:tc>
        <w:tc>
          <w:tcPr>
            <w:tcW w:w="8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8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  any other information that is provided by Parent to its shareholders generally.</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promptly, but in any event</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(k)  notice of such event or condition and a statement of the curative action, if any, that Loan Parties</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within five Business Days</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propose to take with respect thereto.</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any Loan Party has</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knowledge of any event or</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condition that constitutes a</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Default or an Event of</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Default,</w:t>
            </w: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promptly after the</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  notice of all actions, suits, or proceedings brought by or against Parent or any of its Restricted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commencement thereof,</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Subsidiaries before any Governmental Authority which reasonably could be expected to result in a Material</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but in any event within five</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Adverse Effect.</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Business Days after the</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service of process with</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respect thereto on Parent or</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any of its Restricted</w:t>
            </w:r>
          </w:p>
        </w:tc>
        <w:tc>
          <w:tcPr>
            <w:tcW w:w="8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Subsidiaries,</w:t>
            </w:r>
          </w:p>
        </w:tc>
        <w:tc>
          <w:tcPr>
            <w:tcW w:w="8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4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upon the written request of</w:t>
            </w:r>
          </w:p>
        </w:tc>
        <w:tc>
          <w:tcPr>
            <w:tcW w:w="8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 any other information reasonably requested relating to the financial condition of Parent or its</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Agent,</w:t>
            </w:r>
          </w:p>
        </w:tc>
        <w:tc>
          <w:tcPr>
            <w:tcW w:w="8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Restricted Subsidiaries.</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8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20"/>
          <w:szCs w:val="20"/>
          <w:b w:val="1"/>
          <w:bCs w:val="1"/>
          <w:u w:val="single" w:color="auto"/>
          <w:color w:val="auto"/>
        </w:rPr>
        <w:t>Schedule 5.2</w:t>
      </w:r>
    </w:p>
    <w:p>
      <w:pPr>
        <w:spacing w:after="0" w:line="221"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Provide Agent (and if so requested by Agent in writing, with copies for each Lender) with each of the documents set forth below at the following times in form reasonably satisfactory to Agent in its Permitted Discretion: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2840" w:type="dxa"/>
            <w:vAlign w:val="bottom"/>
            <w:tcBorders>
              <w:top w:val="single" w:sz="8" w:color="auto"/>
              <w:bottom w:val="single" w:sz="8" w:color="auto"/>
              <w:right w:val="single" w:sz="8" w:color="auto"/>
            </w:tcBorders>
          </w:tcPr>
          <w:p>
            <w:pPr>
              <w:spacing w:after="0"/>
              <w:rPr>
                <w:sz w:val="3"/>
                <w:szCs w:val="3"/>
                <w:color w:val="auto"/>
              </w:rPr>
            </w:pPr>
          </w:p>
        </w:tc>
        <w:tc>
          <w:tcPr>
            <w:tcW w:w="83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84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If (x) no Increased Reporting</w:t>
            </w:r>
          </w:p>
        </w:tc>
        <w:tc>
          <w:tcPr>
            <w:tcW w:w="83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(a) an executed Borrowing Base Certificate,</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Period is in effect, monthly (no</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0"/>
              </w:rPr>
              <w:t>(b) a detailed aging, by total, of each Loan Party’s Accounts and to the extent there are any reconciling</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8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w w:val="99"/>
              </w:rPr>
              <w:t>later than the 20th day of each</w:t>
            </w:r>
          </w:p>
        </w:tc>
        <w:tc>
          <w:tcPr>
            <w:tcW w:w="83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month), or (y) an Increased</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items, a reconciliation and supporting documentation for any reconciling items noted,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Reporting Period is in effect,</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4"/>
              </w:rPr>
              <w:t>(c) a monthly Account roll-forward tied to the beginning and ending account receivable balances of</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84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rPr>
              <w:t>weekly (no later than</w:t>
            </w:r>
          </w:p>
        </w:tc>
        <w:tc>
          <w:tcPr>
            <w:tcW w:w="83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Wednesday of each week,</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Loan Parties’ general ledger,</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commencing with the first such</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(d) a detailed calculation of those Accounts that are not eligible for the Borrowing Base,</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day to occur during any</w:t>
            </w:r>
          </w:p>
        </w:tc>
        <w:tc>
          <w:tcPr>
            <w:tcW w:w="83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Increased Reporting Period), the</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1"/>
              </w:rPr>
              <w:t>(e) notice of all material claims, offsets, or disputes asserted by Account Debtors with respect to each</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84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0"/>
                <w:szCs w:val="20"/>
                <w:color w:val="auto"/>
                <w:w w:val="96"/>
              </w:rPr>
              <w:t>following reports, each of which</w:t>
            </w:r>
          </w:p>
        </w:tc>
        <w:tc>
          <w:tcPr>
            <w:tcW w:w="83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shall be prepared as of the last</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Loan Party’s Accounts,</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day of the preceding month or</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5"/>
              </w:rPr>
              <w:t>(f) Inventory system/perpetual reports specifying the cost and the wholesale market value of each</w:t>
            </w: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shd w:val="clear" w:color="auto" w:fill="000000"/>
          </w:tcPr>
          <w:p>
            <w:pPr>
              <w:spacing w:after="0"/>
              <w:rPr>
                <w:sz w:val="16"/>
                <w:szCs w:val="16"/>
                <w:color w:val="auto"/>
              </w:rPr>
            </w:pPr>
          </w:p>
        </w:tc>
        <w:tc>
          <w:tcPr>
            <w:tcW w:w="284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week, as applicable</w:t>
            </w:r>
          </w:p>
        </w:tc>
        <w:tc>
          <w:tcPr>
            <w:tcW w:w="8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tcPr>
          <w:p>
            <w:pPr>
              <w:ind w:left="100"/>
              <w:spacing w:after="0" w:line="226" w:lineRule="exact"/>
              <w:rPr>
                <w:sz w:val="20"/>
                <w:szCs w:val="20"/>
                <w:color w:val="auto"/>
              </w:rPr>
            </w:pPr>
            <w:r>
              <w:rPr>
                <w:rFonts w:ascii="Arial" w:cs="Arial" w:eastAsia="Arial" w:hAnsi="Arial"/>
                <w:sz w:val="20"/>
                <w:szCs w:val="20"/>
                <w:color w:val="auto"/>
                <w:w w:val="93"/>
              </w:rPr>
              <w:t>Loan Party’s Inventory, by category (including Parts and Tools Inventory and Equipment Inventory),</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with additional detail showing additions to and deletions therefrom, and to the extent there are any</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reconciling items, a reconciliation to Loan Parties’ general ledger,</w:t>
            </w:r>
          </w:p>
        </w:tc>
        <w:tc>
          <w:tcPr>
            <w:tcW w:w="0" w:type="dxa"/>
            <w:vAlign w:val="bottom"/>
          </w:tcPr>
          <w:p>
            <w:pPr>
              <w:spacing w:after="0"/>
              <w:rPr>
                <w:sz w:val="1"/>
                <w:szCs w:val="1"/>
                <w:color w:val="auto"/>
              </w:rPr>
            </w:pPr>
          </w:p>
        </w:tc>
      </w:tr>
      <w:tr>
        <w:trPr>
          <w:trHeight w:val="424"/>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 a detailed calculation of Inventory, by category (including Parts and Tools Inventory and</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Equipment Inventory) that is not eligible for the Borrowing Base,</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(h) a detailed calculation of Rolling Stock that is not eligible for the Borrowing Base,</w:t>
            </w:r>
          </w:p>
        </w:tc>
        <w:tc>
          <w:tcPr>
            <w:tcW w:w="0" w:type="dxa"/>
            <w:vAlign w:val="bottom"/>
          </w:tcPr>
          <w:p>
            <w:pPr>
              <w:spacing w:after="0"/>
              <w:rPr>
                <w:sz w:val="1"/>
                <w:szCs w:val="1"/>
                <w:color w:val="auto"/>
              </w:rPr>
            </w:pPr>
          </w:p>
        </w:tc>
      </w:tr>
      <w:tr>
        <w:trPr>
          <w:trHeight w:val="438"/>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(i) a detailed listing of all Equipment Inventory which constitutes Floor Plan Equipment Inventory and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Off Balance Sheet Equipment Inventory and whether a Vendor Intercreditor Agreement has been</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obtained with respect to each such item of Equipment Inventory, and</w:t>
            </w:r>
          </w:p>
        </w:tc>
        <w:tc>
          <w:tcPr>
            <w:tcW w:w="0" w:type="dxa"/>
            <w:vAlign w:val="bottom"/>
          </w:tcPr>
          <w:p>
            <w:pPr>
              <w:spacing w:after="0"/>
              <w:rPr>
                <w:sz w:val="1"/>
                <w:szCs w:val="1"/>
                <w:color w:val="auto"/>
              </w:rPr>
            </w:pPr>
          </w:p>
        </w:tc>
      </w:tr>
      <w:tr>
        <w:trPr>
          <w:trHeight w:val="438"/>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(j) a summary aging, by vendor, of each Loan Party’s accounts payable and any book overdraft and an</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aging, by vendor, of any held checks,</w:t>
            </w:r>
          </w:p>
        </w:tc>
        <w:tc>
          <w:tcPr>
            <w:tcW w:w="0" w:type="dxa"/>
            <w:vAlign w:val="bottom"/>
          </w:tcPr>
          <w:p>
            <w:pPr>
              <w:spacing w:after="0"/>
              <w:rPr>
                <w:sz w:val="1"/>
                <w:szCs w:val="1"/>
                <w:color w:val="auto"/>
              </w:rPr>
            </w:pPr>
          </w:p>
        </w:tc>
      </w:tr>
      <w:tr>
        <w:trPr>
          <w:trHeight w:val="225"/>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8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Promptly (and, if applicable, in</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(k) a reconciliation of Accounts, accounts payable, Equipment Inventory, and/or Parts and Tools</w:t>
            </w: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shd w:val="clear" w:color="auto" w:fill="000000"/>
          </w:tcPr>
          <w:p>
            <w:pPr>
              <w:spacing w:after="0"/>
              <w:rPr>
                <w:sz w:val="17"/>
                <w:szCs w:val="17"/>
                <w:color w:val="auto"/>
              </w:rPr>
            </w:pPr>
          </w:p>
        </w:tc>
        <w:tc>
          <w:tcPr>
            <w:tcW w:w="2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rPr>
              <w:t>any event, no later than the</w:t>
            </w:r>
          </w:p>
        </w:tc>
        <w:tc>
          <w:tcPr>
            <w:tcW w:w="83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20"/>
                <w:szCs w:val="20"/>
                <w:color w:val="auto"/>
                <w:w w:val="92"/>
              </w:rPr>
              <w:t>Inventory, as applicable, of Loan Parties’ general ledger to its monthly financial statements, including</w:t>
            </w:r>
          </w:p>
        </w:tc>
        <w:tc>
          <w:tcPr>
            <w:tcW w:w="0" w:type="dxa"/>
            <w:vAlign w:val="bottom"/>
          </w:tcPr>
          <w:p>
            <w:pPr>
              <w:spacing w:after="0"/>
              <w:rPr>
                <w:sz w:val="1"/>
                <w:szCs w:val="1"/>
                <w:color w:val="auto"/>
              </w:rPr>
            </w:pPr>
          </w:p>
        </w:tc>
      </w:tr>
      <w:tr>
        <w:trPr>
          <w:trHeight w:val="259"/>
        </w:trPr>
        <w:tc>
          <w:tcPr>
            <w:tcW w:w="40" w:type="dxa"/>
            <w:vAlign w:val="bottom"/>
            <w:tcBorders>
              <w:right w:val="single" w:sz="8" w:color="auto"/>
            </w:tcBorders>
            <w:shd w:val="clear" w:color="auto" w:fill="000000"/>
          </w:tcPr>
          <w:p>
            <w:pPr>
              <w:spacing w:after="0"/>
              <w:rPr>
                <w:sz w:val="22"/>
                <w:szCs w:val="22"/>
                <w:color w:val="auto"/>
              </w:rPr>
            </w:pPr>
          </w:p>
        </w:tc>
        <w:tc>
          <w:tcPr>
            <w:tcW w:w="2840" w:type="dxa"/>
            <w:vAlign w:val="bottom"/>
            <w:tcBorders>
              <w:right w:val="single" w:sz="8" w:color="auto"/>
            </w:tcBorders>
          </w:tcPr>
          <w:p>
            <w:pPr>
              <w:ind w:left="100"/>
              <w:spacing w:after="0" w:line="260" w:lineRule="exact"/>
              <w:rPr>
                <w:sz w:val="20"/>
                <w:szCs w:val="20"/>
                <w:color w:val="auto"/>
              </w:rPr>
            </w:pPr>
            <w:r>
              <w:rPr>
                <w:rFonts w:ascii="Arial" w:cs="Arial" w:eastAsia="Arial" w:hAnsi="Arial"/>
                <w:sz w:val="20"/>
                <w:szCs w:val="20"/>
                <w:color w:val="auto"/>
              </w:rPr>
              <w:t>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month) to the</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any book reserves related to each category,</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extent there are any such</w:t>
            </w:r>
          </w:p>
        </w:tc>
        <w:tc>
          <w:tcPr>
            <w:tcW w:w="8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reconciling items</w:t>
            </w:r>
          </w:p>
        </w:tc>
        <w:tc>
          <w:tcPr>
            <w:tcW w:w="8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455"/>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7"/>
              </w:rPr>
              <w:t>Annually (no later than 90 days</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(l)</w:t>
            </w:r>
          </w:p>
        </w:tc>
        <w:tc>
          <w:tcPr>
            <w:tcW w:w="79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[reserved],</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after the end of each fiscal year),</w:t>
            </w:r>
          </w:p>
        </w:tc>
        <w:tc>
          <w:tcPr>
            <w:tcW w:w="380" w:type="dxa"/>
            <w:vAlign w:val="bottom"/>
            <w:vMerge w:val="restart"/>
          </w:tcPr>
          <w:p>
            <w:pPr>
              <w:ind w:left="100"/>
              <w:spacing w:after="0"/>
              <w:rPr>
                <w:sz w:val="20"/>
                <w:szCs w:val="20"/>
                <w:color w:val="auto"/>
              </w:rPr>
            </w:pPr>
            <w:r>
              <w:rPr>
                <w:rFonts w:ascii="Arial" w:cs="Arial" w:eastAsia="Arial" w:hAnsi="Arial"/>
                <w:sz w:val="20"/>
                <w:szCs w:val="20"/>
                <w:color w:val="auto"/>
                <w:w w:val="86"/>
              </w:rPr>
              <w:t>(m)</w:t>
            </w:r>
          </w:p>
        </w:tc>
        <w:tc>
          <w:tcPr>
            <w:tcW w:w="7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w w:val="92"/>
              </w:rPr>
              <w:t>a reasonably detailed report regarding each Loan Party’s Rolling Stock, specifying the Net Book</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79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Value thereof,</w:t>
            </w:r>
          </w:p>
        </w:tc>
        <w:tc>
          <w:tcPr>
            <w:tcW w:w="0" w:type="dxa"/>
            <w:vAlign w:val="bottom"/>
          </w:tcPr>
          <w:p>
            <w:pPr>
              <w:spacing w:after="0"/>
              <w:rPr>
                <w:sz w:val="1"/>
                <w:szCs w:val="1"/>
                <w:color w:val="auto"/>
              </w:rPr>
            </w:pPr>
          </w:p>
        </w:tc>
      </w:tr>
      <w:tr>
        <w:trPr>
          <w:trHeight w:val="424"/>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6"/>
              </w:rPr>
              <w:t>(n)  a report regarding each Loan Party’s and its Restricted Subsidiaries’ accrued, but unpaid ad</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valorem taxes,</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Promptly but in any event within</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4"/>
              </w:rPr>
              <w:t>(o) notice of such acquisition, together with a description of the Margin Stock and a Form U-1 (with</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 days after any Loan Party</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2"/>
              </w:rPr>
              <w:t>sufficient additional originals thereof for each Lender) duly executed and delivered by the Borrowers,</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acquires any Margin Stock,</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3"/>
              </w:rPr>
              <w:t>together with such other documentation as Agent shall reasonably request, in order to enable Agent</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3"/>
              </w:rPr>
              <w:t>and the Lenders to comply with any of the requirements under Regulations T, U or X of the Federal</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Reserve Board,</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Upon written request by Agent</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4"/>
              </w:rPr>
              <w:t>(p) a detailed list of each Loan Party’s and its Restricted Subsidiaries’ customers, with address and</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contact information,</w:t>
            </w:r>
          </w:p>
        </w:tc>
        <w:tc>
          <w:tcPr>
            <w:tcW w:w="0" w:type="dxa"/>
            <w:vAlign w:val="bottom"/>
          </w:tcPr>
          <w:p>
            <w:pPr>
              <w:spacing w:after="0"/>
              <w:rPr>
                <w:sz w:val="1"/>
                <w:szCs w:val="1"/>
                <w:color w:val="auto"/>
              </w:rPr>
            </w:pPr>
          </w:p>
        </w:tc>
      </w:tr>
      <w:tr>
        <w:trPr>
          <w:trHeight w:val="424"/>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3"/>
              </w:rPr>
              <w:t>(q) copies of purchase orders and invoices for Inventory and Equipment acquired by any Loan Party</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or its Restricted Subsidiaries,</w:t>
            </w:r>
          </w:p>
        </w:tc>
        <w:tc>
          <w:tcPr>
            <w:tcW w:w="0" w:type="dxa"/>
            <w:vAlign w:val="bottom"/>
          </w:tcPr>
          <w:p>
            <w:pPr>
              <w:spacing w:after="0"/>
              <w:rPr>
                <w:sz w:val="1"/>
                <w:szCs w:val="1"/>
                <w:color w:val="auto"/>
              </w:rPr>
            </w:pPr>
          </w:p>
        </w:tc>
      </w:tr>
      <w:tr>
        <w:trPr>
          <w:trHeight w:val="424"/>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1"/>
              </w:rPr>
              <w:t>(r) copies of invoices together with corresponding shipping and delivery documents, and credit memos</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2"/>
              </w:rPr>
              <w:t>together with corresponding supporting documentation, with respect to invoices and credit memos in</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excess of $50,000 in each instance,</w:t>
            </w:r>
          </w:p>
        </w:tc>
        <w:tc>
          <w:tcPr>
            <w:tcW w:w="0" w:type="dxa"/>
            <w:vAlign w:val="bottom"/>
          </w:tcPr>
          <w:p>
            <w:pPr>
              <w:spacing w:after="0"/>
              <w:rPr>
                <w:sz w:val="1"/>
                <w:szCs w:val="1"/>
                <w:color w:val="auto"/>
              </w:rPr>
            </w:pPr>
          </w:p>
        </w:tc>
      </w:tr>
      <w:tr>
        <w:trPr>
          <w:trHeight w:val="450"/>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w w:val="97"/>
              </w:rPr>
              <w:t>(s) such other reports as to the Collateral of any Loan Party, as Agent may reasonably request,</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If applicable, promptly after the</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6"/>
              </w:rPr>
              <w:t>(t) copies of each annual and other report with respect to each Pension Plan or any trust created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filing thereof with the United</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thereunder,</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States Secretary of Labor, the</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Internal Revenue Service or the</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PBGC</w:t>
            </w:r>
          </w:p>
        </w:tc>
        <w:tc>
          <w:tcPr>
            <w:tcW w:w="380" w:type="dxa"/>
            <w:vAlign w:val="bottom"/>
            <w:tcBorders>
              <w:bottom w:val="single" w:sz="8" w:color="auto"/>
            </w:tcBorders>
          </w:tcPr>
          <w:p>
            <w:pPr>
              <w:spacing w:after="0"/>
              <w:rPr>
                <w:sz w:val="22"/>
                <w:szCs w:val="22"/>
                <w:color w:val="auto"/>
              </w:rPr>
            </w:pPr>
          </w:p>
        </w:tc>
        <w:tc>
          <w:tcPr>
            <w:tcW w:w="7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Promptly upon becoming aware</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3"/>
              </w:rPr>
              <w:t>(u) a written notice signed by a chief financial officer of each Loan Party, specifying the amount and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of the occurrence of any</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3"/>
              </w:rPr>
              <w:t>nature thereof, what action the Loan Parties propose to take with respect thereto, and, when known,</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Notification Event or of any</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1"/>
              </w:rPr>
              <w:t>any action taken or proposed by the Internal Revenue Service, the Department of Labor or the PBGC</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“prohibited transaction,” as</w:t>
            </w:r>
          </w:p>
        </w:tc>
        <w:tc>
          <w:tcPr>
            <w:tcW w:w="836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with respect thereto,</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described in section 406 of</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ERISA or in section 4975 of the</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IRC in connection with any</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Pension Plan or any trust created</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thereunder, in any case, that</w:t>
            </w:r>
          </w:p>
        </w:tc>
        <w:tc>
          <w:tcPr>
            <w:tcW w:w="380" w:type="dxa"/>
            <w:vAlign w:val="bottom"/>
          </w:tcPr>
          <w:p>
            <w:pPr>
              <w:spacing w:after="0"/>
              <w:rPr>
                <w:sz w:val="19"/>
                <w:szCs w:val="19"/>
                <w:color w:val="auto"/>
              </w:rPr>
            </w:pPr>
          </w:p>
        </w:tc>
        <w:tc>
          <w:tcPr>
            <w:tcW w:w="7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would result in a material</w:t>
            </w:r>
          </w:p>
        </w:tc>
        <w:tc>
          <w:tcPr>
            <w:tcW w:w="380" w:type="dxa"/>
            <w:vAlign w:val="bottom"/>
            <w:tcBorders>
              <w:bottom w:val="single" w:sz="8" w:color="auto"/>
            </w:tcBorders>
          </w:tcPr>
          <w:p>
            <w:pPr>
              <w:spacing w:after="0"/>
              <w:rPr>
                <w:sz w:val="22"/>
                <w:szCs w:val="22"/>
                <w:color w:val="auto"/>
              </w:rPr>
            </w:pPr>
          </w:p>
        </w:tc>
        <w:tc>
          <w:tcPr>
            <w:tcW w:w="7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39"/>
        </w:trPr>
        <w:tc>
          <w:tcPr>
            <w:tcW w:w="40" w:type="dxa"/>
            <w:vAlign w:val="bottom"/>
            <w:tcBorders>
              <w:top w:val="single" w:sz="8" w:color="auto"/>
              <w:right w:val="single" w:sz="8" w:color="auto"/>
            </w:tcBorders>
            <w:shd w:val="clear" w:color="auto" w:fill="000000"/>
          </w:tcPr>
          <w:p>
            <w:pPr>
              <w:spacing w:after="0"/>
              <w:rPr>
                <w:sz w:val="20"/>
                <w:szCs w:val="20"/>
                <w:color w:val="auto"/>
              </w:rPr>
            </w:pP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5"/>
              </w:rPr>
              <w:t>liability to any Loan Party or any</w:t>
            </w:r>
          </w:p>
        </w:tc>
        <w:tc>
          <w:tcPr>
            <w:tcW w:w="83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Restricted Subsidiary</w:t>
            </w:r>
          </w:p>
        </w:tc>
        <w:tc>
          <w:tcPr>
            <w:tcW w:w="8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Promptly upon receipt thereof</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(v) copies of any notice of the PBGC’s intention to terminate or to have a trustee appointed to</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administer any Pension Plan,</w:t>
            </w:r>
          </w:p>
        </w:tc>
        <w:tc>
          <w:tcPr>
            <w:tcW w:w="0" w:type="dxa"/>
            <w:vAlign w:val="bottom"/>
          </w:tcPr>
          <w:p>
            <w:pPr>
              <w:spacing w:after="0"/>
              <w:rPr>
                <w:sz w:val="1"/>
                <w:szCs w:val="1"/>
                <w:color w:val="auto"/>
              </w:rPr>
            </w:pPr>
          </w:p>
        </w:tc>
      </w:tr>
      <w:tr>
        <w:trPr>
          <w:trHeight w:val="424"/>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(w) a copy of each estimate of Withdrawal Liability received by any Loan Party or ERISA Affiliate</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from a Multiemployer Plan,</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If applicable, no later than</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(x) proof that each Loan Party submitted a request for a Withdrawal Liability estimate to each</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March 15 of each year during</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Multiemployer Plan no later than February 15 of each year during the term of this Agreement,</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the term of this Agreement</w:t>
            </w:r>
          </w:p>
        </w:tc>
        <w:tc>
          <w:tcPr>
            <w:tcW w:w="8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Promptly (but in any event</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(y) written notice of the entering into of any purchase money financing or leasing arrangements by</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within 15 days after entering</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Parent or any of its Restricted Subsidiaries with respect to the purchase, financing, or leasing of any</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into any such arrangements or</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Equipment Inventory (or any Refinancing Indebtedness in respect of any such financing or leasing</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Refinancing Indebtedness or</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arrangements), and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obtaining knowledge of any such</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2"/>
              </w:rPr>
              <w:t>(z) written notice of the assignment by any holder of any Lien on any Floor Plan Equipment Inventory</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8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assignment, as applicable)</w:t>
            </w:r>
          </w:p>
        </w:tc>
        <w:tc>
          <w:tcPr>
            <w:tcW w:w="83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or Off Balance Sheet Equipment Inventory or the assignment by the owner of any Off Balance Sheet</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Equipment Inventory,</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From time to time upon Agent’s</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(aa) information regarding Unrestricted Subsidiaries in form and substance reasonably satisfactory to</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reasonable request in writing</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1"/>
              </w:rPr>
              <w:t>Agent to the extent Agent reasonably requires such information to eliminate the financial performance</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spacing w:after="0"/>
              <w:rPr>
                <w:sz w:val="21"/>
                <w:szCs w:val="21"/>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and accounts of Unrestricted Subsidiaries, and</w:t>
            </w:r>
          </w:p>
        </w:tc>
        <w:tc>
          <w:tcPr>
            <w:tcW w:w="0" w:type="dxa"/>
            <w:vAlign w:val="bottom"/>
          </w:tcPr>
          <w:p>
            <w:pPr>
              <w:spacing w:after="0"/>
              <w:rPr>
                <w:sz w:val="1"/>
                <w:szCs w:val="1"/>
                <w:color w:val="auto"/>
              </w:rPr>
            </w:pPr>
          </w:p>
        </w:tc>
      </w:tr>
      <w:tr>
        <w:trPr>
          <w:trHeight w:val="424"/>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9"/>
              </w:rPr>
              <w:t>(bb) such other (i) reports, statements and reconciliations with respect to the Borrowing Base,</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5"/>
              </w:rPr>
              <w:t>Collateral or Obligations of such Borrower or any other Loan Party and (ii) information concerning</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the financial condition, business, and properties of Parent and its Restricted Subsidiaries,</w:t>
            </w: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shd w:val="clear" w:color="auto" w:fill="000000"/>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From time to time upon Agent’s</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(cc) any change in the information provided in the Beneficial Ownership Certification that would</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or any Lender’s reasonable</w:t>
            </w: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result in a change to the list of beneficial owners identified in parts (c) or (d) of such certification, and</w:t>
            </w: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request in writing</w:t>
            </w:r>
          </w:p>
        </w:tc>
        <w:tc>
          <w:tcPr>
            <w:tcW w:w="8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w w:val="91"/>
              </w:rPr>
              <w:t>(dd) all documentation and other information regarding each Loan Party as may be required to comply</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8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8"/>
              </w:rPr>
              <w:t>with applicable “know your customer”, Anti-Money Laundering Laws, and Anti-Corruption Laws</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8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(including the Patriot Act and the Beneficial Ownership Regulation).</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8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85" w:name="page286"/>
    <w:bookmarkEnd w:id="285"/>
    <w:tbl>
      <w:tblPr>
        <w:tblLayout w:type="fixed"/>
        <w:tblInd w:w="1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0" w:type="dxa"/>
            <w:vAlign w:val="bottom"/>
            <w:gridSpan w:val="4"/>
          </w:tcPr>
          <w:p>
            <w:pPr>
              <w:jc w:val="right"/>
              <w:ind w:right="4461"/>
              <w:spacing w:after="0"/>
              <w:rPr>
                <w:sz w:val="20"/>
                <w:szCs w:val="20"/>
                <w:color w:val="auto"/>
              </w:rPr>
            </w:pPr>
            <w:r>
              <w:rPr>
                <w:rFonts w:ascii="Arial" w:cs="Arial" w:eastAsia="Arial" w:hAnsi="Arial"/>
                <w:sz w:val="20"/>
                <w:szCs w:val="20"/>
                <w:b w:val="1"/>
                <w:bCs w:val="1"/>
                <w:color w:val="auto"/>
                <w:w w:val="96"/>
              </w:rPr>
              <w:t>SCHEDULE C-1</w:t>
            </w:r>
          </w:p>
        </w:tc>
        <w:tc>
          <w:tcPr>
            <w:tcW w:w="34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4120" w:type="dxa"/>
            <w:vAlign w:val="bottom"/>
          </w:tcPr>
          <w:p>
            <w:pPr>
              <w:spacing w:after="0"/>
              <w:rPr>
                <w:sz w:val="18"/>
                <w:szCs w:val="18"/>
                <w:color w:val="auto"/>
              </w:rPr>
            </w:pPr>
          </w:p>
        </w:tc>
        <w:tc>
          <w:tcPr>
            <w:tcW w:w="6780" w:type="dxa"/>
            <w:vAlign w:val="bottom"/>
            <w:gridSpan w:val="6"/>
          </w:tcPr>
          <w:p>
            <w:pPr>
              <w:jc w:val="right"/>
              <w:ind w:right="4381"/>
              <w:spacing w:after="0" w:line="209" w:lineRule="exact"/>
              <w:rPr>
                <w:sz w:val="20"/>
                <w:szCs w:val="20"/>
                <w:color w:val="auto"/>
              </w:rPr>
            </w:pPr>
            <w:r>
              <w:rPr>
                <w:rFonts w:ascii="Arial" w:cs="Arial" w:eastAsia="Arial" w:hAnsi="Arial"/>
                <w:sz w:val="20"/>
                <w:szCs w:val="20"/>
                <w:b w:val="1"/>
                <w:bCs w:val="1"/>
                <w:color w:val="auto"/>
              </w:rPr>
              <w:t>COMMITMENTS</w:t>
            </w:r>
          </w:p>
        </w:tc>
        <w:tc>
          <w:tcPr>
            <w:tcW w:w="340" w:type="dxa"/>
            <w:vAlign w:val="bottom"/>
          </w:tcPr>
          <w:p>
            <w:pPr>
              <w:spacing w:after="0"/>
              <w:rPr>
                <w:sz w:val="18"/>
                <w:szCs w:val="18"/>
                <w:color w:val="auto"/>
              </w:rPr>
            </w:pPr>
          </w:p>
        </w:tc>
      </w:tr>
      <w:tr>
        <w:trPr>
          <w:trHeight w:val="266"/>
        </w:trPr>
        <w:tc>
          <w:tcPr>
            <w:tcW w:w="4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250"/>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b w:val="1"/>
                <w:bCs w:val="1"/>
                <w:color w:val="auto"/>
              </w:rPr>
              <w:t>Lender</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jc w:val="right"/>
              <w:ind w:right="941"/>
              <w:spacing w:after="0"/>
              <w:rPr>
                <w:sz w:val="20"/>
                <w:szCs w:val="20"/>
                <w:color w:val="auto"/>
              </w:rPr>
            </w:pPr>
            <w:r>
              <w:rPr>
                <w:rFonts w:ascii="Arial" w:cs="Arial" w:eastAsia="Arial" w:hAnsi="Arial"/>
                <w:sz w:val="20"/>
                <w:szCs w:val="20"/>
                <w:b w:val="1"/>
                <w:bCs w:val="1"/>
                <w:color w:val="auto"/>
                <w:w w:val="92"/>
              </w:rPr>
              <w:t>Revolver Commitment</w:t>
            </w:r>
          </w:p>
        </w:tc>
        <w:tc>
          <w:tcPr>
            <w:tcW w:w="340" w:type="dxa"/>
            <w:vAlign w:val="bottom"/>
          </w:tcPr>
          <w:p>
            <w:pPr>
              <w:spacing w:after="0"/>
              <w:rPr>
                <w:sz w:val="21"/>
                <w:szCs w:val="21"/>
                <w:color w:val="auto"/>
              </w:rPr>
            </w:pPr>
          </w:p>
        </w:tc>
      </w:tr>
      <w:tr>
        <w:trPr>
          <w:trHeight w:val="232"/>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Wells Fargo Bank, National Association</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$215,000,000.00</w:t>
            </w:r>
          </w:p>
        </w:tc>
        <w:tc>
          <w:tcPr>
            <w:tcW w:w="340" w:type="dxa"/>
            <w:vAlign w:val="bottom"/>
          </w:tcPr>
          <w:p>
            <w:pPr>
              <w:spacing w:after="0"/>
              <w:rPr>
                <w:sz w:val="20"/>
                <w:szCs w:val="20"/>
                <w:color w:val="auto"/>
              </w:rPr>
            </w:pPr>
          </w:p>
        </w:tc>
      </w:tr>
      <w:tr>
        <w:trPr>
          <w:trHeight w:val="248"/>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Bank of America, N.A.</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$185,000,000.00</w:t>
            </w:r>
          </w:p>
        </w:tc>
        <w:tc>
          <w:tcPr>
            <w:tcW w:w="340" w:type="dxa"/>
            <w:vAlign w:val="bottom"/>
          </w:tcPr>
          <w:p>
            <w:pPr>
              <w:spacing w:after="0"/>
              <w:rPr>
                <w:sz w:val="21"/>
                <w:szCs w:val="21"/>
                <w:color w:val="auto"/>
              </w:rPr>
            </w:pPr>
          </w:p>
        </w:tc>
      </w:tr>
      <w:tr>
        <w:trPr>
          <w:trHeight w:val="250"/>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JPMorgan Chase Bank, N.A.</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$150,000,000.00</w:t>
            </w:r>
          </w:p>
        </w:tc>
        <w:tc>
          <w:tcPr>
            <w:tcW w:w="340" w:type="dxa"/>
            <w:vAlign w:val="bottom"/>
          </w:tcPr>
          <w:p>
            <w:pPr>
              <w:spacing w:after="0"/>
              <w:rPr>
                <w:sz w:val="21"/>
                <w:szCs w:val="21"/>
                <w:color w:val="auto"/>
              </w:rPr>
            </w:pPr>
          </w:p>
        </w:tc>
      </w:tr>
      <w:tr>
        <w:trPr>
          <w:trHeight w:val="250"/>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Capital One National Association</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$75,000,000.00</w:t>
            </w:r>
          </w:p>
        </w:tc>
        <w:tc>
          <w:tcPr>
            <w:tcW w:w="340" w:type="dxa"/>
            <w:vAlign w:val="bottom"/>
          </w:tcPr>
          <w:p>
            <w:pPr>
              <w:spacing w:after="0"/>
              <w:rPr>
                <w:sz w:val="21"/>
                <w:szCs w:val="21"/>
                <w:color w:val="auto"/>
              </w:rPr>
            </w:pPr>
          </w:p>
        </w:tc>
      </w:tr>
      <w:tr>
        <w:trPr>
          <w:trHeight w:val="250"/>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NYCB Specialty Finance Company, LLC</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$75,000,000.00</w:t>
            </w:r>
          </w:p>
        </w:tc>
        <w:tc>
          <w:tcPr>
            <w:tcW w:w="340" w:type="dxa"/>
            <w:vAlign w:val="bottom"/>
          </w:tcPr>
          <w:p>
            <w:pPr>
              <w:spacing w:after="0"/>
              <w:rPr>
                <w:sz w:val="21"/>
                <w:szCs w:val="21"/>
                <w:color w:val="auto"/>
              </w:rPr>
            </w:pPr>
          </w:p>
        </w:tc>
      </w:tr>
      <w:tr>
        <w:trPr>
          <w:trHeight w:val="250"/>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TD Bank, N.A.</w:t>
            </w: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$50,000,000.00</w:t>
            </w:r>
          </w:p>
        </w:tc>
        <w:tc>
          <w:tcPr>
            <w:tcW w:w="340" w:type="dxa"/>
            <w:vAlign w:val="bottom"/>
          </w:tcPr>
          <w:p>
            <w:pPr>
              <w:spacing w:after="0"/>
              <w:rPr>
                <w:sz w:val="21"/>
                <w:szCs w:val="21"/>
                <w:color w:val="auto"/>
              </w:rPr>
            </w:pPr>
          </w:p>
        </w:tc>
      </w:tr>
      <w:tr>
        <w:trPr>
          <w:trHeight w:val="260"/>
        </w:trPr>
        <w:tc>
          <w:tcPr>
            <w:tcW w:w="41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Total</w:t>
            </w:r>
          </w:p>
        </w:tc>
        <w:tc>
          <w:tcPr>
            <w:tcW w:w="7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w w:val="98"/>
              </w:rPr>
              <w:t>=SUM(ABOVE) $750,000,000.00</w:t>
            </w:r>
          </w:p>
        </w:tc>
        <w:tc>
          <w:tcPr>
            <w:tcW w:w="340" w:type="dxa"/>
            <w:vAlign w:val="bottom"/>
          </w:tcPr>
          <w:p>
            <w:pPr>
              <w:spacing w:after="0"/>
              <w:rPr>
                <w:sz w:val="22"/>
                <w:szCs w:val="22"/>
                <w:color w:val="auto"/>
              </w:rPr>
            </w:pPr>
          </w:p>
        </w:tc>
      </w:tr>
      <w:tr>
        <w:trPr>
          <w:trHeight w:val="3958"/>
        </w:trPr>
        <w:tc>
          <w:tcPr>
            <w:tcW w:w="4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Subsidiaries of Registrant</w:t>
      </w:r>
    </w:p>
    <w:p>
      <w:pPr>
        <w:spacing w:after="0" w:line="200" w:lineRule="exact"/>
        <w:rPr>
          <w:sz w:val="20"/>
          <w:szCs w:val="20"/>
          <w:color w:val="auto"/>
        </w:rPr>
      </w:pPr>
    </w:p>
    <w:p>
      <w:pPr>
        <w:spacing w:after="0" w:line="209" w:lineRule="exact"/>
        <w:rPr>
          <w:sz w:val="20"/>
          <w:szCs w:val="20"/>
          <w:color w:val="auto"/>
        </w:rPr>
      </w:pPr>
    </w:p>
    <w:p>
      <w:pPr>
        <w:spacing w:after="0"/>
        <w:tabs>
          <w:tab w:leader="none" w:pos="92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H&amp;E Finance Corp.</w:t>
      </w:r>
    </w:p>
    <w:p>
      <w:pPr>
        <w:spacing w:after="0" w:line="23"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GNE Investments, Inc.</w:t>
      </w:r>
    </w:p>
    <w:p>
      <w:pPr>
        <w:spacing w:after="0" w:line="23"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WA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Great Northern Equipment, Inc.</w:t>
      </w:r>
    </w:p>
    <w:p>
      <w:pPr>
        <w:spacing w:after="0" w:line="23"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MT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H&amp;E California Holding, Inc.</w:t>
      </w:r>
    </w:p>
    <w:p>
      <w:pPr>
        <w:spacing w:after="0" w:line="23"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H&amp;E Equipment Services (California), LLC</w:t>
      </w:r>
    </w:p>
    <w:p>
      <w:pPr>
        <w:spacing w:after="0" w:line="23"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DE</w:t>
      </w:r>
    </w:p>
    <w:p>
      <w:pPr>
        <w:spacing w:after="0" w:line="21"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H&amp;E Equipment Services (Midwest), Inc.</w:t>
      </w:r>
      <w:r>
        <w:rPr>
          <w:sz w:val="20"/>
          <w:szCs w:val="20"/>
          <w:color w:val="auto"/>
        </w:rPr>
        <w:tab/>
      </w:r>
      <w:r>
        <w:rPr>
          <w:rFonts w:ascii="Arial" w:cs="Arial" w:eastAsia="Arial" w:hAnsi="Arial"/>
          <w:sz w:val="18"/>
          <w:szCs w:val="18"/>
          <w:color w:val="auto"/>
        </w:rPr>
        <w: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H&amp;E Equipment Services (Mid-Atlantic), Inc.</w:t>
      </w:r>
    </w:p>
    <w:p>
      <w:pPr>
        <w:spacing w:after="0" w:line="23" w:lineRule="exact"/>
        <w:rPr>
          <w:sz w:val="20"/>
          <w:szCs w:val="20"/>
          <w:color w:val="auto"/>
        </w:rPr>
      </w:pPr>
    </w:p>
    <w:p>
      <w:pPr>
        <w:ind w:left="10080"/>
        <w:spacing w:after="0"/>
        <w:rPr>
          <w:sz w:val="20"/>
          <w:szCs w:val="20"/>
          <w:color w:val="auto"/>
        </w:rPr>
      </w:pPr>
      <w:r>
        <w:rPr>
          <w:rFonts w:ascii="Arial" w:cs="Arial" w:eastAsia="Arial" w:hAnsi="Arial"/>
          <w:sz w:val="18"/>
          <w:szCs w:val="18"/>
          <w:color w:val="auto"/>
        </w:rPr>
        <w:t>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344170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H&amp;E Equipment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333-212802) of H&amp;E Equipment Services, Inc. of our reports dated February 22, 2023, relating to the consolidated financial statements and schedule and the effectiveness of H&amp;E Equipment Services, Inc.’s internal control over financial reporting, which appears in this Form 10-K.</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BDO USA,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Bradley W. Barber, certify that:</w:t>
      </w:r>
    </w:p>
    <w:p>
      <w:pPr>
        <w:spacing w:after="0" w:line="117" w:lineRule="exact"/>
        <w:rPr>
          <w:sz w:val="20"/>
          <w:szCs w:val="20"/>
          <w:color w:val="auto"/>
        </w:rPr>
      </w:pPr>
    </w:p>
    <w:p>
      <w:pPr>
        <w:ind w:left="1020" w:hanging="503"/>
        <w:spacing w:after="0"/>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H&amp;E Equipment Services, Inc.;</w:t>
      </w:r>
    </w:p>
    <w:p>
      <w:pPr>
        <w:spacing w:after="0" w:line="116"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4" w:lineRule="exact"/>
        <w:rPr>
          <w:rFonts w:ascii="Arial" w:cs="Arial" w:eastAsia="Arial" w:hAnsi="Arial"/>
          <w:sz w:val="18"/>
          <w:szCs w:val="18"/>
          <w:color w:val="auto"/>
        </w:rPr>
      </w:pPr>
    </w:p>
    <w:p>
      <w:pPr>
        <w:ind w:left="1020" w:right="520" w:hanging="503"/>
        <w:spacing w:after="0" w:line="263" w:lineRule="auto"/>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74"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220" w:hanging="514"/>
        <w:spacing w:after="0" w:line="263" w:lineRule="auto"/>
        <w:tabs>
          <w:tab w:leader="none" w:pos="15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40" w:hanging="514"/>
        <w:spacing w:after="0" w:line="263" w:lineRule="auto"/>
        <w:tabs>
          <w:tab w:leader="none" w:pos="15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20" w:hanging="514"/>
        <w:spacing w:after="0" w:line="263" w:lineRule="auto"/>
        <w:tabs>
          <w:tab w:leader="none" w:pos="15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1020" w:right="100" w:hanging="503"/>
        <w:spacing w:after="0" w:line="341" w:lineRule="auto"/>
        <w:tabs>
          <w:tab w:leader="none" w:pos="10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41" w:lineRule="auto"/>
        <w:tabs>
          <w:tab w:leader="none" w:pos="154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60" w:hanging="514"/>
        <w:spacing w:after="0" w:line="277" w:lineRule="auto"/>
        <w:tabs>
          <w:tab w:leader="none" w:pos="15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700" w:val="left"/>
        </w:tabs>
        <w:rPr>
          <w:sz w:val="20"/>
          <w:szCs w:val="20"/>
          <w:color w:val="auto"/>
        </w:rPr>
      </w:pPr>
      <w:r>
        <w:rPr>
          <w:rFonts w:ascii="Arial" w:cs="Arial" w:eastAsia="Arial" w:hAnsi="Arial"/>
          <w:sz w:val="18"/>
          <w:szCs w:val="18"/>
          <w:color w:val="auto"/>
        </w:rPr>
        <w:t>Dated: February 22, 2023</w:t>
      </w:r>
      <w:r>
        <w:rPr>
          <w:sz w:val="20"/>
          <w:szCs w:val="20"/>
          <w:color w:val="auto"/>
        </w:rPr>
        <w:tab/>
      </w:r>
      <w:r>
        <w:rPr>
          <w:rFonts w:ascii="Arial" w:cs="Arial" w:eastAsia="Arial" w:hAnsi="Arial"/>
          <w:sz w:val="16"/>
          <w:szCs w:val="16"/>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31750</wp:posOffset>
            </wp:positionV>
            <wp:extent cx="26631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3">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4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Bradley W. Barber</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Leslie S. Magee, certify that:</w:t>
      </w:r>
    </w:p>
    <w:p>
      <w:pPr>
        <w:spacing w:after="0" w:line="117" w:lineRule="exact"/>
        <w:rPr>
          <w:sz w:val="20"/>
          <w:szCs w:val="20"/>
          <w:color w:val="auto"/>
        </w:rPr>
      </w:pPr>
    </w:p>
    <w:p>
      <w:pPr>
        <w:ind w:left="1020" w:hanging="503"/>
        <w:spacing w:after="0"/>
        <w:tabs>
          <w:tab w:leader="none" w:pos="10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H&amp;E Equipment Services, Inc.;</w:t>
      </w:r>
    </w:p>
    <w:p>
      <w:pPr>
        <w:spacing w:after="0" w:line="116"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4" w:lineRule="exact"/>
        <w:rPr>
          <w:rFonts w:ascii="Arial" w:cs="Arial" w:eastAsia="Arial" w:hAnsi="Arial"/>
          <w:sz w:val="18"/>
          <w:szCs w:val="18"/>
          <w:color w:val="auto"/>
        </w:rPr>
      </w:pPr>
    </w:p>
    <w:p>
      <w:pPr>
        <w:ind w:left="1020" w:right="520" w:hanging="503"/>
        <w:spacing w:after="0" w:line="263" w:lineRule="auto"/>
        <w:tabs>
          <w:tab w:leader="none" w:pos="10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74"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220" w:hanging="514"/>
        <w:spacing w:after="0" w:line="263" w:lineRule="auto"/>
        <w:tabs>
          <w:tab w:leader="none" w:pos="15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40" w:hanging="514"/>
        <w:spacing w:after="0" w:line="263" w:lineRule="auto"/>
        <w:tabs>
          <w:tab w:leader="none" w:pos="15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20" w:hanging="514"/>
        <w:spacing w:after="0" w:line="263" w:lineRule="auto"/>
        <w:tabs>
          <w:tab w:leader="none" w:pos="15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1020" w:right="100" w:hanging="503"/>
        <w:spacing w:after="0" w:line="341" w:lineRule="auto"/>
        <w:tabs>
          <w:tab w:leader="none" w:pos="10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41" w:lineRule="auto"/>
        <w:tabs>
          <w:tab w:leader="none" w:pos="154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60" w:hanging="514"/>
        <w:spacing w:after="0" w:line="277" w:lineRule="auto"/>
        <w:tabs>
          <w:tab w:leader="none" w:pos="15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700" w:val="left"/>
        </w:tabs>
        <w:rPr>
          <w:sz w:val="20"/>
          <w:szCs w:val="20"/>
          <w:color w:val="auto"/>
        </w:rPr>
      </w:pPr>
      <w:r>
        <w:rPr>
          <w:rFonts w:ascii="Arial" w:cs="Arial" w:eastAsia="Arial" w:hAnsi="Arial"/>
          <w:sz w:val="18"/>
          <w:szCs w:val="18"/>
          <w:color w:val="auto"/>
        </w:rPr>
        <w:t>Dated: February 22, 2023</w:t>
      </w:r>
      <w:r>
        <w:rPr>
          <w:sz w:val="20"/>
          <w:szCs w:val="20"/>
          <w:color w:val="auto"/>
        </w:rPr>
        <w:tab/>
      </w:r>
      <w:r>
        <w:rPr>
          <w:rFonts w:ascii="Arial" w:cs="Arial" w:eastAsia="Arial" w:hAnsi="Arial"/>
          <w:sz w:val="16"/>
          <w:szCs w:val="16"/>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31750</wp:posOffset>
            </wp:positionV>
            <wp:extent cx="26631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5">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4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Leslie S. Magee</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 and Secretary</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0"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In connection with the Annual Report of H&amp;E Equipment Services, Inc. (the “Company”) on Form 10-K for the period ending December 31, 2022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 906 of the Sarbanes-Oxley Act of 2002, that:</w:t>
      </w:r>
    </w:p>
    <w:p>
      <w:pPr>
        <w:spacing w:after="0" w:line="77" w:lineRule="exact"/>
        <w:rPr>
          <w:sz w:val="20"/>
          <w:szCs w:val="20"/>
          <w:color w:val="auto"/>
        </w:rPr>
      </w:pPr>
    </w:p>
    <w:p>
      <w:pPr>
        <w:ind w:left="1020" w:hanging="504"/>
        <w:spacing w:after="0"/>
        <w:tabs>
          <w:tab w:leader="none" w:pos="102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to my knowledge, 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020" w:right="620" w:hanging="504"/>
        <w:spacing w:after="0" w:line="277" w:lineRule="auto"/>
        <w:tabs>
          <w:tab w:leader="none" w:pos="10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700" w:val="left"/>
          <w:tab w:leader="none" w:pos="7160" w:val="left"/>
        </w:tabs>
        <w:rPr>
          <w:sz w:val="20"/>
          <w:szCs w:val="20"/>
          <w:color w:val="auto"/>
        </w:rPr>
      </w:pPr>
      <w:r>
        <w:rPr>
          <w:rFonts w:ascii="Arial" w:cs="Arial" w:eastAsia="Arial" w:hAnsi="Arial"/>
          <w:sz w:val="18"/>
          <w:szCs w:val="18"/>
          <w:color w:val="auto"/>
        </w:rPr>
        <w:t>Dated: February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23495</wp:posOffset>
            </wp:positionV>
            <wp:extent cx="258572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7">
                      <a:extLst>
                        <a:ext uri="{28A0092B-C50C-407E-A947-70E740481C1C}"/>
                      </a:extLst>
                    </a:blip>
                    <a:srcRect/>
                    <a:stretch>
                      <a:fillRect/>
                    </a:stretch>
                  </pic:blipFill>
                  <pic:spPr bwMode="auto">
                    <a:xfrm>
                      <a:off x="0" y="0"/>
                      <a:ext cx="2585720" cy="8255"/>
                    </a:xfrm>
                    <a:prstGeom prst="rect">
                      <a:avLst/>
                    </a:prstGeom>
                    <a:noFill/>
                  </pic:spPr>
                </pic:pic>
              </a:graphicData>
            </a:graphic>
          </wp:anchor>
        </w:drawing>
      </w:r>
    </w:p>
    <w:p>
      <w:pPr>
        <w:spacing w:after="0" w:line="2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Bradley W. Barber</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Executive Officer)</w:t>
      </w:r>
    </w:p>
    <w:p>
      <w:pPr>
        <w:spacing w:after="0" w:line="305" w:lineRule="exact"/>
        <w:rPr>
          <w:sz w:val="20"/>
          <w:szCs w:val="20"/>
          <w:color w:val="auto"/>
        </w:rPr>
      </w:pPr>
    </w:p>
    <w:p>
      <w:pPr>
        <w:ind w:left="20"/>
        <w:spacing w:after="0"/>
        <w:tabs>
          <w:tab w:leader="none" w:pos="6700" w:val="left"/>
          <w:tab w:leader="none" w:pos="7160" w:val="left"/>
        </w:tabs>
        <w:rPr>
          <w:sz w:val="20"/>
          <w:szCs w:val="20"/>
          <w:color w:val="auto"/>
        </w:rPr>
      </w:pPr>
      <w:r>
        <w:rPr>
          <w:rFonts w:ascii="Arial" w:cs="Arial" w:eastAsia="Arial" w:hAnsi="Arial"/>
          <w:sz w:val="18"/>
          <w:szCs w:val="18"/>
          <w:color w:val="auto"/>
        </w:rPr>
        <w:t>Dated: February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23495</wp:posOffset>
            </wp:positionV>
            <wp:extent cx="258572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8">
                      <a:extLst>
                        <a:ext uri="{28A0092B-C50C-407E-A947-70E740481C1C}"/>
                      </a:extLst>
                    </a:blip>
                    <a:srcRect/>
                    <a:stretch>
                      <a:fillRect/>
                    </a:stretch>
                  </pic:blipFill>
                  <pic:spPr bwMode="auto">
                    <a:xfrm>
                      <a:off x="0" y="0"/>
                      <a:ext cx="2585720" cy="8255"/>
                    </a:xfrm>
                    <a:prstGeom prst="rect">
                      <a:avLst/>
                    </a:prstGeom>
                    <a:noFill/>
                  </pic:spPr>
                </pic:pic>
              </a:graphicData>
            </a:graphic>
          </wp:anchor>
        </w:drawing>
      </w:r>
    </w:p>
    <w:p>
      <w:pPr>
        <w:spacing w:after="0" w:line="2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Leslie S. Magee</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 and Secretary</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1" w:name="page292"/>
    <w:bookmarkEnd w:id="2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abstractNum>
  <w:abstractNum w:abstractNumId="2">
    <w:nsid w:val="6E534CDE"/>
    <w:multiLevelType w:val="hybridMultilevel"/>
    <w:lvl w:ilvl="0">
      <w:lvlJc w:val="left"/>
      <w:lvlText w:val="•"/>
      <w:numFmt w:val="bullet"/>
      <w:start w:val="1"/>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
      <w:numFmt w:val="bullet"/>
      <w:start w:val="1"/>
    </w:lvl>
  </w:abstractNum>
  <w:abstractNum w:abstractNumId="5">
    <w:nsid w:val="46263DEC"/>
    <w:multiLevelType w:val="hybridMultilevel"/>
    <w:lvl w:ilvl="0">
      <w:lvlJc w:val="left"/>
      <w:lvlText w:val="•"/>
      <w:numFmt w:val="bullet"/>
      <w:start w:val="1"/>
    </w:lvl>
  </w:abstractNum>
  <w:abstractNum w:abstractNumId="6">
    <w:nsid w:val="260D8C4A"/>
    <w:multiLevelType w:val="hybridMultilevel"/>
    <w:lvl w:ilvl="0">
      <w:lvlJc w:val="left"/>
      <w:lvlText w:val="•"/>
      <w:numFmt w:val="bullet"/>
      <w:start w:val="1"/>
    </w:lvl>
  </w:abstractNum>
  <w:abstractNum w:abstractNumId="7">
    <w:nsid w:val="73D4D3C4"/>
    <w:multiLevelType w:val="hybridMultilevel"/>
    <w:lvl w:ilvl="0">
      <w:lvlJc w:val="left"/>
      <w:lvlText w:val="•"/>
      <w:numFmt w:val="bullet"/>
      <w:start w:val="1"/>
    </w:lvl>
  </w:abstractNum>
  <w:abstractNum w:abstractNumId="8">
    <w:nsid w:val="746F2E30"/>
    <w:multiLevelType w:val="hybridMultilevel"/>
    <w:lvl w:ilvl="0">
      <w:lvlJc w:val="left"/>
      <w:lvlText w:val="•"/>
      <w:numFmt w:val="bullet"/>
      <w:start w:val="1"/>
    </w:lvl>
  </w:abstractNum>
  <w:abstractNum w:abstractNumId="9">
    <w:nsid w:val="6FDE8AF6"/>
    <w:multiLevelType w:val="hybridMultilevel"/>
    <w:lvl w:ilvl="0">
      <w:lvlJc w:val="left"/>
      <w:lvlText w:val="•"/>
      <w:numFmt w:val="bullet"/>
      <w:start w:val="1"/>
    </w:lvl>
  </w:abstractNum>
  <w:abstractNum w:abstractNumId="10">
    <w:nsid w:val="3FC32E20"/>
    <w:multiLevelType w:val="hybridMultilevel"/>
    <w:lvl w:ilvl="0">
      <w:lvlJc w:val="left"/>
      <w:lvlText w:val="•"/>
      <w:numFmt w:val="bullet"/>
      <w:start w:val="1"/>
    </w:lvl>
  </w:abstractNum>
  <w:abstractNum w:abstractNumId="11">
    <w:nsid w:val="49C0E823"/>
    <w:multiLevelType w:val="hybridMultilevel"/>
    <w:lvl w:ilvl="0">
      <w:lvlJc w:val="left"/>
      <w:lvlText w:val="•"/>
      <w:numFmt w:val="bullet"/>
      <w:start w:val="1"/>
    </w:lvl>
  </w:abstractNum>
  <w:abstractNum w:abstractNumId="12">
    <w:nsid w:val="14D53685"/>
    <w:multiLevelType w:val="hybridMultilevel"/>
    <w:lvl w:ilvl="0">
      <w:lvlJc w:val="left"/>
      <w:lvlText w:val="•"/>
      <w:numFmt w:val="bullet"/>
      <w:start w:val="1"/>
    </w:lvl>
  </w:abstractNum>
  <w:abstractNum w:abstractNumId="13">
    <w:nsid w:val="230F856C"/>
    <w:multiLevelType w:val="hybridMultilevel"/>
    <w:lvl w:ilvl="0">
      <w:lvlJc w:val="left"/>
      <w:lvlText w:val="•"/>
      <w:numFmt w:val="bullet"/>
      <w:start w:val="1"/>
    </w:lvl>
  </w:abstractNum>
  <w:abstractNum w:abstractNumId="14">
    <w:nsid w:val="6EAA85FB"/>
    <w:multiLevelType w:val="hybridMultilevel"/>
    <w:lvl w:ilvl="0">
      <w:lvlJc w:val="left"/>
      <w:lvlText w:val="•"/>
      <w:numFmt w:val="bullet"/>
      <w:start w:val="1"/>
    </w:lvl>
  </w:abstractNum>
  <w:abstractNum w:abstractNumId="15">
    <w:nsid w:val="3F06ECB2"/>
    <w:multiLevelType w:val="hybridMultilevel"/>
    <w:lvl w:ilvl="0">
      <w:lvlJc w:val="left"/>
      <w:lvlText w:val="•"/>
      <w:numFmt w:val="bullet"/>
      <w:start w:val="1"/>
    </w:lvl>
  </w:abstractNum>
  <w:abstractNum w:abstractNumId="16">
    <w:nsid w:val="3B594807"/>
    <w:multiLevelType w:val="hybridMultilevel"/>
    <w:lvl w:ilvl="0">
      <w:lvlJc w:val="left"/>
      <w:lvlText w:val="•"/>
      <w:numFmt w:val="bullet"/>
      <w:start w:val="1"/>
    </w:lvl>
  </w:abstractNum>
  <w:abstractNum w:abstractNumId="17">
    <w:nsid w:val="6CAA2304"/>
    <w:multiLevelType w:val="hybridMultilevel"/>
    <w:lvl w:ilvl="0">
      <w:lvlJc w:val="left"/>
      <w:lvlText w:val="•"/>
      <w:numFmt w:val="bullet"/>
      <w:start w:val="1"/>
    </w:lvl>
  </w:abstractNum>
  <w:abstractNum w:abstractNumId="18">
    <w:nsid w:val="3F7C2FF4"/>
    <w:multiLevelType w:val="hybridMultilevel"/>
    <w:lvl w:ilvl="0">
      <w:lvlJc w:val="left"/>
      <w:lvlText w:val="•"/>
      <w:numFmt w:val="bullet"/>
      <w:start w:val="1"/>
    </w:lvl>
  </w:abstractNum>
  <w:abstractNum w:abstractNumId="19">
    <w:nsid w:val="25413BEC"/>
    <w:multiLevelType w:val="hybridMultilevel"/>
    <w:lvl w:ilvl="0">
      <w:lvlJc w:val="left"/>
      <w:lvlText w:val="(%1)"/>
      <w:numFmt w:val="decimal"/>
      <w:start w:val="1"/>
    </w:lvl>
  </w:abstractNum>
  <w:abstractNum w:abstractNumId="20">
    <w:nsid w:val="17180B0B"/>
    <w:multiLevelType w:val="hybridMultilevel"/>
    <w:lvl w:ilvl="0">
      <w:lvlJc w:val="left"/>
      <w:lvlText w:val="(%1)"/>
      <w:numFmt w:val="decimal"/>
      <w:start w:val="1"/>
    </w:lvl>
  </w:abstractNum>
  <w:abstractNum w:abstractNumId="21">
    <w:nsid w:val="579328B9"/>
    <w:multiLevelType w:val="hybridMultilevel"/>
    <w:lvl w:ilvl="0">
      <w:lvlJc w:val="left"/>
      <w:lvlText w:val="•"/>
      <w:numFmt w:val="bullet"/>
      <w:start w:val="1"/>
    </w:lvl>
  </w:abstractNum>
  <w:abstractNum w:abstractNumId="22">
    <w:nsid w:val="5D205E20"/>
    <w:multiLevelType w:val="hybridMultilevel"/>
    <w:lvl w:ilvl="0">
      <w:lvlJc w:val="left"/>
      <w:lvlText w:val="(%1)"/>
      <w:numFmt w:val="decimal"/>
      <w:start w:val="1"/>
    </w:lvl>
  </w:abstractNum>
  <w:abstractNum w:abstractNumId="23">
    <w:nsid w:val="11CCA8BA"/>
    <w:multiLevelType w:val="hybridMultilevel"/>
    <w:lvl w:ilvl="0">
      <w:lvlJc w:val="left"/>
      <w:lvlText w:val="(%1)"/>
      <w:numFmt w:val="decimal"/>
      <w:start w:val="2"/>
    </w:lvl>
  </w:abstractNum>
  <w:abstractNum w:abstractNumId="24">
    <w:nsid w:val="4D32AB86"/>
    <w:multiLevelType w:val="hybridMultilevel"/>
    <w:lvl w:ilvl="0">
      <w:lvlJc w:val="left"/>
      <w:lvlText w:val="(%1)"/>
      <w:numFmt w:val="decimal"/>
      <w:start w:val="1"/>
    </w:lvl>
  </w:abstractNum>
  <w:abstractNum w:abstractNumId="25">
    <w:nsid w:val="3F07ACC3"/>
    <w:multiLevelType w:val="hybridMultilevel"/>
    <w:lvl w:ilvl="0">
      <w:lvlJc w:val="left"/>
      <w:lvlText w:val="(%1)"/>
      <w:numFmt w:val="decimal"/>
      <w:start w:val="3"/>
    </w:lvl>
  </w:abstractNum>
  <w:abstractNum w:abstractNumId="26">
    <w:nsid w:val="6B47F63E"/>
    <w:multiLevelType w:val="hybridMultilevel"/>
    <w:lvl w:ilvl="0">
      <w:lvlJc w:val="left"/>
      <w:lvlText w:val="(%1)"/>
      <w:numFmt w:val="decimal"/>
      <w:start w:val="1"/>
    </w:lvl>
  </w:abstractNum>
  <w:abstractNum w:abstractNumId="27">
    <w:nsid w:val="5CB44A05"/>
    <w:multiLevelType w:val="hybridMultilevel"/>
    <w:lvl w:ilvl="0">
      <w:lvlJc w:val="left"/>
      <w:lvlText w:val="(%1)"/>
      <w:numFmt w:val="decimal"/>
      <w:start w:val="3"/>
    </w:lvl>
  </w:abstractNum>
  <w:abstractNum w:abstractNumId="28">
    <w:nsid w:val="16CF80F1"/>
    <w:multiLevelType w:val="hybridMultilevel"/>
    <w:lvl w:ilvl="0">
      <w:lvlJc w:val="left"/>
      <w:lvlText w:val="(%1)"/>
      <w:numFmt w:val="decimal"/>
      <w:start w:val="1"/>
    </w:lvl>
  </w:abstractNum>
  <w:abstractNum w:abstractNumId="29">
    <w:nsid w:val="1C695DEC"/>
    <w:multiLevelType w:val="hybridMultilevel"/>
    <w:lvl w:ilvl="0">
      <w:lvlJc w:val="left"/>
      <w:lvlText w:val="(%1)"/>
      <w:numFmt w:val="decimal"/>
      <w:start w:val="3"/>
    </w:lvl>
  </w:abstractNum>
  <w:abstractNum w:abstractNumId="30">
    <w:nsid w:val="3FCFAED9"/>
    <w:multiLevelType w:val="hybridMultilevel"/>
    <w:lvl w:ilvl="0">
      <w:lvlJc w:val="left"/>
      <w:lvlText w:val="(%1)"/>
      <w:numFmt w:val="decimal"/>
      <w:start w:val="4"/>
    </w:lvl>
  </w:abstractNum>
  <w:abstractNum w:abstractNumId="31">
    <w:nsid w:val="F856867"/>
    <w:multiLevelType w:val="hybridMultilevel"/>
    <w:lvl w:ilvl="0">
      <w:lvlJc w:val="left"/>
      <w:lvlText w:val="(%1)"/>
      <w:numFmt w:val="decimal"/>
      <w:start w:val="5"/>
    </w:lvl>
  </w:abstractNum>
  <w:abstractNum w:abstractNumId="32">
    <w:nsid w:val="11B1CC33"/>
    <w:multiLevelType w:val="hybridMultilevel"/>
    <w:lvl w:ilvl="0">
      <w:lvlJc w:val="left"/>
      <w:lvlText w:val="(%1)"/>
      <w:numFmt w:val="decimal"/>
      <w:start w:val="6"/>
    </w:lvl>
  </w:abstractNum>
  <w:abstractNum w:abstractNumId="33">
    <w:nsid w:val="2E22FBB7"/>
    <w:multiLevelType w:val="hybridMultilevel"/>
    <w:lvl w:ilvl="0">
      <w:lvlJc w:val="left"/>
      <w:lvlText w:val="(%1)"/>
      <w:numFmt w:val="decimal"/>
      <w:start w:val="7"/>
    </w:lvl>
  </w:abstractNum>
  <w:abstractNum w:abstractNumId="34">
    <w:nsid w:val="29934699"/>
    <w:multiLevelType w:val="hybridMultilevel"/>
    <w:lvl w:ilvl="0">
      <w:lvlJc w:val="left"/>
      <w:lvlText w:val="(%1)"/>
      <w:numFmt w:val="decimal"/>
      <w:start w:val="8"/>
    </w:lvl>
  </w:abstractNum>
  <w:abstractNum w:abstractNumId="35">
    <w:nsid w:val="77485850"/>
    <w:multiLevelType w:val="hybridMultilevel"/>
    <w:lvl w:ilvl="0">
      <w:lvlJc w:val="left"/>
      <w:lvlText w:val="(%1)"/>
      <w:numFmt w:val="decimal"/>
      <w:start w:val="9"/>
    </w:lvl>
  </w:abstractNum>
  <w:abstractNum w:abstractNumId="36">
    <w:nsid w:val="744939A3"/>
    <w:multiLevelType w:val="hybridMultilevel"/>
    <w:lvl w:ilvl="0">
      <w:lvlJc w:val="left"/>
      <w:lvlText w:val="%"/>
      <w:numFmt w:val="bullet"/>
      <w:start w:val="1"/>
    </w:lvl>
  </w:abstractNum>
  <w:abstractNum w:abstractNumId="37">
    <w:nsid w:val="4FA0D2E3"/>
    <w:multiLevelType w:val="hybridMultilevel"/>
    <w:lvl w:ilvl="0">
      <w:lvlJc w:val="left"/>
      <w:lvlText w:val="(%1)"/>
      <w:numFmt w:val="decimal"/>
      <w:start w:val="10"/>
    </w:lvl>
  </w:abstractNum>
  <w:abstractNum w:abstractNumId="38">
    <w:nsid w:val="6B1D2C14"/>
    <w:multiLevelType w:val="hybridMultilevel"/>
    <w:lvl w:ilvl="0">
      <w:lvlJc w:val="left"/>
      <w:lvlText w:val="(%1)"/>
      <w:numFmt w:val="decimal"/>
      <w:start w:val="11"/>
    </w:lvl>
  </w:abstractNum>
  <w:abstractNum w:abstractNumId="39">
    <w:nsid w:val="68B867D3"/>
    <w:multiLevelType w:val="hybridMultilevel"/>
    <w:lvl w:ilvl="0">
      <w:lvlJc w:val="left"/>
      <w:lvlText w:val="(%1)"/>
      <w:numFmt w:val="decimal"/>
      <w:start w:val="12"/>
    </w:lvl>
  </w:abstractNum>
  <w:abstractNum w:abstractNumId="40">
    <w:nsid w:val="3F7F5DD9"/>
    <w:multiLevelType w:val="hybridMultilevel"/>
    <w:lvl w:ilvl="0">
      <w:lvlJc w:val="left"/>
      <w:lvlText w:val="(%1)"/>
      <w:numFmt w:val="decimal"/>
      <w:start w:val="13"/>
    </w:lvl>
  </w:abstractNum>
  <w:abstractNum w:abstractNumId="41">
    <w:nsid w:val="2AE05A34"/>
    <w:multiLevelType w:val="hybridMultilevel"/>
    <w:lvl w:ilvl="0">
      <w:lvlJc w:val="left"/>
      <w:lvlText w:val="(%1)"/>
      <w:numFmt w:val="decimal"/>
      <w:start w:val="14"/>
    </w:lvl>
  </w:abstractNum>
  <w:abstractNum w:abstractNumId="42">
    <w:nsid w:val="32794FF7"/>
    <w:multiLevelType w:val="hybridMultilevel"/>
    <w:lvl w:ilvl="0">
      <w:lvlJc w:val="left"/>
      <w:lvlText w:val="%1)"/>
      <w:numFmt w:val="lowerLetter"/>
      <w:start w:val="1"/>
    </w:lvl>
  </w:abstractNum>
  <w:abstractNum w:abstractNumId="43">
    <w:nsid w:val="5454945E"/>
    <w:multiLevelType w:val="hybridMultilevel"/>
    <w:lvl w:ilvl="0">
      <w:lvlJc w:val="left"/>
      <w:lvlText w:val="%1)"/>
      <w:numFmt w:val="lowerLetter"/>
      <w:start w:val="3"/>
    </w:lvl>
  </w:abstractNum>
  <w:abstractNum w:abstractNumId="44">
    <w:nsid w:val="4DEFDFA0"/>
    <w:multiLevelType w:val="hybridMultilevel"/>
    <w:lvl w:ilvl="0">
      <w:lvlJc w:val="left"/>
      <w:lvlText w:val="(%1)"/>
      <w:numFmt w:val="decimal"/>
      <w:start w:val="15"/>
    </w:lvl>
  </w:abstractNum>
  <w:abstractNum w:abstractNumId="45">
    <w:nsid w:val="2123D5F2"/>
    <w:multiLevelType w:val="hybridMultilevel"/>
    <w:lvl w:ilvl="0">
      <w:lvlJc w:val="left"/>
      <w:lvlText w:val="(%1)"/>
      <w:numFmt w:val="decimal"/>
      <w:start w:val="16"/>
    </w:lvl>
  </w:abstractNum>
  <w:abstractNum w:abstractNumId="46">
    <w:nsid w:val="135B8110"/>
    <w:multiLevelType w:val="hybridMultilevel"/>
    <w:lvl w:ilvl="0">
      <w:lvlJc w:val="left"/>
      <w:lvlText w:val="%1"/>
      <w:numFmt w:val="decimal"/>
      <w:start w:val="1"/>
    </w:lvl>
    <w:lvl w:ilvl="1">
      <w:lvlJc w:val="left"/>
      <w:lvlText w:val="(%2)"/>
      <w:numFmt w:val="decimal"/>
      <w:start w:val="1"/>
    </w:lvl>
  </w:abstractNum>
  <w:abstractNum w:abstractNumId="47">
    <w:nsid w:val="94927A8"/>
    <w:multiLevelType w:val="hybridMultilevel"/>
    <w:lvl w:ilvl="0">
      <w:lvlJc w:val="left"/>
      <w:lvlText w:val="(%1)"/>
      <w:numFmt w:val="decimal"/>
      <w:start w:val="17"/>
    </w:lvl>
    <w:lvl w:ilvl="1">
      <w:lvlJc w:val="left"/>
      <w:lvlText w:val="%2"/>
      <w:numFmt w:val="decimal"/>
      <w:start w:val="1"/>
    </w:lvl>
  </w:abstractNum>
  <w:abstractNum w:abstractNumId="48">
    <w:nsid w:val="DCDF8F6"/>
    <w:multiLevelType w:val="hybridMultilevel"/>
    <w:lvl w:ilvl="0">
      <w:lvlJc w:val="left"/>
      <w:lvlText w:val="(%1)"/>
      <w:numFmt w:val="decimal"/>
      <w:start w:val="18"/>
    </w:lvl>
  </w:abstractNum>
  <w:abstractNum w:abstractNumId="49">
    <w:nsid w:val="52D7B105"/>
    <w:multiLevelType w:val="hybridMultilevel"/>
    <w:lvl w:ilvl="0">
      <w:lvlJc w:val="left"/>
      <w:lvlText w:val="(%1)"/>
      <w:numFmt w:val="lowerRoman"/>
      <w:start w:val="2"/>
    </w:lvl>
  </w:abstractNum>
  <w:abstractNum w:abstractNumId="50">
    <w:nsid w:val="2E8A6394"/>
    <w:multiLevelType w:val="hybridMultilevel"/>
    <w:lvl w:ilvl="0">
      <w:lvlJc w:val="left"/>
      <w:lvlText w:val="(%1)"/>
      <w:numFmt w:val="lowerLetter"/>
      <w:start w:val="1"/>
    </w:lvl>
  </w:abstractNum>
  <w:abstractNum w:abstractNumId="51">
    <w:nsid w:val="24E60401"/>
    <w:multiLevelType w:val="hybridMultilevel"/>
    <w:lvl w:ilvl="0">
      <w:lvlJc w:val="left"/>
      <w:lvlText w:val="(%1)"/>
      <w:numFmt w:val="decimal"/>
      <w:start w:val="1"/>
    </w:lvl>
  </w:abstractNum>
  <w:abstractNum w:abstractNumId="52">
    <w:nsid w:val="2A6AD9BE"/>
    <w:multiLevelType w:val="hybridMultilevel"/>
    <w:lvl w:ilvl="0">
      <w:lvlJc w:val="left"/>
      <w:lvlText w:val="(%1)"/>
      <w:numFmt w:val="decimal"/>
      <w:start w:val="3"/>
    </w:lvl>
  </w:abstractNum>
  <w:abstractNum w:abstractNumId="53">
    <w:nsid w:val="BAAC1B4"/>
    <w:multiLevelType w:val="hybridMultilevel"/>
    <w:lvl w:ilvl="0">
      <w:lvlJc w:val="left"/>
      <w:lvlText w:val="(%1)"/>
      <w:numFmt w:val="lowerLetter"/>
      <w:start w:val="2"/>
    </w:lvl>
  </w:abstractNum>
  <w:abstractNum w:abstractNumId="54">
    <w:nsid w:val="36B2ACBC"/>
    <w:multiLevelType w:val="hybridMultilevel"/>
    <w:lvl w:ilvl="0">
      <w:lvlJc w:val="left"/>
      <w:lvlText w:val="*"/>
      <w:numFmt w:val="bullet"/>
      <w:start w:val="1"/>
    </w:lvl>
    <w:lvl w:ilvl="1">
      <w:lvlJc w:val="left"/>
      <w:lvlText w:val="%2"/>
      <w:numFmt w:val="decimal"/>
      <w:start w:val="104"/>
    </w:lvl>
  </w:abstractNum>
  <w:abstractNum w:abstractNumId="55">
    <w:nsid w:val="779D8544"/>
    <w:multiLevelType w:val="hybridMultilevel"/>
    <w:lvl w:ilvl="0">
      <w:lvlJc w:val="left"/>
      <w:lvlText w:val="**"/>
      <w:numFmt w:val="bullet"/>
      <w:start w:val="1"/>
    </w:lvl>
    <w:lvl w:ilvl="1">
      <w:lvlJc w:val="left"/>
      <w:lvlText w:val="%2"/>
      <w:numFmt w:val="decimal"/>
      <w:start w:val="1"/>
    </w:lvl>
  </w:abstractNum>
  <w:abstractNum w:abstractNumId="56">
    <w:nsid w:val="4AB26E78"/>
    <w:multiLevelType w:val="hybridMultilevel"/>
    <w:lvl w:ilvl="0">
      <w:lvlJc w:val="left"/>
      <w:lvlText w:val="%1)"/>
      <w:numFmt w:val="lowerLetter"/>
      <w:start w:val="1"/>
    </w:lvl>
  </w:abstractNum>
  <w:abstractNum w:abstractNumId="57">
    <w:nsid w:val="21FAA2FA"/>
    <w:multiLevelType w:val="hybridMultilevel"/>
    <w:lvl w:ilvl="0">
      <w:lvlJc w:val="left"/>
      <w:lvlText w:val="(%1)"/>
      <w:numFmt w:val="decimal"/>
      <w:start w:val="15"/>
    </w:lvl>
  </w:abstractNum>
  <w:abstractNum w:abstractNumId="58">
    <w:nsid w:val="5451CF49"/>
    <w:multiLevelType w:val="hybridMultilevel"/>
    <w:lvl w:ilvl="0">
      <w:lvlJc w:val="left"/>
      <w:lvlText w:val="(%1)"/>
      <w:numFmt w:val="lowerLetter"/>
      <w:start w:val="1"/>
    </w:lvl>
    <w:lvl w:ilvl="1">
      <w:lvlJc w:val="left"/>
      <w:lvlText w:val="(%2)"/>
      <w:numFmt w:val="lowerRoman"/>
      <w:start w:val="1"/>
    </w:lvl>
  </w:abstractNum>
  <w:abstractNum w:abstractNumId="59">
    <w:nsid w:val="6181EF69"/>
    <w:multiLevelType w:val="hybridMultilevel"/>
    <w:lvl w:ilvl="0">
      <w:lvlJc w:val="left"/>
      <w:lvlText w:val="(%1)"/>
      <w:numFmt w:val="lowerRoman"/>
      <w:start w:val="2"/>
    </w:lvl>
    <w:lvl w:ilvl="1">
      <w:lvlJc w:val="left"/>
      <w:lvlText w:val="(%2)"/>
      <w:numFmt w:val="upperLetter"/>
      <w:start w:val="1"/>
    </w:lvl>
  </w:abstractNum>
  <w:abstractNum w:abstractNumId="60">
    <w:nsid w:val="3E6400E6"/>
    <w:multiLevelType w:val="hybridMultilevel"/>
    <w:lvl w:ilvl="0">
      <w:lvlJc w:val="left"/>
      <w:lvlText w:val="%1"/>
      <w:numFmt w:val="lowerLetter"/>
      <w:start w:val="1"/>
    </w:lvl>
    <w:lvl w:ilvl="1">
      <w:lvlJc w:val="left"/>
      <w:lvlText w:val="(%2)"/>
      <w:numFmt w:val="lowerRoman"/>
      <w:start w:val="3"/>
    </w:lvl>
  </w:abstractNum>
  <w:abstractNum w:abstractNumId="61">
    <w:nsid w:val="14217E23"/>
    <w:multiLevelType w:val="hybridMultilevel"/>
    <w:lvl w:ilvl="0">
      <w:lvlJc w:val="left"/>
      <w:lvlText w:val="(%1)"/>
      <w:numFmt w:val="lowerLetter"/>
      <w:start w:val="3"/>
    </w:lvl>
    <w:lvl w:ilvl="1">
      <w:lvlJc w:val="left"/>
      <w:lvlText w:val="(%2)"/>
      <w:numFmt w:val="lowerRoman"/>
      <w:start w:val="1"/>
    </w:lvl>
  </w:abstractNum>
  <w:abstractNum w:abstractNumId="62">
    <w:nsid w:val="710757D0"/>
    <w:multiLevelType w:val="hybridMultilevel"/>
    <w:lvl w:ilvl="0">
      <w:lvlJc w:val="left"/>
      <w:lvlText w:val="%1"/>
      <w:numFmt w:val="lowerLetter"/>
      <w:start w:val="1"/>
    </w:lvl>
    <w:lvl w:ilvl="1">
      <w:lvlJc w:val="left"/>
      <w:lvlText w:val="(%2)"/>
      <w:numFmt w:val="lowerLetter"/>
      <w:start w:val="35"/>
    </w:lvl>
  </w:abstractNum>
  <w:abstractNum w:abstractNumId="63">
    <w:nsid w:val="5015CD1A"/>
    <w:multiLevelType w:val="hybridMultilevel"/>
    <w:lvl w:ilvl="0">
      <w:lvlJc w:val="left"/>
      <w:lvlText w:val="(%1)"/>
      <w:numFmt w:val="lowerLetter"/>
      <w:start w:val="5"/>
    </w:lvl>
    <w:lvl w:ilvl="1">
      <w:lvlJc w:val="left"/>
      <w:lvlText w:val="(%2)"/>
      <w:numFmt w:val="lowerLetter"/>
      <w:start w:val="9"/>
    </w:lvl>
  </w:abstractNum>
  <w:abstractNum w:abstractNumId="64">
    <w:nsid w:val="424479DA"/>
    <w:multiLevelType w:val="hybridMultilevel"/>
    <w:lvl w:ilvl="0">
      <w:lvlJc w:val="left"/>
      <w:lvlText w:val="(%1)"/>
      <w:numFmt w:val="lowerRoman"/>
      <w:start w:val="2"/>
    </w:lvl>
    <w:lvl w:ilvl="1">
      <w:lvlJc w:val="left"/>
      <w:lvlText w:val="(%2)"/>
      <w:numFmt w:val="upperLetter"/>
      <w:start w:val="1"/>
    </w:lvl>
  </w:abstractNum>
  <w:abstractNum w:abstractNumId="65">
    <w:nsid w:val="1A9A9E69"/>
    <w:multiLevelType w:val="hybridMultilevel"/>
    <w:lvl w:ilvl="0">
      <w:lvlJc w:val="left"/>
      <w:lvlText w:val="%1"/>
      <w:numFmt w:val="lowerLetter"/>
      <w:start w:val="1"/>
    </w:lvl>
    <w:lvl w:ilvl="1">
      <w:lvlJc w:val="left"/>
      <w:lvlText w:val="(%2)"/>
      <w:numFmt w:val="lowerLetter"/>
      <w:start w:val="61"/>
    </w:lvl>
  </w:abstractNum>
  <w:abstractNum w:abstractNumId="66">
    <w:nsid w:val="475E256A"/>
    <w:multiLevelType w:val="hybridMultilevel"/>
    <w:lvl w:ilvl="0">
      <w:lvlJc w:val="left"/>
      <w:lvlText w:val="(%1)"/>
      <w:numFmt w:val="lowerLetter"/>
      <w:start w:val="6"/>
    </w:lvl>
    <w:lvl w:ilvl="1">
      <w:lvlJc w:val="left"/>
      <w:lvlText w:val="%2"/>
      <w:numFmt w:val="lowerLetter"/>
      <w:start w:val="1"/>
    </w:lvl>
  </w:abstractNum>
  <w:abstractNum w:abstractNumId="67">
    <w:nsid w:val="368DB37E"/>
    <w:multiLevelType w:val="hybridMultilevel"/>
    <w:lvl w:ilvl="0">
      <w:lvlJc w:val="left"/>
      <w:lvlText w:val="(%1)"/>
      <w:numFmt w:val="lowerLetter"/>
      <w:start w:val="8"/>
    </w:lvl>
  </w:abstractNum>
  <w:abstractNum w:abstractNumId="68">
    <w:nsid w:val="6A3B714C"/>
    <w:multiLevelType w:val="hybridMultilevel"/>
    <w:lvl w:ilvl="0">
      <w:lvlJc w:val="left"/>
      <w:lvlText w:val="(%1)"/>
      <w:numFmt w:val="lowerLetter"/>
      <w:start w:val="1"/>
    </w:lvl>
  </w:abstractNum>
  <w:abstractNum w:abstractNumId="69">
    <w:nsid w:val="327B517E"/>
    <w:multiLevelType w:val="hybridMultilevel"/>
    <w:lvl w:ilvl="0">
      <w:lvlJc w:val="left"/>
      <w:lvlText w:val="(%1)"/>
      <w:numFmt w:val="lowerLetter"/>
      <w:start w:val="4"/>
    </w:lvl>
  </w:abstractNum>
  <w:abstractNum w:abstractNumId="70">
    <w:nsid w:val="1F461B51"/>
    <w:multiLevelType w:val="hybridMultilevel"/>
    <w:lvl w:ilvl="0">
      <w:lvlJc w:val="left"/>
      <w:lvlText w:val="(%1)"/>
      <w:numFmt w:val="lowerLetter"/>
      <w:start w:val="2"/>
    </w:lvl>
    <w:lvl w:ilvl="1">
      <w:lvlJc w:val="left"/>
      <w:lvlText w:val="%2"/>
      <w:numFmt w:val="lowerLetter"/>
      <w:start w:val="1"/>
    </w:lvl>
  </w:abstractNum>
  <w:abstractNum w:abstractNumId="71">
    <w:nsid w:val="29BACF25"/>
    <w:multiLevelType w:val="hybridMultilevel"/>
    <w:lvl w:ilvl="0">
      <w:lvlJc w:val="left"/>
      <w:lvlText w:val="(%1)"/>
      <w:numFmt w:val="lowerLetter"/>
      <w:start w:val="6"/>
    </w:lvl>
    <w:lvl w:ilvl="1">
      <w:lvlJc w:val="left"/>
      <w:lvlText w:val="%2"/>
      <w:numFmt w:val="lowerLetter"/>
      <w:start w:val="1"/>
    </w:lvl>
  </w:abstractNum>
  <w:abstractNum w:abstractNumId="72">
    <w:nsid w:val="5D5BABB3"/>
    <w:multiLevelType w:val="hybridMultilevel"/>
    <w:lvl w:ilvl="0">
      <w:lvlJc w:val="left"/>
      <w:lvlText w:val="(%1)"/>
      <w:numFmt w:val="lowerLetter"/>
      <w:start w:val="1"/>
    </w:lvl>
  </w:abstractNum>
  <w:abstractNum w:abstractNumId="73">
    <w:nsid w:val="51BF6B48"/>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5"/>
    </w:lvl>
  </w:abstractNum>
  <w:abstractNum w:abstractNumId="74">
    <w:nsid w:val="7E0F6384"/>
    <w:multiLevelType w:val="hybridMultilevel"/>
    <w:lvl w:ilvl="0">
      <w:lvlJc w:val="left"/>
      <w:lvlText w:val="(%1)"/>
      <w:numFmt w:val="lowerLetter"/>
      <w:start w:val="1"/>
    </w:lvl>
    <w:lvl w:ilvl="1">
      <w:lvlJc w:val="left"/>
      <w:lvlText w:val="(%2)"/>
      <w:numFmt w:val="lowerLetter"/>
      <w:start w:val="2"/>
    </w:lvl>
  </w:abstractNum>
  <w:abstractNum w:abstractNumId="75">
    <w:nsid w:val="2B4B8B53"/>
    <w:multiLevelType w:val="hybridMultilevel"/>
    <w:lvl w:ilvl="0">
      <w:lvlJc w:val="left"/>
      <w:lvlText w:val="(%1)"/>
      <w:numFmt w:val="lowerLetter"/>
      <w:start w:val="3"/>
    </w:lvl>
  </w:abstractNum>
  <w:abstractNum w:abstractNumId="76">
    <w:nsid w:val="72E341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0"/>
    </w:lvl>
    <w:lvl w:ilvl="3">
      <w:lvlJc w:val="left"/>
      <w:lvlText w:val="(%4)"/>
      <w:numFmt w:val="lowerRoman"/>
      <w:start w:val="1"/>
    </w:lvl>
  </w:abstractNum>
  <w:abstractNum w:abstractNumId="77">
    <w:nsid w:val="116AE49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8">
    <w:nsid w:val="3494B2FB"/>
    <w:multiLevelType w:val="hybridMultilevel"/>
    <w:lvl w:ilvl="0">
      <w:lvlJc w:val="left"/>
      <w:lvlText w:val="(%1)"/>
      <w:numFmt w:val="lowerLetter"/>
      <w:start w:val="3"/>
    </w:lvl>
    <w:lvl w:ilvl="1">
      <w:lvlJc w:val="left"/>
      <w:lvlText w:val="(%2)"/>
      <w:numFmt w:val="lowerLetter"/>
      <w:start w:val="5"/>
    </w:lvl>
  </w:abstractNum>
  <w:abstractNum w:abstractNumId="79">
    <w:nsid w:val="B13A3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0">
    <w:nsid w:val="64429599"/>
    <w:multiLevelType w:val="hybridMultilevel"/>
    <w:lvl w:ilvl="0">
      <w:lvlJc w:val="left"/>
      <w:lvlText w:val="(%1)"/>
      <w:numFmt w:val="lowerLetter"/>
      <w:start w:val="1"/>
    </w:lvl>
  </w:abstractNum>
  <w:abstractNum w:abstractNumId="81">
    <w:nsid w:val="631F1690"/>
    <w:multiLevelType w:val="hybridMultilevel"/>
    <w:lvl w:ilvl="0">
      <w:lvlJc w:val="left"/>
      <w:lvlText w:val="%1"/>
      <w:numFmt w:val="lowerLetter"/>
      <w:start w:val="1"/>
    </w:lvl>
    <w:lvl w:ilvl="1">
      <w:lvlJc w:val="left"/>
      <w:lvlText w:val="(%2)"/>
      <w:numFmt w:val="lowerLetter"/>
      <w:start w:val="2"/>
    </w:lvl>
  </w:abstractNum>
  <w:abstractNum w:abstractNumId="82">
    <w:nsid w:val="25973E32"/>
    <w:multiLevelType w:val="hybridMultilevel"/>
    <w:lvl w:ilvl="0">
      <w:lvlJc w:val="left"/>
      <w:lvlText w:val="(%1)"/>
      <w:numFmt w:val="lowerLetter"/>
      <w:start w:val="3"/>
    </w:lvl>
    <w:lvl w:ilvl="1">
      <w:lvlJc w:val="left"/>
      <w:lvlText w:val="%2"/>
      <w:numFmt w:val="lowerLetter"/>
      <w:start w:val="1"/>
    </w:lvl>
  </w:abstractNum>
  <w:abstractNum w:abstractNumId="83">
    <w:nsid w:val="EAD6F57"/>
    <w:multiLevelType w:val="hybridMultilevel"/>
    <w:lvl w:ilvl="0">
      <w:lvlJc w:val="left"/>
      <w:lvlText w:val="(%1)"/>
      <w:numFmt w:val="upperLetter"/>
      <w:start w:val="1"/>
    </w:lvl>
  </w:abstractNum>
  <w:abstractNum w:abstractNumId="84">
    <w:nsid w:val="6EC9D844"/>
    <w:multiLevelType w:val="hybridMultilevel"/>
    <w:lvl w:ilvl="0">
      <w:lvlJc w:val="left"/>
      <w:lvlText w:val="%1."/>
      <w:numFmt w:val="decimal"/>
      <w:start w:val="1"/>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1)"/>
      <w:numFmt w:val="lowerLetter"/>
      <w:start w:val="1"/>
    </w:lvl>
  </w:abstractNum>
  <w:abstractNum w:abstractNumId="87">
    <w:nsid w:val="397C46BC"/>
    <w:multiLevelType w:val="hybridMultilevel"/>
    <w:lvl w:ilvl="0">
      <w:lvlJc w:val="left"/>
      <w:lvlText w:val="(%1)"/>
      <w:numFmt w:val="lowerLetter"/>
      <w:start w:val="2"/>
    </w:lvl>
  </w:abstractNum>
  <w:abstractNum w:abstractNumId="88">
    <w:nsid w:val="7E448DE9"/>
    <w:multiLevelType w:val="hybridMultilevel"/>
    <w:lvl w:ilvl="0">
      <w:lvlJc w:val="left"/>
      <w:lvlText w:val="(%1)"/>
      <w:numFmt w:val="lowerLetter"/>
      <w:start w:val="1"/>
    </w:lvl>
  </w:abstractNum>
  <w:abstractNum w:abstractNumId="89">
    <w:nsid w:val="5A9CC3E5"/>
    <w:multiLevelType w:val="hybridMultilevel"/>
    <w:lvl w:ilvl="0">
      <w:lvlJc w:val="left"/>
      <w:lvlText w:val="(%1)"/>
      <w:numFmt w:val="lowerLetter"/>
      <w:start w:val="1"/>
    </w:lvl>
  </w:abstractNum>
  <w:abstractNum w:abstractNumId="90">
    <w:nsid w:val="1AFE3625"/>
    <w:multiLevelType w:val="hybridMultilevel"/>
    <w:lvl w:ilvl="0">
      <w:lvlJc w:val="left"/>
      <w:lvlText w:val="(%1)"/>
      <w:numFmt w:val="lowerLetter"/>
      <w:start w:val="1"/>
    </w:lvl>
  </w:abstractNum>
  <w:abstractNum w:abstractNumId="91">
    <w:nsid w:val="3CA88ECF"/>
    <w:multiLevelType w:val="hybridMultilevel"/>
    <w:lvl w:ilvl="0">
      <w:lvlJc w:val="left"/>
      <w:lvlText w:val="(%1)"/>
      <w:numFmt w:val="lowerLetter"/>
      <w:start w:val="5"/>
    </w:lvl>
  </w:abstractNum>
  <w:abstractNum w:abstractNumId="92">
    <w:nsid w:val="6EBE4208"/>
    <w:multiLevelType w:val="hybridMultilevel"/>
    <w:lvl w:ilvl="0">
      <w:lvlJc w:val="left"/>
      <w:lvlText w:val="(%1)"/>
      <w:numFmt w:val="lowerLetter"/>
      <w:start w:val="1"/>
    </w:lvl>
  </w:abstractNum>
  <w:abstractNum w:abstractNumId="93">
    <w:nsid w:val="C058DF5"/>
    <w:multiLevelType w:val="hybridMultilevel"/>
    <w:lvl w:ilvl="0">
      <w:lvlJc w:val="left"/>
      <w:lvlText w:val="(%1)"/>
      <w:numFmt w:val="lowerLetter"/>
      <w:start w:val="35"/>
    </w:lvl>
  </w:abstractNum>
  <w:abstractNum w:abstractNumId="94">
    <w:nsid w:val="CBE5BE9"/>
    <w:multiLevelType w:val="hybridMultilevel"/>
    <w:lvl w:ilvl="0">
      <w:lvlJc w:val="left"/>
      <w:lvlText w:val="(%1)"/>
      <w:numFmt w:val="lowerLetter"/>
      <w:start w:val="3"/>
    </w:lvl>
  </w:abstractNum>
  <w:abstractNum w:abstractNumId="95">
    <w:nsid w:val="3102BBE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6">
    <w:nsid w:val="26A02C5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5"/>
    </w:lvl>
    <w:lvl w:ilvl="3">
      <w:lvlJc w:val="left"/>
      <w:lvlText w:val="%4"/>
      <w:numFmt w:val="lowerRoman"/>
      <w:start w:val="1"/>
    </w:lvl>
  </w:abstractNum>
  <w:abstractNum w:abstractNumId="97">
    <w:nsid w:val="541C8153"/>
    <w:multiLevelType w:val="hybridMultilevel"/>
    <w:lvl w:ilvl="0">
      <w:lvlJc w:val="left"/>
      <w:lvlText w:val="(%1)"/>
      <w:numFmt w:val="lowerRoman"/>
      <w:start w:val="7"/>
    </w:lvl>
    <w:lvl w:ilvl="1">
      <w:lvlJc w:val="left"/>
      <w:lvlText w:val="(%2)"/>
      <w:numFmt w:val="lowerRoman"/>
      <w:start w:val="10"/>
    </w:lvl>
    <w:lvl w:ilvl="2">
      <w:lvlJc w:val="left"/>
      <w:lvlText w:val="(%3)"/>
      <w:numFmt w:val="lowerRoman"/>
      <w:start w:val="9"/>
    </w:lvl>
    <w:lvl w:ilvl="3">
      <w:lvlJc w:val="left"/>
      <w:lvlText w:val="(%4)"/>
      <w:numFmt w:val="lowerRoman"/>
      <w:start w:val="10"/>
    </w:lvl>
  </w:abstractNum>
  <w:abstractNum w:abstractNumId="98">
    <w:nsid w:val="67906F6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2"/>
    </w:lvl>
  </w:abstractNum>
  <w:abstractNum w:abstractNumId="99">
    <w:nsid w:val="10DB9DAA"/>
    <w:multiLevelType w:val="hybridMultilevel"/>
    <w:lvl w:ilvl="0">
      <w:lvlJc w:val="left"/>
      <w:lvlText w:val="(%1)"/>
      <w:numFmt w:val="lowerRoman"/>
      <w:start w:val="13"/>
    </w:lvl>
  </w:abstractNum>
  <w:abstractNum w:abstractNumId="100">
    <w:nsid w:val="697D2D2"/>
    <w:multiLevelType w:val="hybridMultilevel"/>
    <w:lvl w:ilvl="0">
      <w:lvlJc w:val="left"/>
      <w:lvlText w:val="%1"/>
      <w:numFmt w:val="decimal"/>
      <w:start w:val="1"/>
    </w:lvl>
    <w:lvl w:ilvl="1">
      <w:lvlJc w:val="left"/>
      <w:lvlText w:val="(%2)"/>
      <w:numFmt w:val="decimal"/>
      <w:start w:val="1"/>
    </w:lvl>
  </w:abstractNum>
  <w:abstractNum w:abstractNumId="101">
    <w:nsid w:val="6D68AB2"/>
    <w:multiLevelType w:val="hybridMultilevel"/>
    <w:lvl w:ilvl="0">
      <w:lvlJc w:val="left"/>
      <w:lvlText w:val="(%1)"/>
      <w:numFmt w:val="decimal"/>
      <w:start w:val="2"/>
    </w:lvl>
    <w:lvl w:ilvl="1">
      <w:lvlJc w:val="left"/>
      <w:lvlText w:val="%2"/>
      <w:numFmt w:val="decimal"/>
      <w:start w:val="1"/>
    </w:lvl>
  </w:abstractNum>
  <w:abstractNum w:abstractNumId="102">
    <w:nsid w:val="3A966CD0"/>
    <w:multiLevelType w:val="hybridMultilevel"/>
    <w:lvl w:ilvl="0">
      <w:lvlJc w:val="left"/>
      <w:lvlText w:val="(%1)"/>
      <w:numFmt w:val="lowerLetter"/>
      <w:start w:val="1"/>
    </w:lvl>
  </w:abstractNum>
  <w:abstractNum w:abstractNumId="103">
    <w:nsid w:val="63F37E85"/>
    <w:multiLevelType w:val="hybridMultilevel"/>
    <w:lvl w:ilvl="0">
      <w:lvlJc w:val="left"/>
      <w:lvlText w:val="(%1)"/>
      <w:numFmt w:val="lowerLetter"/>
      <w:start w:val="5"/>
    </w:lvl>
  </w:abstractNum>
  <w:abstractNum w:abstractNumId="104">
    <w:nsid w:val="5895F5FA"/>
    <w:multiLevelType w:val="hybridMultilevel"/>
    <w:lvl w:ilvl="0">
      <w:lvlJc w:val="left"/>
      <w:lvlText w:val="(%1)"/>
      <w:numFmt w:val="lowerLetter"/>
      <w:start w:val="14"/>
    </w:lvl>
  </w:abstractNum>
  <w:abstractNum w:abstractNumId="105">
    <w:nsid w:val="38A5D054"/>
    <w:multiLevelType w:val="hybridMultilevel"/>
    <w:lvl w:ilvl="0">
      <w:lvlJc w:val="left"/>
      <w:lvlText w:val="(%1)"/>
      <w:numFmt w:val="lowerLetter"/>
      <w:start w:val="1"/>
    </w:lvl>
  </w:abstractNum>
  <w:abstractNum w:abstractNumId="106">
    <w:nsid w:val="F3F09D8"/>
    <w:multiLevelType w:val="hybridMultilevel"/>
    <w:lvl w:ilvl="0">
      <w:lvlJc w:val="left"/>
      <w:lvlText w:val="(%1)"/>
      <w:numFmt w:val="lowerLetter"/>
      <w:start w:val="8"/>
    </w:lvl>
  </w:abstractNum>
  <w:abstractNum w:abstractNumId="107">
    <w:nsid w:val="4B793735"/>
    <w:multiLevelType w:val="hybridMultilevel"/>
    <w:lvl w:ilvl="0">
      <w:lvlJc w:val="left"/>
      <w:lvlText w:val="(%1)"/>
      <w:numFmt w:val="lowerLetter"/>
      <w:start w:val="1"/>
    </w:lvl>
  </w:abstractNum>
  <w:abstractNum w:abstractNumId="108">
    <w:nsid w:val="4A10B4E8"/>
    <w:multiLevelType w:val="hybridMultilevel"/>
    <w:lvl w:ilvl="0">
      <w:lvlJc w:val="left"/>
      <w:lvlText w:val="(%1)"/>
      <w:numFmt w:val="lowerLetter"/>
      <w:start w:val="4"/>
    </w:lvl>
  </w:abstractNum>
  <w:abstractNum w:abstractNumId="109">
    <w:nsid w:val="43D3BCD4"/>
    <w:multiLevelType w:val="hybridMultilevel"/>
    <w:lvl w:ilvl="0">
      <w:lvlJc w:val="left"/>
      <w:lvlText w:val="(%1)"/>
      <w:numFmt w:val="lowerLetter"/>
      <w:start w:val="2"/>
    </w:lvl>
  </w:abstractNum>
  <w:abstractNum w:abstractNumId="110">
    <w:nsid w:val="4C2A7166"/>
    <w:multiLevelType w:val="hybridMultilevel"/>
    <w:lvl w:ilvl="0">
      <w:lvlJc w:val="left"/>
      <w:lvlText w:val="(%1)"/>
      <w:numFmt w:val="lowerLetter"/>
      <w:start w:val="7"/>
    </w:lvl>
  </w:abstractNum>
  <w:abstractNum w:abstractNumId="111">
    <w:nsid w:val="2E534A82"/>
    <w:multiLevelType w:val="hybridMultilevel"/>
    <w:lvl w:ilvl="0">
      <w:lvlJc w:val="left"/>
      <w:lvlText w:val="%1"/>
      <w:numFmt w:val="lowerLetter"/>
      <w:start w:val="1"/>
    </w:lvl>
    <w:lvl w:ilvl="1">
      <w:lvlJc w:val="left"/>
      <w:lvlText w:val="(%2)"/>
      <w:numFmt w:val="lowerLetter"/>
      <w:start w:val="11"/>
    </w:lvl>
  </w:abstractNum>
  <w:abstractNum w:abstractNumId="112">
    <w:nsid w:val="26F2D364"/>
    <w:multiLevelType w:val="hybridMultilevel"/>
    <w:lvl w:ilvl="0">
      <w:lvlJc w:val="left"/>
      <w:lvlText w:val="(%1)"/>
      <w:numFmt w:val="lowerLetter"/>
      <w:start w:val="12"/>
    </w:lvl>
    <w:lvl w:ilvl="1">
      <w:lvlJc w:val="left"/>
      <w:lvlText w:val="%2"/>
      <w:numFmt w:val="lowerLetter"/>
      <w:start w:val="1"/>
    </w:lvl>
  </w:abstractNum>
  <w:abstractNum w:abstractNumId="113">
    <w:nsid w:val="71C1AF98"/>
    <w:multiLevelType w:val="hybridMultilevel"/>
    <w:lvl w:ilvl="0">
      <w:lvlJc w:val="left"/>
      <w:lvlText w:val="(%1)"/>
      <w:numFmt w:val="lowerLetter"/>
      <w:start w:val="1"/>
    </w:lvl>
  </w:abstractNum>
  <w:abstractNum w:abstractNumId="114">
    <w:nsid w:val="3D00B9D9"/>
    <w:multiLevelType w:val="hybridMultilevel"/>
    <w:lvl w:ilvl="0">
      <w:lvlJc w:val="left"/>
      <w:lvlText w:val="(%1)"/>
      <w:numFmt w:val="lowerLetter"/>
      <w:start w:val="7"/>
    </w:lvl>
  </w:abstractNum>
  <w:abstractNum w:abstractNumId="115">
    <w:nsid w:val="15BCABA8"/>
    <w:multiLevelType w:val="hybridMultilevel"/>
    <w:lvl w:ilvl="0">
      <w:lvlJc w:val="left"/>
      <w:lvlText w:val="(%1)"/>
      <w:numFmt w:val="lowerLetter"/>
      <w:start w:val="11"/>
    </w:lvl>
  </w:abstractNum>
  <w:abstractNum w:abstractNumId="116">
    <w:nsid w:val="4E0B9A87"/>
    <w:multiLevelType w:val="hybridMultilevel"/>
    <w:lvl w:ilvl="0">
      <w:lvlJc w:val="left"/>
      <w:lvlText w:val="(%1)"/>
      <w:numFmt w:val="lowerRoman"/>
      <w:start w:val="3"/>
    </w:lvl>
  </w:abstractNum>
  <w:abstractNum w:abstractNumId="117">
    <w:nsid w:val="434BAE75"/>
    <w:multiLevelType w:val="hybridMultilevel"/>
    <w:lvl w:ilvl="0">
      <w:lvlJc w:val="left"/>
      <w:lvlText w:val="%1"/>
      <w:numFmt w:val="lowerLetter"/>
      <w:start w:val="1"/>
    </w:lvl>
    <w:lvl w:ilvl="1">
      <w:lvlJc w:val="left"/>
      <w:lvlText w:val="(%2)"/>
      <w:numFmt w:val="lowerLetter"/>
      <w:start w:val="1"/>
    </w:lvl>
  </w:abstractNum>
  <w:abstractNum w:abstractNumId="118">
    <w:nsid w:val="4F38F265"/>
    <w:multiLevelType w:val="hybridMultilevel"/>
    <w:lvl w:ilvl="0">
      <w:lvlJc w:val="left"/>
      <w:lvlText w:val="(%1)"/>
      <w:numFmt w:val="lowerLetter"/>
      <w:start w:val="1"/>
    </w:lvl>
    <w:lvl w:ilvl="1">
      <w:lvlJc w:val="left"/>
      <w:lvlText w:val="%2"/>
      <w:numFmt w:val="lowerLetter"/>
      <w:start w:val="1"/>
    </w:lvl>
  </w:abstractNum>
  <w:abstractNum w:abstractNumId="119">
    <w:nsid w:val="4C502870"/>
    <w:multiLevelType w:val="hybridMultilevel"/>
    <w:lvl w:ilvl="0">
      <w:lvlJc w:val="left"/>
      <w:lvlText w:val="%1"/>
      <w:numFmt w:val="lowerLetter"/>
      <w:start w:val="1"/>
    </w:lvl>
    <w:lvl w:ilvl="1">
      <w:lvlJc w:val="left"/>
      <w:lvlText w:val="(%2)"/>
      <w:numFmt w:val="lowerLetter"/>
      <w:start w:val="2"/>
    </w:lvl>
  </w:abstractNum>
  <w:abstractNum w:abstractNumId="120">
    <w:nsid w:val="1DE8725A"/>
    <w:multiLevelType w:val="hybridMultilevel"/>
    <w:lvl w:ilvl="0">
      <w:lvlJc w:val="left"/>
      <w:lvlText w:val="(%1)"/>
      <w:numFmt w:val="lowerLetter"/>
      <w:start w:val="9"/>
    </w:lvl>
    <w:lvl w:ilvl="1">
      <w:lvlJc w:val="left"/>
      <w:lvlText w:val="%2"/>
      <w:numFmt w:val="lowerLetter"/>
      <w:start w:val="1"/>
    </w:lvl>
  </w:abstractNum>
  <w:abstractNum w:abstractNumId="121">
    <w:nsid w:val="6A37288A"/>
    <w:multiLevelType w:val="hybridMultilevel"/>
    <w:lvl w:ilvl="0">
      <w:lvlJc w:val="left"/>
      <w:lvlText w:val="(%1)"/>
      <w:numFmt w:val="lowerLetter"/>
      <w:start w:val="3"/>
    </w:lvl>
  </w:abstractNum>
  <w:abstractNum w:abstractNumId="122">
    <w:nsid w:val="8F8B73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23">
    <w:nsid w:val="CA6B462"/>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24">
    <w:nsid w:val="763CB680"/>
    <w:multiLevelType w:val="hybridMultilevel"/>
    <w:lvl w:ilvl="0">
      <w:lvlJc w:val="left"/>
      <w:lvlText w:val="%1"/>
      <w:numFmt w:val="lowerLetter"/>
      <w:start w:val="1"/>
    </w:lvl>
    <w:lvl w:ilvl="1">
      <w:lvlJc w:val="left"/>
      <w:lvlText w:val="(%2)"/>
      <w:numFmt w:val="lowerLetter"/>
      <w:start w:val="3"/>
    </w:lvl>
  </w:abstractNum>
  <w:abstractNum w:abstractNumId="125">
    <w:nsid w:val="15B71329"/>
    <w:multiLevelType w:val="hybridMultilevel"/>
    <w:lvl w:ilvl="0">
      <w:lvlJc w:val="left"/>
      <w:lvlText w:val="(%1)"/>
      <w:numFmt w:val="lowerLetter"/>
      <w:start w:val="2"/>
    </w:lvl>
    <w:lvl w:ilvl="1">
      <w:lvlJc w:val="left"/>
      <w:lvlText w:val="%2"/>
      <w:numFmt w:val="lowerLetter"/>
      <w:start w:val="1"/>
    </w:lvl>
  </w:abstractNum>
  <w:abstractNum w:abstractNumId="126">
    <w:nsid w:val="3DA97044"/>
    <w:multiLevelType w:val="hybridMultilevel"/>
    <w:lvl w:ilvl="0">
      <w:lvlJc w:val="left"/>
      <w:lvlText w:val="(%1)"/>
      <w:numFmt w:val="lowerLetter"/>
      <w:start w:val="1"/>
    </w:lvl>
  </w:abstractNum>
  <w:abstractNum w:abstractNumId="127">
    <w:nsid w:val="1CDCE2DE"/>
    <w:multiLevelType w:val="hybridMultilevel"/>
    <w:lvl w:ilvl="0">
      <w:lvlJc w:val="left"/>
      <w:lvlText w:val="(%1)"/>
      <w:numFmt w:val="lowerLetter"/>
      <w:start w:val="4"/>
    </w:lvl>
  </w:abstractNum>
  <w:abstractNum w:abstractNumId="128">
    <w:nsid w:val="69D3947C"/>
    <w:multiLevelType w:val="hybridMultilevel"/>
    <w:lvl w:ilvl="0">
      <w:lvlJc w:val="left"/>
      <w:lvlText w:val="(%1)"/>
      <w:numFmt w:val="lowerLetter"/>
      <w:start w:val="1"/>
    </w:lvl>
  </w:abstractNum>
  <w:abstractNum w:abstractNumId="129">
    <w:nsid w:val="2539DFA5"/>
    <w:multiLevelType w:val="hybridMultilevel"/>
    <w:lvl w:ilvl="0">
      <w:lvlJc w:val="left"/>
      <w:lvlText w:val="%1"/>
      <w:numFmt w:val="lowerLetter"/>
      <w:start w:val="1"/>
    </w:lvl>
    <w:lvl w:ilvl="1">
      <w:lvlJc w:val="left"/>
      <w:lvlText w:val="(%2)"/>
      <w:numFmt w:val="lowerLetter"/>
      <w:start w:val="3"/>
    </w:lvl>
  </w:abstractNum>
  <w:abstractNum w:abstractNumId="130">
    <w:nsid w:val="2DB88089"/>
    <w:multiLevelType w:val="hybridMultilevel"/>
    <w:lvl w:ilvl="0">
      <w:lvlJc w:val="left"/>
      <w:lvlText w:val="(%1)"/>
      <w:numFmt w:val="lowerLetter"/>
      <w:start w:val="61"/>
    </w:lvl>
    <w:lvl w:ilvl="1">
      <w:lvlJc w:val="left"/>
      <w:lvlText w:val="(%2)"/>
      <w:numFmt w:val="lowerLetter"/>
      <w:start w:val="15"/>
    </w:lvl>
  </w:abstractNum>
  <w:abstractNum w:abstractNumId="131">
    <w:nsid w:val="706B674E"/>
    <w:multiLevelType w:val="hybridMultilevel"/>
    <w:lvl w:ilvl="0">
      <w:lvlJc w:val="left"/>
      <w:lvlText w:val="(%1)"/>
      <w:numFmt w:val="lowerLetter"/>
      <w:start w:val="17"/>
    </w:lvl>
  </w:abstractNum>
  <w:abstractNum w:abstractNumId="132">
    <w:nsid w:val="2C106A57"/>
    <w:multiLevelType w:val="hybridMultilevel"/>
    <w:lvl w:ilvl="0">
      <w:lvlJc w:val="left"/>
      <w:lvlText w:val="(%1)"/>
      <w:numFmt w:val="lowerLetter"/>
      <w:start w:val="1"/>
    </w:lvl>
  </w:abstractNum>
  <w:abstractNum w:abstractNumId="133">
    <w:nsid w:val="684EED59"/>
    <w:multiLevelType w:val="hybridMultilevel"/>
    <w:lvl w:ilvl="0">
      <w:lvlJc w:val="left"/>
      <w:lvlText w:val="(%1)"/>
      <w:numFmt w:val="lowerLetter"/>
      <w:start w:val="2"/>
    </w:lvl>
  </w:abstractNum>
  <w:abstractNum w:abstractNumId="134">
    <w:nsid w:val="545EE5D3"/>
    <w:multiLevelType w:val="hybridMultilevel"/>
    <w:lvl w:ilvl="0">
      <w:lvlJc w:val="left"/>
      <w:lvlText w:val="(%1)"/>
      <w:numFmt w:val="lowerLetter"/>
      <w:start w:val="11"/>
    </w:lvl>
  </w:abstractNum>
  <w:abstractNum w:abstractNumId="135">
    <w:nsid w:val="4A66051"/>
    <w:multiLevelType w:val="hybridMultilevel"/>
    <w:lvl w:ilvl="0">
      <w:lvlJc w:val="left"/>
      <w:lvlText w:val="%1"/>
      <w:numFmt w:val="lowerLetter"/>
      <w:start w:val="1"/>
    </w:lvl>
    <w:lvl w:ilvl="1">
      <w:lvlJc w:val="left"/>
      <w:lvlText w:val="(%2)"/>
      <w:numFmt w:val="lowerLetter"/>
      <w:start w:val="23"/>
    </w:lvl>
  </w:abstractNum>
  <w:abstractNum w:abstractNumId="136">
    <w:nsid w:val="20F4BDAD"/>
    <w:multiLevelType w:val="hybridMultilevel"/>
    <w:lvl w:ilvl="0">
      <w:lvlJc w:val="left"/>
      <w:lvlText w:val="(%1)"/>
      <w:numFmt w:val="lowerLetter"/>
      <w:start w:val="35"/>
    </w:lvl>
    <w:lvl w:ilvl="1">
      <w:lvlJc w:val="left"/>
      <w:lvlText w:val="(%2)"/>
      <w:numFmt w:val="lowerLetter"/>
      <w:start w:val="25"/>
    </w:lvl>
  </w:abstractNum>
  <w:abstractNum w:abstractNumId="137">
    <w:nsid w:val="639DEFAC"/>
    <w:multiLevelType w:val="hybridMultilevel"/>
    <w:lvl w:ilvl="0">
      <w:lvlJc w:val="left"/>
      <w:lvlText w:val="(%1)"/>
      <w:numFmt w:val="lowerLetter"/>
      <w:start w:val="1"/>
    </w:lvl>
  </w:abstractNum>
  <w:abstractNum w:abstractNumId="138">
    <w:nsid w:val="501F9786"/>
    <w:multiLevelType w:val="hybridMultilevel"/>
    <w:lvl w:ilvl="0">
      <w:lvlJc w:val="left"/>
      <w:lvlText w:val="(%1)"/>
      <w:numFmt w:val="lowerLetter"/>
      <w:start w:val="3"/>
    </w:lvl>
  </w:abstractNum>
  <w:abstractNum w:abstractNumId="139">
    <w:nsid w:val="6B057295"/>
    <w:multiLevelType w:val="hybridMultilevel"/>
    <w:lvl w:ilvl="0">
      <w:lvlJc w:val="left"/>
      <w:lvlText w:val="(%1)"/>
      <w:numFmt w:val="lowerLetter"/>
      <w:start w:val="16"/>
    </w:lvl>
  </w:abstractNum>
  <w:abstractNum w:abstractNumId="140">
    <w:nsid w:val="2771AC80"/>
    <w:multiLevelType w:val="hybridMultilevel"/>
    <w:lvl w:ilvl="0">
      <w:lvlJc w:val="left"/>
      <w:lvlText w:val="(%1)"/>
      <w:numFmt w:val="lowerLetter"/>
      <w:start w:val="1"/>
    </w:lvl>
  </w:abstractNum>
  <w:abstractNum w:abstractNumId="141">
    <w:nsid w:val="1C4A08EC"/>
    <w:multiLevelType w:val="hybridMultilevel"/>
    <w:lvl w:ilvl="0">
      <w:lvlJc w:val="left"/>
      <w:lvlText w:val="(%1)"/>
      <w:numFmt w:val="lowerLetter"/>
      <w:start w:val="5"/>
    </w:lvl>
    <w:lvl w:ilvl="1">
      <w:lvlJc w:val="left"/>
      <w:lvlText w:val="(%2)"/>
      <w:numFmt w:val="lowerRoman"/>
      <w:start w:val="1"/>
    </w:lvl>
  </w:abstractNum>
  <w:abstractNum w:abstractNumId="142">
    <w:nsid w:val="1958BD17"/>
    <w:multiLevelType w:val="hybridMultilevel"/>
    <w:lvl w:ilvl="0">
      <w:lvlJc w:val="left"/>
      <w:lvlText w:val="(%1)"/>
      <w:numFmt w:val="lowerLetter"/>
      <w:start w:val="7"/>
    </w:lvl>
  </w:abstractNum>
  <w:abstractNum w:abstractNumId="143">
    <w:nsid w:val="4E647FE4"/>
    <w:multiLevelType w:val="hybridMultilevel"/>
    <w:lvl w:ilvl="0">
      <w:lvlJc w:val="left"/>
      <w:lvlText w:val="(%1)"/>
      <w:numFmt w:val="lowerLetter"/>
      <w:start w:val="13"/>
    </w:lvl>
  </w:abstractNum>
  <w:abstractNum w:abstractNumId="144">
    <w:nsid w:val="E0BB885"/>
    <w:multiLevelType w:val="hybridMultilevel"/>
    <w:lvl w:ilvl="0">
      <w:lvlJc w:val="left"/>
      <w:lvlText w:val="(%1)"/>
      <w:numFmt w:val="lowerLetter"/>
      <w:start w:val="27"/>
    </w:lvl>
  </w:abstractNum>
  <w:abstractNum w:abstractNumId="145">
    <w:nsid w:val="565976F1"/>
    <w:multiLevelType w:val="hybridMultilevel"/>
    <w:lvl w:ilvl="0">
      <w:lvlJc w:val="left"/>
      <w:lvlText w:val="(%1)"/>
      <w:numFmt w:val="lowerLetter"/>
      <w:start w:val="1"/>
    </w:lvl>
  </w:abstractNum>
  <w:abstractNum w:abstractNumId="146">
    <w:nsid w:val="64212B8C"/>
    <w:multiLevelType w:val="hybridMultilevel"/>
    <w:lvl w:ilvl="0">
      <w:lvlJc w:val="left"/>
      <w:lvlText w:val="(%1)"/>
      <w:numFmt w:val="lowerLetter"/>
      <w:start w:val="2"/>
    </w:lvl>
  </w:abstractNum>
  <w:abstractNum w:abstractNumId="147">
    <w:nsid w:val="5C17530C"/>
    <w:multiLevelType w:val="hybridMultilevel"/>
    <w:lvl w:ilvl="0">
      <w:lvlJc w:val="left"/>
      <w:lvlText w:val="%1"/>
      <w:numFmt w:val="lowerLetter"/>
      <w:start w:val="1"/>
    </w:lvl>
    <w:lvl w:ilvl="1">
      <w:lvlJc w:val="left"/>
      <w:lvlText w:val="(%2)"/>
      <w:numFmt w:val="lowerLetter"/>
      <w:start w:val="1"/>
    </w:lvl>
  </w:abstractNum>
  <w:abstractNum w:abstractNumId="148">
    <w:nsid w:val="19A52566"/>
    <w:multiLevelType w:val="hybridMultilevel"/>
    <w:lvl w:ilvl="0">
      <w:lvlJc w:val="left"/>
      <w:lvlText w:val="(%1)"/>
      <w:numFmt w:val="lowerLetter"/>
      <w:start w:val="2"/>
    </w:lvl>
    <w:lvl w:ilvl="1">
      <w:lvlJc w:val="left"/>
      <w:lvlText w:val="%2"/>
      <w:numFmt w:val="lowerLetter"/>
      <w:start w:val="1"/>
    </w:lvl>
  </w:abstractNum>
  <w:abstractNum w:abstractNumId="149">
    <w:nsid w:val="335A1DF1"/>
    <w:multiLevelType w:val="hybridMultilevel"/>
    <w:lvl w:ilvl="0">
      <w:lvlJc w:val="left"/>
      <w:lvlText w:val="(%1)"/>
      <w:numFmt w:val="lowerLetter"/>
      <w:start w:val="1"/>
    </w:lvl>
  </w:abstractNum>
  <w:abstractNum w:abstractNumId="150">
    <w:nsid w:val="28677B7C"/>
    <w:multiLevelType w:val="hybridMultilevel"/>
    <w:lvl w:ilvl="0">
      <w:lvlJc w:val="left"/>
      <w:lvlText w:val="(%1)"/>
      <w:numFmt w:val="lowerLetter"/>
      <w:start w:val="2"/>
    </w:lvl>
    <w:lvl w:ilvl="1">
      <w:lvlJc w:val="left"/>
      <w:lvlText w:val="(%2)"/>
      <w:numFmt w:val="lowerLetter"/>
      <w:start w:val="1"/>
    </w:lvl>
  </w:abstractNum>
  <w:abstractNum w:abstractNumId="151">
    <w:nsid w:val="378D97C0"/>
    <w:multiLevelType w:val="hybridMultilevel"/>
    <w:lvl w:ilvl="0">
      <w:lvlJc w:val="left"/>
      <w:lvlText w:val="(%1)"/>
      <w:numFmt w:val="lowerLetter"/>
      <w:start w:val="2"/>
    </w:lvl>
  </w:abstractNum>
  <w:abstractNum w:abstractNumId="152">
    <w:nsid w:val="1D91467C"/>
    <w:multiLevelType w:val="hybridMultilevel"/>
    <w:lvl w:ilvl="0">
      <w:lvlJc w:val="left"/>
      <w:lvlText w:val="(%1)"/>
      <w:numFmt w:val="lowerLetter"/>
      <w:start w:val="4"/>
    </w:lvl>
  </w:abstractNum>
  <w:abstractNum w:abstractNumId="153">
    <w:nsid w:val="316032BB"/>
    <w:multiLevelType w:val="hybridMultilevel"/>
    <w:lvl w:ilvl="0">
      <w:lvlJc w:val="left"/>
      <w:lvlText w:val="(%1)"/>
      <w:numFmt w:val="lowerLetter"/>
      <w:start w:val="1"/>
    </w:lvl>
  </w:abstractNum>
  <w:abstractNum w:abstractNumId="154">
    <w:nsid w:val="44344C2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5">
    <w:nsid w:val="13CDFCFC"/>
    <w:multiLevelType w:val="hybridMultilevel"/>
    <w:lvl w:ilvl="0">
      <w:lvlJc w:val="left"/>
      <w:lvlText w:val="%1"/>
      <w:numFmt w:val="lowerLetter"/>
      <w:start w:val="1"/>
    </w:lvl>
    <w:lvl w:ilvl="1">
      <w:lvlJc w:val="left"/>
      <w:lvlText w:val="(%2)"/>
      <w:numFmt w:val="upperLetter"/>
      <w:start w:val="2"/>
    </w:lvl>
  </w:abstractNum>
  <w:abstractNum w:abstractNumId="156">
    <w:nsid w:val="471745E4"/>
    <w:multiLevelType w:val="hybridMultilevel"/>
    <w:lvl w:ilvl="0">
      <w:lvlJc w:val="left"/>
      <w:lvlText w:val="(%1)"/>
      <w:numFmt w:val="lowerLetter"/>
      <w:start w:val="2"/>
    </w:lvl>
    <w:lvl w:ilvl="1">
      <w:lvlJc w:val="left"/>
      <w:lvlText w:val="%2"/>
      <w:numFmt w:val="upperLetter"/>
      <w:start w:val="1"/>
    </w:lvl>
  </w:abstractNum>
  <w:abstractNum w:abstractNumId="157">
    <w:nsid w:val="1DDBC66"/>
    <w:multiLevelType w:val="hybridMultilevel"/>
    <w:lvl w:ilvl="0">
      <w:lvlJc w:val="left"/>
      <w:lvlText w:val="(%1)"/>
      <w:numFmt w:val="lowerLetter"/>
      <w:start w:val="1"/>
    </w:lvl>
  </w:abstractNum>
  <w:abstractNum w:abstractNumId="158">
    <w:nsid w:val="30AADFDA"/>
    <w:multiLevelType w:val="hybridMultilevel"/>
    <w:lvl w:ilvl="0">
      <w:lvlJc w:val="left"/>
      <w:lvlText w:val="(%1)"/>
      <w:numFmt w:val="lowerLetter"/>
      <w:start w:val="3"/>
    </w:lvl>
    <w:lvl w:ilvl="1">
      <w:lvlJc w:val="left"/>
      <w:lvlText w:val="(%2)"/>
      <w:numFmt w:val="lowerRoman"/>
      <w:start w:val="1"/>
    </w:lvl>
  </w:abstractNum>
  <w:abstractNum w:abstractNumId="159">
    <w:nsid w:val="30EADA61"/>
    <w:multiLevelType w:val="hybridMultilevel"/>
    <w:lvl w:ilvl="0">
      <w:lvlJc w:val="left"/>
      <w:lvlText w:val="(%1)"/>
      <w:numFmt w:val="lowerLetter"/>
      <w:start w:val="4"/>
    </w:lvl>
    <w:lvl w:ilvl="1">
      <w:lvlJc w:val="left"/>
      <w:lvlText w:val="(%2)"/>
      <w:numFmt w:val="lowerRoman"/>
      <w:start w:val="1"/>
    </w:lvl>
  </w:abstractNum>
  <w:abstractNum w:abstractNumId="160">
    <w:nsid w:val="27179C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1">
    <w:nsid w:val="5E63606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62">
    <w:nsid w:val="215641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3">
    <w:nsid w:val="53280662"/>
    <w:multiLevelType w:val="hybridMultilevel"/>
    <w:lvl w:ilvl="0">
      <w:lvlJc w:val="left"/>
      <w:lvlText w:val="%1"/>
      <w:numFmt w:val="lowerLetter"/>
      <w:start w:val="1"/>
    </w:lvl>
    <w:lvl w:ilvl="1">
      <w:lvlJc w:val="left"/>
      <w:lvlText w:val="(%2)"/>
      <w:numFmt w:val="lowerRoman"/>
      <w:start w:val="2"/>
    </w:lvl>
  </w:abstractNum>
  <w:abstractNum w:abstractNumId="164">
    <w:nsid w:val="46B24DBC"/>
    <w:multiLevelType w:val="hybridMultilevel"/>
    <w:lvl w:ilvl="0">
      <w:lvlJc w:val="left"/>
      <w:lvlText w:val="(%1)"/>
      <w:numFmt w:val="lowerLetter"/>
      <w:start w:val="6"/>
    </w:lvl>
    <w:lvl w:ilvl="1">
      <w:lvlJc w:val="left"/>
      <w:lvlText w:val="%2"/>
      <w:numFmt w:val="lowerRoman"/>
      <w:start w:val="1"/>
    </w:lvl>
  </w:abstractNum>
  <w:abstractNum w:abstractNumId="165">
    <w:nsid w:val="75B52783"/>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166">
    <w:nsid w:val="57CE66B4"/>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167">
    <w:nsid w:val="67A70B69"/>
    <w:multiLevelType w:val="hybridMultilevel"/>
    <w:lvl w:ilvl="0">
      <w:lvlJc w:val="left"/>
      <w:lvlText w:val="(%1)"/>
      <w:numFmt w:val="upperLetter"/>
      <w:start w:val="1"/>
    </w:lvl>
  </w:abstractNum>
  <w:abstractNum w:abstractNumId="168">
    <w:nsid w:val="5953172F"/>
    <w:multiLevelType w:val="hybridMultilevel"/>
    <w:lvl w:ilvl="0">
      <w:lvlJc w:val="left"/>
      <w:lvlText w:val="%1"/>
      <w:numFmt w:val="lowerLetter"/>
      <w:start w:val="1"/>
    </w:lvl>
    <w:lvl w:ilvl="1">
      <w:lvlJc w:val="left"/>
      <w:lvlText w:val="(%2)"/>
      <w:numFmt w:val="upperLetter"/>
      <w:start w:val="6"/>
    </w:lvl>
  </w:abstractNum>
  <w:abstractNum w:abstractNumId="169">
    <w:nsid w:val="27EDFE3A"/>
    <w:multiLevelType w:val="hybridMultilevel"/>
    <w:lvl w:ilvl="0">
      <w:lvlJc w:val="left"/>
      <w:lvlText w:val="(%1)"/>
      <w:numFmt w:val="lowerLetter"/>
      <w:start w:val="8"/>
    </w:lvl>
    <w:lvl w:ilvl="1">
      <w:lvlJc w:val="left"/>
      <w:lvlText w:val="%2"/>
      <w:numFmt w:val="upperLetter"/>
      <w:start w:val="1"/>
    </w:lvl>
  </w:abstractNum>
  <w:abstractNum w:abstractNumId="170">
    <w:nsid w:val="52AC7DFF"/>
    <w:multiLevelType w:val="hybridMultilevel"/>
    <w:lvl w:ilvl="0">
      <w:lvlJc w:val="left"/>
      <w:lvlText w:val="(%1)"/>
      <w:numFmt w:val="lowerLetter"/>
      <w:start w:val="1"/>
    </w:lvl>
    <w:lvl w:ilvl="1">
      <w:lvlJc w:val="left"/>
      <w:lvlText w:val="(%2)"/>
      <w:numFmt w:val="lowerRoman"/>
      <w:start w:val="1"/>
    </w:lvl>
  </w:abstractNum>
  <w:abstractNum w:abstractNumId="171">
    <w:nsid w:val="C4C3AF"/>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172">
    <w:nsid w:val="4438072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173">
    <w:nsid w:val="6C053B16"/>
    <w:multiLevelType w:val="hybridMultilevel"/>
    <w:lvl w:ilvl="0">
      <w:lvlJc w:val="left"/>
      <w:lvlText w:val="%1"/>
      <w:numFmt w:val="lowerRoman"/>
      <w:start w:val="1"/>
    </w:lvl>
    <w:lvl w:ilvl="1">
      <w:lvlJc w:val="left"/>
      <w:lvlText w:val="(%2)"/>
      <w:numFmt w:val="upperLetter"/>
      <w:start w:val="11"/>
    </w:lvl>
    <w:lvl w:ilvl="2">
      <w:lvlJc w:val="left"/>
      <w:lvlText w:val="%3"/>
      <w:numFmt w:val="lowerRoman"/>
      <w:start w:val="1"/>
    </w:lvl>
  </w:abstractNum>
  <w:abstractNum w:abstractNumId="174">
    <w:nsid w:val="4F294393"/>
    <w:multiLevelType w:val="hybridMultilevel"/>
    <w:lvl w:ilvl="0">
      <w:lvlJc w:val="left"/>
      <w:lvlText w:val="(%1)"/>
      <w:numFmt w:val="lowerRoman"/>
      <w:start w:val="4"/>
    </w:lvl>
    <w:lvl w:ilvl="1">
      <w:lvlJc w:val="left"/>
      <w:lvlText w:val="%2"/>
      <w:numFmt w:val="upperLetter"/>
      <w:start w:val="1"/>
    </w:lvl>
    <w:lvl w:ilvl="2">
      <w:lvlJc w:val="left"/>
      <w:lvlText w:val="%3"/>
      <w:numFmt w:val="lowerRoman"/>
      <w:start w:val="1"/>
    </w:lvl>
  </w:abstractNum>
  <w:abstractNum w:abstractNumId="175">
    <w:nsid w:val="5243BFAC"/>
    <w:multiLevelType w:val="hybridMultilevel"/>
    <w:lvl w:ilvl="0">
      <w:lvlJc w:val="left"/>
      <w:lvlText w:val="%1"/>
      <w:numFmt w:val="lowerLetter"/>
      <w:start w:val="1"/>
    </w:lvl>
    <w:lvl w:ilvl="1">
      <w:lvlJc w:val="left"/>
      <w:lvlText w:val="(%2)"/>
      <w:numFmt w:val="lowerRoman"/>
      <w:start w:val="6"/>
    </w:lvl>
  </w:abstractNum>
  <w:abstractNum w:abstractNumId="176">
    <w:nsid w:val="425EB207"/>
    <w:multiLevelType w:val="hybridMultilevel"/>
    <w:lvl w:ilvl="0">
      <w:lvlJc w:val="left"/>
      <w:lvlText w:val="(%1)"/>
      <w:numFmt w:val="lowerLetter"/>
      <w:start w:val="3"/>
    </w:lvl>
    <w:lvl w:ilvl="1">
      <w:lvlJc w:val="left"/>
      <w:lvlText w:val="(%2)"/>
      <w:numFmt w:val="lowerRoman"/>
      <w:start w:val="1"/>
    </w:lvl>
  </w:abstractNum>
  <w:abstractNum w:abstractNumId="177">
    <w:nsid w:val="334A6F1F"/>
    <w:multiLevelType w:val="hybridMultilevel"/>
    <w:lvl w:ilvl="0">
      <w:lvlJc w:val="left"/>
      <w:lvlText w:val="(%1)"/>
      <w:numFmt w:val="lowerLetter"/>
      <w:start w:val="5"/>
    </w:lvl>
    <w:lvl w:ilvl="1">
      <w:lvlJc w:val="left"/>
      <w:lvlText w:val="(%2)"/>
      <w:numFmt w:val="lowerRoman"/>
      <w:start w:val="1"/>
    </w:lvl>
  </w:abstractNum>
  <w:abstractNum w:abstractNumId="178">
    <w:nsid w:val="2E5B12B8"/>
    <w:multiLevelType w:val="hybridMultilevel"/>
    <w:lvl w:ilvl="0">
      <w:lvlJc w:val="left"/>
      <w:lvlText w:val="(%1)"/>
      <w:numFmt w:val="lowerLetter"/>
      <w:start w:val="1"/>
    </w:lvl>
  </w:abstractNum>
  <w:abstractNum w:abstractNumId="179">
    <w:nsid w:val="5C03D76D"/>
    <w:multiLevelType w:val="hybridMultilevel"/>
    <w:lvl w:ilvl="0">
      <w:lvlJc w:val="left"/>
      <w:lvlText w:val="(%1)"/>
      <w:numFmt w:val="lowerLetter"/>
      <w:start w:val="2"/>
    </w:lvl>
  </w:abstractNum>
  <w:abstractNum w:abstractNumId="180">
    <w:nsid w:val="66A48D11"/>
    <w:multiLevelType w:val="hybridMultilevel"/>
    <w:lvl w:ilvl="0">
      <w:lvlJc w:val="left"/>
      <w:lvlText w:val="(%1)"/>
      <w:numFmt w:val="lowerLetter"/>
      <w:start w:val="1"/>
    </w:lvl>
    <w:lvl w:ilvl="1">
      <w:lvlJc w:val="left"/>
      <w:lvlText w:val="(%2)"/>
      <w:numFmt w:val="lowerRoman"/>
      <w:start w:val="1"/>
    </w:lvl>
  </w:abstractNum>
  <w:abstractNum w:abstractNumId="181">
    <w:nsid w:val="56C28E34"/>
    <w:multiLevelType w:val="hybridMultilevel"/>
    <w:lvl w:ilvl="0">
      <w:lvlJc w:val="left"/>
      <w:lvlText w:val="(%1)"/>
      <w:numFmt w:val="lowerLetter"/>
      <w:start w:val="5"/>
    </w:lvl>
  </w:abstractNum>
  <w:abstractNum w:abstractNumId="182">
    <w:nsid w:val="13916F2D"/>
    <w:multiLevelType w:val="hybridMultilevel"/>
    <w:lvl w:ilvl="0">
      <w:lvlJc w:val="left"/>
      <w:lvlText w:val="(%1)"/>
      <w:numFmt w:val="lowerLetter"/>
      <w:start w:val="1"/>
    </w:lvl>
  </w:abstractNum>
  <w:abstractNum w:abstractNumId="183">
    <w:nsid w:val="435D38D"/>
    <w:multiLevelType w:val="hybridMultilevel"/>
    <w:lvl w:ilvl="0">
      <w:lvlJc w:val="left"/>
      <w:lvlText w:val="(%1)"/>
      <w:numFmt w:val="lowerLetter"/>
      <w:start w:val="1"/>
    </w:lvl>
    <w:lvl w:ilvl="1">
      <w:lvlJc w:val="left"/>
      <w:lvlText w:val="(%2)"/>
      <w:numFmt w:val="lowerRoman"/>
      <w:start w:val="1"/>
    </w:lvl>
  </w:abstractNum>
  <w:abstractNum w:abstractNumId="184">
    <w:nsid w:val="822C0EF"/>
    <w:multiLevelType w:val="hybridMultilevel"/>
    <w:lvl w:ilvl="0">
      <w:lvlJc w:val="left"/>
      <w:lvlText w:val="(%1)"/>
      <w:numFmt w:val="lowerLetter"/>
      <w:start w:val="4"/>
    </w:lvl>
  </w:abstractNum>
  <w:abstractNum w:abstractNumId="185">
    <w:nsid w:val="57C5BB4F"/>
    <w:multiLevelType w:val="hybridMultilevel"/>
    <w:lvl w:ilvl="0">
      <w:lvlJc w:val="left"/>
      <w:lvlText w:val="(%1)"/>
      <w:numFmt w:val="lowerLetter"/>
      <w:start w:val="6"/>
    </w:lvl>
    <w:lvl w:ilvl="1">
      <w:lvlJc w:val="left"/>
      <w:lvlText w:val="(%2)"/>
      <w:numFmt w:val="lowerRoman"/>
      <w:start w:val="1"/>
    </w:lvl>
  </w:abstractNum>
  <w:abstractNum w:abstractNumId="186">
    <w:nsid w:val="1803D089"/>
    <w:multiLevelType w:val="hybridMultilevel"/>
    <w:lvl w:ilvl="0">
      <w:lvlJc w:val="left"/>
      <w:lvlText w:val="(%1)"/>
      <w:numFmt w:val="lowerRoman"/>
      <w:start w:val="7"/>
    </w:lvl>
  </w:abstractNum>
  <w:abstractNum w:abstractNumId="187">
    <w:nsid w:val="4F3A06D4"/>
    <w:multiLevelType w:val="hybridMultilevel"/>
    <w:lvl w:ilvl="0">
      <w:lvlJc w:val="left"/>
      <w:lvlText w:val="(%1)"/>
      <w:numFmt w:val="lowerRoman"/>
      <w:start w:val="13"/>
    </w:lvl>
    <w:lvl w:ilvl="1">
      <w:lvlJc w:val="left"/>
      <w:lvlText w:val="(%2)"/>
      <w:numFmt w:val="lowerLetter"/>
      <w:start w:val="7"/>
    </w:lvl>
  </w:abstractNum>
  <w:abstractNum w:abstractNumId="188">
    <w:nsid w:val="59A377B6"/>
    <w:multiLevelType w:val="hybridMultilevel"/>
    <w:lvl w:ilvl="0">
      <w:lvlJc w:val="left"/>
      <w:lvlText w:val="(%1)"/>
      <w:numFmt w:val="lowerLetter"/>
      <w:start w:val="8"/>
    </w:lvl>
    <w:lvl w:ilvl="1">
      <w:lvlJc w:val="left"/>
      <w:lvlText w:val="(%2)"/>
      <w:numFmt w:val="lowerRoman"/>
      <w:start w:val="1"/>
    </w:lvl>
  </w:abstractNum>
  <w:abstractNum w:abstractNumId="189">
    <w:nsid w:val="48AEB063"/>
    <w:multiLevelType w:val="hybridMultilevel"/>
    <w:lvl w:ilvl="0">
      <w:lvlJc w:val="left"/>
      <w:lvlText w:val="(%1)"/>
      <w:numFmt w:val="lowerRoman"/>
      <w:start w:val="4"/>
    </w:lvl>
  </w:abstractNum>
  <w:abstractNum w:abstractNumId="190">
    <w:nsid w:val="24E135"/>
    <w:multiLevelType w:val="hybridMultilevel"/>
    <w:lvl w:ilvl="0">
      <w:lvlJc w:val="left"/>
      <w:lvlText w:val="(%1)"/>
      <w:numFmt w:val="lowerLetter"/>
      <w:start w:val="10"/>
    </w:lvl>
    <w:lvl w:ilvl="1">
      <w:lvlJc w:val="left"/>
      <w:lvlText w:val="(%2)"/>
      <w:numFmt w:val="lowerRoman"/>
      <w:start w:val="1"/>
    </w:lvl>
  </w:abstractNum>
  <w:abstractNum w:abstractNumId="191">
    <w:nsid w:val="BB13C1"/>
    <w:multiLevelType w:val="hybridMultilevel"/>
    <w:lvl w:ilvl="0">
      <w:lvlJc w:val="left"/>
      <w:lvlText w:val="%1"/>
      <w:numFmt w:val="lowerLetter"/>
      <w:start w:val="1"/>
    </w:lvl>
    <w:lvl w:ilvl="1">
      <w:lvlJc w:val="left"/>
      <w:lvlText w:val="(%2)"/>
      <w:numFmt w:val="lowerRoman"/>
      <w:start w:val="5"/>
    </w:lvl>
  </w:abstractNum>
  <w:abstractNum w:abstractNumId="192">
    <w:nsid w:val="271210C7"/>
    <w:multiLevelType w:val="hybridMultilevel"/>
    <w:lvl w:ilvl="0">
      <w:lvlJc w:val="left"/>
      <w:lvlText w:val="(%1)"/>
      <w:numFmt w:val="lowerLetter"/>
      <w:start w:val="11"/>
    </w:lvl>
    <w:lvl w:ilvl="1">
      <w:lvlJc w:val="left"/>
      <w:lvlText w:val="%2"/>
      <w:numFmt w:val="lowerRoman"/>
      <w:start w:val="1"/>
    </w:lvl>
  </w:abstractNum>
  <w:abstractNum w:abstractNumId="193">
    <w:nsid w:val="217B22E4"/>
    <w:multiLevelType w:val="hybridMultilevel"/>
    <w:lvl w:ilvl="0">
      <w:lvlJc w:val="left"/>
      <w:lvlText w:val="(%1)"/>
      <w:numFmt w:val="lowerLetter"/>
      <w:start w:val="12"/>
    </w:lvl>
    <w:lvl w:ilvl="1">
      <w:lvlJc w:val="left"/>
      <w:lvlText w:val="(%2)"/>
      <w:numFmt w:val="lowerRoman"/>
      <w:start w:val="1"/>
    </w:lvl>
  </w:abstractNum>
  <w:abstractNum w:abstractNumId="194">
    <w:nsid w:val="53E31A24"/>
    <w:multiLevelType w:val="hybridMultilevel"/>
    <w:lvl w:ilvl="0">
      <w:lvlJc w:val="left"/>
      <w:lvlText w:val="(%1)"/>
      <w:numFmt w:val="upperLetter"/>
      <w:start w:val="1"/>
    </w:lvl>
    <w:lvl w:ilvl="1">
      <w:lvlJc w:val="left"/>
      <w:lvlText w:val="(%2)"/>
      <w:numFmt w:val="lowerLetter"/>
      <w:start w:val="13"/>
    </w:lvl>
  </w:abstractNum>
  <w:abstractNum w:abstractNumId="195">
    <w:nsid w:val="6DC45E83"/>
    <w:multiLevelType w:val="hybridMultilevel"/>
    <w:lvl w:ilvl="0">
      <w:lvlJc w:val="left"/>
      <w:lvlText w:val="(%1)"/>
      <w:numFmt w:val="lowerLetter"/>
      <w:start w:val="15"/>
    </w:lvl>
  </w:abstractNum>
  <w:abstractNum w:abstractNumId="196">
    <w:nsid w:val="17304A67"/>
    <w:multiLevelType w:val="hybridMultilevel"/>
    <w:lvl w:ilvl="0">
      <w:lvlJc w:val="left"/>
      <w:lvlText w:val="(%1)"/>
      <w:numFmt w:val="lowerLetter"/>
      <w:start w:val="1"/>
    </w:lvl>
  </w:abstractNum>
  <w:abstractNum w:abstractNumId="197">
    <w:nsid w:val="2BB180D8"/>
    <w:multiLevelType w:val="hybridMultilevel"/>
    <w:lvl w:ilvl="0">
      <w:lvlJc w:val="left"/>
      <w:lvlText w:val="(%1)"/>
      <w:numFmt w:val="lowerLetter"/>
      <w:start w:val="2"/>
    </w:lvl>
    <w:lvl w:ilvl="1">
      <w:lvlJc w:val="left"/>
      <w:lvlText w:val="(%2)"/>
      <w:numFmt w:val="lowerRoman"/>
      <w:start w:val="1"/>
    </w:lvl>
  </w:abstractNum>
  <w:abstractNum w:abstractNumId="198">
    <w:nsid w:val="556B69ED"/>
    <w:multiLevelType w:val="hybridMultilevel"/>
    <w:lvl w:ilvl="0">
      <w:lvlJc w:val="left"/>
      <w:lvlText w:val="(%1)"/>
      <w:numFmt w:val="lowerRoman"/>
      <w:start w:val="2"/>
    </w:lvl>
    <w:lvl w:ilvl="1">
      <w:lvlJc w:val="left"/>
      <w:lvlText w:val="(%2)"/>
      <w:numFmt w:val="upperLetter"/>
      <w:start w:val="1"/>
    </w:lvl>
  </w:abstractNum>
  <w:abstractNum w:abstractNumId="199">
    <w:nsid w:val="70836196"/>
    <w:multiLevelType w:val="hybridMultilevel"/>
    <w:lvl w:ilvl="0">
      <w:lvlJc w:val="left"/>
      <w:lvlText w:val="(%1)"/>
      <w:numFmt w:val="upperLetter"/>
      <w:start w:val="3"/>
    </w:lvl>
  </w:abstractNum>
  <w:abstractNum w:abstractNumId="200">
    <w:nsid w:val="539F7F12"/>
    <w:multiLevelType w:val="hybridMultilevel"/>
    <w:lvl w:ilvl="0">
      <w:lvlJc w:val="left"/>
      <w:lvlText w:val="(%1)"/>
      <w:numFmt w:val="lowerLetter"/>
      <w:start w:val="5"/>
    </w:lvl>
  </w:abstractNum>
  <w:abstractNum w:abstractNumId="201">
    <w:nsid w:val="2817E7EC"/>
    <w:multiLevelType w:val="hybridMultilevel"/>
    <w:lvl w:ilvl="0">
      <w:lvlJc w:val="left"/>
      <w:lvlText w:val="(%1)"/>
      <w:numFmt w:val="lowerLetter"/>
      <w:start w:val="1"/>
    </w:lvl>
  </w:abstractNum>
  <w:abstractNum w:abstractNumId="202">
    <w:nsid w:val="71482545"/>
    <w:multiLevelType w:val="hybridMultilevel"/>
    <w:lvl w:ilvl="0">
      <w:lvlJc w:val="left"/>
      <w:lvlText w:val="%1"/>
      <w:numFmt w:val="lowerLetter"/>
      <w:start w:val="1"/>
    </w:lvl>
    <w:lvl w:ilvl="1">
      <w:lvlJc w:val="left"/>
      <w:lvlText w:val="(%2)"/>
      <w:numFmt w:val="lowerLetter"/>
      <w:start w:val="2"/>
    </w:lvl>
  </w:abstractNum>
  <w:abstractNum w:abstractNumId="203">
    <w:nsid w:val="17D78639"/>
    <w:multiLevelType w:val="hybridMultilevel"/>
    <w:lvl w:ilvl="0">
      <w:lvlJc w:val="left"/>
      <w:lvlText w:val="(%1)"/>
      <w:numFmt w:val="lowerLetter"/>
      <w:start w:val="9"/>
    </w:lvl>
    <w:lvl w:ilvl="1">
      <w:lvlJc w:val="left"/>
      <w:lvlText w:val="%2"/>
      <w:numFmt w:val="lowerLetter"/>
      <w:start w:val="1"/>
    </w:lvl>
  </w:abstractNum>
  <w:abstractNum w:abstractNumId="204">
    <w:nsid w:val="141D2302"/>
    <w:multiLevelType w:val="hybridMultilevel"/>
    <w:lvl w:ilvl="0">
      <w:lvlJc w:val="left"/>
      <w:lvlText w:val="(%1)"/>
      <w:numFmt w:val="lowerLetter"/>
      <w:start w:val="3"/>
    </w:lvl>
  </w:abstractNum>
  <w:abstractNum w:abstractNumId="205">
    <w:nsid w:val="407168D8"/>
    <w:multiLevelType w:val="hybridMultilevel"/>
    <w:lvl w:ilvl="0">
      <w:lvlJc w:val="left"/>
      <w:lvlText w:val="(%1)"/>
      <w:numFmt w:val="lowerLetter"/>
      <w:start w:val="1"/>
    </w:lvl>
    <w:lvl w:ilvl="1">
      <w:lvlJc w:val="left"/>
      <w:lvlText w:val="(%2)"/>
      <w:numFmt w:val="lowerRoman"/>
      <w:start w:val="1"/>
    </w:lvl>
  </w:abstractNum>
  <w:abstractNum w:abstractNumId="206">
    <w:nsid w:val="6A1B45E5"/>
    <w:multiLevelType w:val="hybridMultilevel"/>
    <w:lvl w:ilvl="0">
      <w:lvlJc w:val="left"/>
      <w:lvlText w:val="%1"/>
      <w:numFmt w:val="lowerLetter"/>
      <w:start w:val="1"/>
    </w:lvl>
    <w:lvl w:ilvl="1">
      <w:lvlJc w:val="left"/>
      <w:lvlText w:val="(%2)"/>
      <w:numFmt w:val="lowerRoman"/>
      <w:start w:val="4"/>
    </w:lvl>
  </w:abstractNum>
  <w:abstractNum w:abstractNumId="207">
    <w:nsid w:val="567BD50A"/>
    <w:multiLevelType w:val="hybridMultilevel"/>
    <w:lvl w:ilvl="0">
      <w:lvlJc w:val="left"/>
      <w:lvlText w:val="(%1)"/>
      <w:numFmt w:val="lowerLetter"/>
      <w:start w:val="3"/>
    </w:lvl>
    <w:lvl w:ilvl="1">
      <w:lvlJc w:val="left"/>
      <w:lvlText w:val="%2"/>
      <w:numFmt w:val="lowerRoman"/>
      <w:start w:val="1"/>
    </w:lvl>
  </w:abstractNum>
  <w:abstractNum w:abstractNumId="208">
    <w:nsid w:val="73BBD7F8"/>
    <w:multiLevelType w:val="hybridMultilevel"/>
    <w:lvl w:ilvl="0">
      <w:lvlJc w:val="left"/>
      <w:lvlText w:val="(%1)"/>
      <w:numFmt w:val="lowerLetter"/>
      <w:start w:val="1"/>
    </w:lvl>
  </w:abstractNum>
  <w:abstractNum w:abstractNumId="209">
    <w:nsid w:val="1876589D"/>
    <w:multiLevelType w:val="hybridMultilevel"/>
    <w:lvl w:ilvl="0">
      <w:lvlJc w:val="left"/>
      <w:lvlText w:val="(%1)"/>
      <w:numFmt w:val="lowerLetter"/>
      <w:start w:val="2"/>
    </w:lvl>
  </w:abstractNum>
  <w:abstractNum w:abstractNumId="210">
    <w:nsid w:val="327FAC77"/>
    <w:multiLevelType w:val="hybridMultilevel"/>
    <w:lvl w:ilvl="0">
      <w:lvlJc w:val="left"/>
      <w:lvlText w:val="(%1)"/>
      <w:numFmt w:val="lowerLetter"/>
      <w:start w:val="6"/>
    </w:lvl>
  </w:abstractNum>
  <w:abstractNum w:abstractNumId="211">
    <w:nsid w:val="5A606509"/>
    <w:multiLevelType w:val="hybridMultilevel"/>
    <w:lvl w:ilvl="0">
      <w:lvlJc w:val="left"/>
      <w:lvlText w:val="(%1)"/>
      <w:numFmt w:val="lowerLetter"/>
      <w:start w:val="8"/>
    </w:lvl>
    <w:lvl w:ilvl="1">
      <w:lvlJc w:val="left"/>
      <w:lvlText w:val="(%2)"/>
      <w:numFmt w:val="lowerRoman"/>
      <w:start w:val="1"/>
    </w:lvl>
  </w:abstractNum>
  <w:abstractNum w:abstractNumId="212">
    <w:nsid w:val="6F38E6D1"/>
    <w:multiLevelType w:val="hybridMultilevel"/>
    <w:lvl w:ilvl="0">
      <w:lvlJc w:val="left"/>
      <w:lvlText w:val="%1."/>
      <w:numFmt w:val="decimal"/>
      <w:start w:val="3"/>
    </w:lvl>
  </w:abstractNum>
  <w:abstractNum w:abstractNumId="213">
    <w:nsid w:val="46111BA5"/>
    <w:multiLevelType w:val="hybridMultilevel"/>
    <w:lvl w:ilvl="0">
      <w:lvlJc w:val="left"/>
      <w:lvlText w:val="(%1)"/>
      <w:numFmt w:val="lowerLetter"/>
      <w:start w:val="1"/>
    </w:lvl>
  </w:abstractNum>
  <w:abstractNum w:abstractNumId="214">
    <w:nsid w:val="5E963896"/>
    <w:multiLevelType w:val="hybridMultilevel"/>
    <w:lvl w:ilvl="0">
      <w:lvlJc w:val="left"/>
      <w:lvlText w:val="%1."/>
      <w:numFmt w:val="decimal"/>
      <w:start w:val="4"/>
    </w:lvl>
  </w:abstractNum>
  <w:abstractNum w:abstractNumId="215">
    <w:nsid w:val="775BA7C1"/>
    <w:multiLevelType w:val="hybridMultilevel"/>
    <w:lvl w:ilvl="0">
      <w:lvlJc w:val="left"/>
      <w:lvlText w:val="(%1)"/>
      <w:numFmt w:val="lowerLetter"/>
      <w:start w:val="1"/>
    </w:lvl>
  </w:abstractNum>
  <w:abstractNum w:abstractNumId="216">
    <w:nsid w:val="1DD6D6F4"/>
    <w:multiLevelType w:val="hybridMultilevel"/>
    <w:lvl w:ilvl="0">
      <w:lvlJc w:val="left"/>
      <w:lvlText w:val="(%1)"/>
      <w:numFmt w:val="lowerLetter"/>
      <w:start w:val="1"/>
    </w:lvl>
  </w:abstractNum>
  <w:abstractNum w:abstractNumId="217">
    <w:nsid w:val="769A091F"/>
    <w:multiLevelType w:val="hybridMultilevel"/>
    <w:lvl w:ilvl="0">
      <w:lvlJc w:val="left"/>
      <w:lvlText w:val="(%1)"/>
      <w:numFmt w:val="lowerLetter"/>
      <w:start w:val="1"/>
    </w:lvl>
  </w:abstractNum>
  <w:abstractNum w:abstractNumId="218">
    <w:nsid w:val="4695AE95"/>
    <w:multiLevelType w:val="hybridMultilevel"/>
    <w:lvl w:ilvl="0">
      <w:lvlJc w:val="left"/>
      <w:lvlText w:val="(%1)"/>
      <w:numFmt w:val="lowerLetter"/>
      <w:start w:val="3"/>
    </w:lvl>
  </w:abstractNum>
  <w:abstractNum w:abstractNumId="219">
    <w:nsid w:val="777A4EAA"/>
    <w:multiLevelType w:val="hybridMultilevel"/>
    <w:lvl w:ilvl="0">
      <w:lvlJc w:val="left"/>
      <w:lvlText w:val="(%1)"/>
      <w:numFmt w:val="lowerLetter"/>
      <w:start w:val="1"/>
    </w:lvl>
  </w:abstractNum>
  <w:abstractNum w:abstractNumId="220">
    <w:nsid w:val="3F48B982"/>
    <w:multiLevelType w:val="hybridMultilevel"/>
    <w:lvl w:ilvl="0">
      <w:lvlJc w:val="left"/>
      <w:lvlText w:val="(%1)"/>
      <w:numFmt w:val="lowerLetter"/>
      <w:start w:val="1"/>
    </w:lvl>
  </w:abstractNum>
  <w:abstractNum w:abstractNumId="221">
    <w:nsid w:val="46BA8FCA"/>
    <w:multiLevelType w:val="hybridMultilevel"/>
    <w:lvl w:ilvl="0">
      <w:lvlJc w:val="left"/>
      <w:lvlText w:val="(%1)"/>
      <w:numFmt w:val="lowerLetter"/>
      <w:start w:val="1"/>
    </w:lvl>
  </w:abstractNum>
  <w:abstractNum w:abstractNumId="222">
    <w:nsid w:val="7835626C"/>
    <w:multiLevelType w:val="hybridMultilevel"/>
    <w:lvl w:ilvl="0">
      <w:lvlJc w:val="left"/>
      <w:lvlText w:val="(%1)"/>
      <w:numFmt w:val="lowerLetter"/>
      <w:start w:val="1"/>
    </w:lvl>
  </w:abstractNum>
  <w:abstractNum w:abstractNumId="223">
    <w:nsid w:val="665ACA49"/>
    <w:multiLevelType w:val="hybridMultilevel"/>
    <w:lvl w:ilvl="0">
      <w:lvlJc w:val="left"/>
      <w:lvlText w:val="%1."/>
      <w:numFmt w:val="decimal"/>
      <w:start w:val="5"/>
    </w:lvl>
  </w:abstractNum>
  <w:abstractNum w:abstractNumId="224">
    <w:nsid w:val="6835B2AE"/>
    <w:multiLevelType w:val="hybridMultilevel"/>
    <w:lvl w:ilvl="0">
      <w:lvlJc w:val="left"/>
      <w:lvlText w:val="(%1)"/>
      <w:numFmt w:val="lowerLetter"/>
      <w:start w:val="1"/>
    </w:lvl>
  </w:abstractNum>
  <w:abstractNum w:abstractNumId="225">
    <w:nsid w:val="4C187C90"/>
    <w:multiLevelType w:val="hybridMultilevel"/>
    <w:lvl w:ilvl="0">
      <w:lvlJc w:val="left"/>
      <w:lvlText w:val="(%1)"/>
      <w:numFmt w:val="lowerLetter"/>
      <w:start w:val="2"/>
    </w:lvl>
  </w:abstractNum>
  <w:abstractNum w:abstractNumId="226">
    <w:nsid w:val="541F28CD"/>
    <w:multiLevelType w:val="hybridMultilevel"/>
    <w:lvl w:ilvl="0">
      <w:lvlJc w:val="left"/>
      <w:lvlText w:val="(%1)"/>
      <w:numFmt w:val="lowerLetter"/>
      <w:start w:val="1"/>
    </w:lvl>
  </w:abstractNum>
  <w:abstractNum w:abstractNumId="227">
    <w:nsid w:val="7F65FD16"/>
    <w:multiLevelType w:val="hybridMultilevel"/>
    <w:lvl w:ilvl="0">
      <w:lvlJc w:val="left"/>
      <w:lvlText w:val="(%1)"/>
      <w:numFmt w:val="lowerLetter"/>
      <w:start w:val="4"/>
    </w:lvl>
  </w:abstractNum>
  <w:abstractNum w:abstractNumId="228">
    <w:nsid w:val="77C9FD68"/>
    <w:multiLevelType w:val="hybridMultilevel"/>
    <w:lvl w:ilvl="0">
      <w:lvlJc w:val="left"/>
      <w:lvlText w:val="%1."/>
      <w:numFmt w:val="decimal"/>
      <w:start w:val="6"/>
    </w:lvl>
  </w:abstractNum>
  <w:abstractNum w:abstractNumId="229">
    <w:nsid w:val="298A92BA"/>
    <w:multiLevelType w:val="hybridMultilevel"/>
    <w:lvl w:ilvl="0">
      <w:lvlJc w:val="left"/>
      <w:lvlText w:val="(%1)"/>
      <w:numFmt w:val="lowerLetter"/>
      <w:start w:val="1"/>
    </w:lvl>
  </w:abstractNum>
  <w:abstractNum w:abstractNumId="230">
    <w:nsid w:val="6FE95EAC"/>
    <w:multiLevelType w:val="hybridMultilevel"/>
    <w:lvl w:ilvl="0">
      <w:lvlJc w:val="left"/>
      <w:lvlText w:val="(%1)"/>
      <w:numFmt w:val="lowerLetter"/>
      <w:start w:val="2"/>
    </w:lvl>
  </w:abstractNum>
  <w:abstractNum w:abstractNumId="231">
    <w:nsid w:val="4B697C7A"/>
    <w:multiLevelType w:val="hybridMultilevel"/>
    <w:lvl w:ilvl="0">
      <w:lvlJc w:val="left"/>
      <w:lvlText w:val="(%1)"/>
      <w:numFmt w:val="lowerLetter"/>
      <w:start w:val="1"/>
    </w:lvl>
    <w:lvl w:ilvl="1">
      <w:lvlJc w:val="left"/>
      <w:lvlText w:val="(%2)"/>
      <w:numFmt w:val="lowerRoman"/>
      <w:start w:val="1"/>
    </w:lvl>
  </w:abstractNum>
  <w:abstractNum w:abstractNumId="232">
    <w:nsid w:val="51A27AA6"/>
    <w:multiLevelType w:val="hybridMultilevel"/>
    <w:lvl w:ilvl="0">
      <w:lvlJc w:val="left"/>
      <w:lvlText w:val="(%1)"/>
      <w:numFmt w:val="lowerRoman"/>
      <w:start w:val="2"/>
    </w:lvl>
  </w:abstractNum>
  <w:abstractNum w:abstractNumId="233">
    <w:nsid w:val="613183F2"/>
    <w:multiLevelType w:val="hybridMultilevel"/>
    <w:lvl w:ilvl="0">
      <w:lvlJc w:val="left"/>
      <w:lvlText w:val="(%1)"/>
      <w:numFmt w:val="lowerLetter"/>
      <w:start w:val="1"/>
    </w:lvl>
  </w:abstractNum>
  <w:abstractNum w:abstractNumId="234">
    <w:nsid w:val="634102B4"/>
    <w:multiLevelType w:val="hybridMultilevel"/>
    <w:lvl w:ilvl="0">
      <w:lvlJc w:val="left"/>
      <w:lvlText w:val="(%1)"/>
      <w:numFmt w:val="lowerLetter"/>
      <w:start w:val="1"/>
    </w:lvl>
  </w:abstractNum>
  <w:abstractNum w:abstractNumId="235">
    <w:nsid w:val="65BF9DA8"/>
    <w:multiLevelType w:val="hybridMultilevel"/>
    <w:lvl w:ilvl="0">
      <w:lvlJc w:val="left"/>
      <w:lvlText w:val="%1."/>
      <w:numFmt w:val="decimal"/>
      <w:start w:val="7"/>
    </w:lvl>
  </w:abstractNum>
  <w:abstractNum w:abstractNumId="236">
    <w:nsid w:val="21A2ECCA"/>
    <w:multiLevelType w:val="hybridMultilevel"/>
    <w:lvl w:ilvl="0">
      <w:lvlJc w:val="left"/>
      <w:lvlText w:val="%1."/>
      <w:numFmt w:val="decimal"/>
      <w:start w:val="8"/>
    </w:lvl>
  </w:abstractNum>
  <w:abstractNum w:abstractNumId="237">
    <w:nsid w:val="4D5C4899"/>
    <w:multiLevelType w:val="hybridMultilevel"/>
    <w:lvl w:ilvl="0">
      <w:lvlJc w:val="left"/>
      <w:lvlText w:val="(%1)"/>
      <w:numFmt w:val="lowerLetter"/>
      <w:start w:val="1"/>
    </w:lvl>
    <w:lvl w:ilvl="1">
      <w:lvlJc w:val="left"/>
      <w:lvlText w:val="(%2)"/>
      <w:numFmt w:val="lowerRoman"/>
      <w:start w:val="1"/>
    </w:lvl>
  </w:abstractNum>
  <w:abstractNum w:abstractNumId="238">
    <w:nsid w:val="3C3B72B2"/>
    <w:multiLevelType w:val="hybridMultilevel"/>
    <w:lvl w:ilvl="0">
      <w:lvlJc w:val="left"/>
      <w:lvlText w:val="%1."/>
      <w:numFmt w:val="decimal"/>
      <w:start w:val="9"/>
    </w:lvl>
  </w:abstractNum>
  <w:abstractNum w:abstractNumId="239">
    <w:nsid w:val="155EC4C2"/>
    <w:multiLevelType w:val="hybridMultilevel"/>
    <w:lvl w:ilvl="0">
      <w:lvlJc w:val="left"/>
      <w:lvlText w:val="(%1)"/>
      <w:numFmt w:val="lowerLetter"/>
      <w:start w:val="1"/>
    </w:lvl>
  </w:abstractNum>
  <w:abstractNum w:abstractNumId="240">
    <w:nsid w:val="65D2A137"/>
    <w:multiLevelType w:val="hybridMultilevel"/>
    <w:lvl w:ilvl="0">
      <w:lvlJc w:val="left"/>
      <w:lvlText w:val="%1."/>
      <w:numFmt w:val="decimal"/>
      <w:start w:val="10"/>
    </w:lvl>
  </w:abstractNum>
  <w:abstractNum w:abstractNumId="241">
    <w:nsid w:val="6EBB1F2A"/>
    <w:multiLevelType w:val="hybridMultilevel"/>
    <w:lvl w:ilvl="0">
      <w:lvlJc w:val="left"/>
      <w:lvlText w:val="(%1)"/>
      <w:numFmt w:val="lowerLetter"/>
      <w:start w:val="1"/>
    </w:lvl>
  </w:abstractNum>
  <w:abstractNum w:abstractNumId="242">
    <w:nsid w:val="6FBF29CB"/>
    <w:multiLevelType w:val="hybridMultilevel"/>
    <w:lvl w:ilvl="0">
      <w:lvlJc w:val="left"/>
      <w:lvlText w:val="%1."/>
      <w:numFmt w:val="decimal"/>
      <w:start w:val="11"/>
    </w:lvl>
  </w:abstractNum>
  <w:abstractNum w:abstractNumId="243">
    <w:nsid w:val="550B8808"/>
    <w:multiLevelType w:val="hybridMultilevel"/>
    <w:lvl w:ilvl="0">
      <w:lvlJc w:val="left"/>
      <w:lvlText w:val="%1."/>
      <w:numFmt w:val="decimal"/>
      <w:start w:val="12"/>
    </w:lvl>
    <w:lvl w:ilvl="1">
      <w:lvlJc w:val="left"/>
      <w:lvlText w:val="(%2)"/>
      <w:numFmt w:val="lowerLetter"/>
      <w:start w:val="1"/>
    </w:lvl>
  </w:abstractNum>
  <w:abstractNum w:abstractNumId="244">
    <w:nsid w:val="34CC3ACF"/>
    <w:multiLevelType w:val="hybridMultilevel"/>
    <w:lvl w:ilvl="0">
      <w:lvlJc w:val="left"/>
      <w:lvlText w:val="(%1)"/>
      <w:numFmt w:val="lowerLetter"/>
      <w:start w:val="2"/>
    </w:lvl>
  </w:abstractNum>
  <w:abstractNum w:abstractNumId="245">
    <w:nsid w:val="4E556261"/>
    <w:multiLevelType w:val="hybridMultilevel"/>
    <w:lvl w:ilvl="0">
      <w:lvlJc w:val="left"/>
      <w:lvlText w:val="(%1)"/>
      <w:numFmt w:val="lowerLetter"/>
      <w:start w:val="6"/>
    </w:lvl>
    <w:lvl w:ilvl="1">
      <w:lvlJc w:val="left"/>
      <w:lvlText w:val="(%2)"/>
      <w:numFmt w:val="lowerRoman"/>
      <w:start w:val="1"/>
    </w:lvl>
  </w:abstractNum>
  <w:abstractNum w:abstractNumId="246">
    <w:nsid w:val="4C672FC9"/>
    <w:multiLevelType w:val="hybridMultilevel"/>
    <w:lvl w:ilvl="0">
      <w:lvlJc w:val="left"/>
      <w:lvlText w:val="%1"/>
      <w:numFmt w:val="decimal"/>
      <w:start w:val="1"/>
    </w:lvl>
    <w:lvl w:ilvl="1">
      <w:lvlJc w:val="left"/>
      <w:lvlText w:val="(%2)"/>
      <w:numFmt w:val="lowerRoman"/>
      <w:start w:val="5"/>
    </w:lvl>
  </w:abstractNum>
  <w:abstractNum w:abstractNumId="247">
    <w:nsid w:val="52A311C3"/>
    <w:multiLevelType w:val="hybridMultilevel"/>
    <w:lvl w:ilvl="0">
      <w:lvlJc w:val="left"/>
      <w:lvlText w:val="%1."/>
      <w:numFmt w:val="decimal"/>
      <w:start w:val="13"/>
    </w:lvl>
    <w:lvl w:ilvl="1">
      <w:lvlJc w:val="left"/>
      <w:lvlText w:val="%2"/>
      <w:numFmt w:val="lowerRoman"/>
      <w:start w:val="1"/>
    </w:lvl>
  </w:abstractNum>
  <w:abstractNum w:abstractNumId="248">
    <w:nsid w:val="44EF6B8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49">
    <w:nsid w:val="12FCDE5E"/>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50">
    <w:nsid w:val="4A1D606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51">
    <w:nsid w:val="438250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2">
    <w:nsid w:val="59B76E28"/>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53">
    <w:nsid w:val="4252C2DA"/>
    <w:multiLevelType w:val="hybridMultilevel"/>
    <w:lvl w:ilvl="0">
      <w:lvlJc w:val="left"/>
      <w:lvlText w:val="(%1)"/>
      <w:numFmt w:val="lowerLetter"/>
      <w:start w:val="4"/>
    </w:lvl>
  </w:abstractNum>
  <w:abstractNum w:abstractNumId="254">
    <w:nsid w:val="6A92EF4C"/>
    <w:multiLevelType w:val="hybridMultilevel"/>
    <w:lvl w:ilvl="0">
      <w:lvlJc w:val="left"/>
      <w:lvlText w:val="(%1)"/>
      <w:numFmt w:val="lowerLetter"/>
      <w:start w:val="6"/>
    </w:lvl>
  </w:abstractNum>
  <w:abstractNum w:abstractNumId="255">
    <w:nsid w:val="41ED20D7"/>
    <w:multiLevelType w:val="hybridMultilevel"/>
    <w:lvl w:ilvl="0">
      <w:lvlJc w:val="left"/>
      <w:lvlText w:val="%1."/>
      <w:numFmt w:val="decimal"/>
      <w:start w:val="14"/>
    </w:lvl>
  </w:abstractNum>
  <w:abstractNum w:abstractNumId="256">
    <w:nsid w:val="E6B3F6A"/>
    <w:multiLevelType w:val="hybridMultilevel"/>
    <w:lvl w:ilvl="0">
      <w:lvlJc w:val="left"/>
      <w:lvlText w:val="(%1)"/>
      <w:numFmt w:val="lowerLetter"/>
      <w:start w:val="1"/>
    </w:lvl>
  </w:abstractNum>
  <w:abstractNum w:abstractNumId="257">
    <w:nsid w:val="3EB21819"/>
    <w:multiLevelType w:val="hybridMultilevel"/>
    <w:lvl w:ilvl="0">
      <w:lvlJc w:val="left"/>
      <w:lvlText w:val="%1"/>
      <w:numFmt w:val="lowerLetter"/>
      <w:start w:val="1"/>
    </w:lvl>
    <w:lvl w:ilvl="1">
      <w:lvlJc w:val="left"/>
      <w:lvlText w:val="(%2)"/>
      <w:numFmt w:val="lowerRoman"/>
      <w:start w:val="1"/>
    </w:lvl>
  </w:abstractNum>
  <w:abstractNum w:abstractNumId="258">
    <w:nsid w:val="41531DED"/>
    <w:multiLevelType w:val="hybridMultilevel"/>
    <w:lvl w:ilvl="0">
      <w:lvlJc w:val="left"/>
      <w:lvlText w:val="(%1)"/>
      <w:numFmt w:val="lowerLetter"/>
      <w:start w:val="2"/>
    </w:lvl>
    <w:lvl w:ilvl="1">
      <w:lvlJc w:val="left"/>
      <w:lvlText w:val="%2"/>
      <w:numFmt w:val="lowerRoman"/>
      <w:start w:val="1"/>
    </w:lvl>
  </w:abstractNum>
  <w:abstractNum w:abstractNumId="259">
    <w:nsid w:val="6353CD2"/>
    <w:multiLevelType w:val="hybridMultilevel"/>
    <w:lvl w:ilvl="0">
      <w:lvlJc w:val="left"/>
      <w:lvlText w:val="%1"/>
      <w:numFmt w:val="lowerLetter"/>
      <w:start w:val="1"/>
    </w:lvl>
    <w:lvl w:ilvl="1">
      <w:lvlJc w:val="left"/>
      <w:lvlText w:val="(%2)"/>
      <w:numFmt w:val="lowerRoman"/>
      <w:start w:val="1"/>
    </w:lvl>
  </w:abstractNum>
  <w:abstractNum w:abstractNumId="260">
    <w:nsid w:val="683CAAD3"/>
    <w:multiLevelType w:val="hybridMultilevel"/>
    <w:lvl w:ilvl="0">
      <w:lvlJc w:val="left"/>
      <w:lvlText w:val="(%1)"/>
      <w:numFmt w:val="lowerLetter"/>
      <w:start w:val="3"/>
    </w:lvl>
    <w:lvl w:ilvl="1">
      <w:lvlJc w:val="left"/>
      <w:lvlText w:val="%2"/>
      <w:numFmt w:val="lowerRoman"/>
      <w:start w:val="1"/>
    </w:lvl>
  </w:abstractNum>
  <w:abstractNum w:abstractNumId="261">
    <w:nsid w:val="313C7C99"/>
    <w:multiLevelType w:val="hybridMultilevel"/>
    <w:lvl w:ilvl="0">
      <w:lvlJc w:val="left"/>
      <w:lvlText w:val="(%1)"/>
      <w:numFmt w:val="lowerLetter"/>
      <w:start w:val="1"/>
    </w:lvl>
  </w:abstractNum>
  <w:abstractNum w:abstractNumId="262">
    <w:nsid w:val="519EB94C"/>
    <w:multiLevelType w:val="hybridMultilevel"/>
    <w:lvl w:ilvl="0">
      <w:lvlJc w:val="left"/>
      <w:lvlText w:val="(%1)"/>
      <w:numFmt w:val="lowerLetter"/>
      <w:start w:val="2"/>
    </w:lvl>
  </w:abstractNum>
  <w:abstractNum w:abstractNumId="263">
    <w:nsid w:val="39DF2579"/>
    <w:multiLevelType w:val="hybridMultilevel"/>
    <w:lvl w:ilvl="0">
      <w:lvlJc w:val="left"/>
      <w:lvlText w:val="%1."/>
      <w:numFmt w:val="decimal"/>
      <w:start w:val="15"/>
    </w:lvl>
  </w:abstractNum>
  <w:abstractNum w:abstractNumId="264">
    <w:nsid w:val="126E008B"/>
    <w:multiLevelType w:val="hybridMultilevel"/>
    <w:lvl w:ilvl="0">
      <w:lvlJc w:val="left"/>
      <w:lvlText w:val="(%1)"/>
      <w:numFmt w:val="lowerLetter"/>
      <w:start w:val="1"/>
    </w:lvl>
  </w:abstractNum>
  <w:abstractNum w:abstractNumId="265">
    <w:nsid w:val="34DFBC00"/>
    <w:multiLevelType w:val="hybridMultilevel"/>
    <w:lvl w:ilvl="0">
      <w:lvlJc w:val="left"/>
      <w:lvlText w:val="(%1)"/>
      <w:numFmt w:val="lowerLetter"/>
      <w:start w:val="2"/>
    </w:lvl>
  </w:abstractNum>
  <w:abstractNum w:abstractNumId="266">
    <w:nsid w:val="1F9EC322"/>
    <w:multiLevelType w:val="hybridMultilevel"/>
    <w:lvl w:ilvl="0">
      <w:lvlJc w:val="left"/>
      <w:lvlText w:val="(%1)"/>
      <w:numFmt w:val="lowerLetter"/>
      <w:start w:val="1"/>
    </w:lvl>
  </w:abstractNum>
  <w:abstractNum w:abstractNumId="267">
    <w:nsid w:val="3410ED56"/>
    <w:multiLevelType w:val="hybridMultilevel"/>
    <w:lvl w:ilvl="0">
      <w:lvlJc w:val="left"/>
      <w:lvlText w:val="(%1)"/>
      <w:numFmt w:val="lowerLetter"/>
      <w:start w:val="1"/>
    </w:lvl>
  </w:abstractNum>
  <w:abstractNum w:abstractNumId="268">
    <w:nsid w:val="23C049A"/>
    <w:multiLevelType w:val="hybridMultilevel"/>
    <w:lvl w:ilvl="0">
      <w:lvlJc w:val="left"/>
      <w:lvlText w:val="(%1)"/>
      <w:numFmt w:val="lowerLetter"/>
      <w:start w:val="26"/>
    </w:lvl>
  </w:abstractNum>
  <w:abstractNum w:abstractNumId="269">
    <w:nsid w:val="5BDA35D4"/>
    <w:multiLevelType w:val="hybridMultilevel"/>
    <w:lvl w:ilvl="0">
      <w:lvlJc w:val="left"/>
      <w:lvlText w:val="%1."/>
      <w:numFmt w:val="decimal"/>
      <w:start w:val="16"/>
    </w:lvl>
  </w:abstractNum>
  <w:abstractNum w:abstractNumId="270">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1">
    <w:nsid w:val="680EA5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272">
    <w:nsid w:val="4A9554FE"/>
    <w:multiLevelType w:val="hybridMultilevel"/>
    <w:lvl w:ilvl="0">
      <w:lvlJc w:val="left"/>
      <w:lvlText w:val="%1"/>
      <w:numFmt w:val="lowerLetter"/>
      <w:start w:val="1"/>
    </w:lvl>
    <w:lvl w:ilvl="1">
      <w:lvlJc w:val="left"/>
      <w:lvlText w:val="(%2)"/>
      <w:numFmt w:val="lowerLetter"/>
      <w:start w:val="22"/>
    </w:lvl>
  </w:abstractNum>
  <w:abstractNum w:abstractNumId="273">
    <w:nsid w:val="392EDBE4"/>
    <w:multiLevelType w:val="hybridMultilevel"/>
    <w:lvl w:ilvl="0">
      <w:lvlJc w:val="left"/>
      <w:lvlText w:val="(%1)"/>
      <w:numFmt w:val="lowerLetter"/>
      <w:start w:val="2"/>
    </w:lvl>
    <w:lvl w:ilvl="1">
      <w:lvlJc w:val="left"/>
      <w:lvlText w:val="%2"/>
      <w:numFmt w:val="lowerLetter"/>
      <w:start w:val="1"/>
    </w:lvl>
  </w:abstractNum>
  <w:abstractNum w:abstractNumId="274">
    <w:nsid w:val="3D1A2DD9"/>
    <w:multiLevelType w:val="hybridMultilevel"/>
    <w:lvl w:ilvl="0">
      <w:lvlJc w:val="left"/>
      <w:lvlText w:val="(%1)"/>
      <w:numFmt w:val="lowerLetter"/>
      <w:start w:val="1"/>
    </w:lvl>
  </w:abstractNum>
  <w:abstractNum w:abstractNumId="275">
    <w:nsid w:val="7F618FCD"/>
    <w:multiLevelType w:val="hybridMultilevel"/>
    <w:lvl w:ilvl="0">
      <w:lvlJc w:val="left"/>
      <w:lvlText w:val="%1."/>
      <w:numFmt w:val="decimal"/>
      <w:start w:val="17"/>
    </w:lvl>
  </w:abstractNum>
  <w:abstractNum w:abstractNumId="276">
    <w:nsid w:val="7843E45"/>
    <w:multiLevelType w:val="hybridMultilevel"/>
    <w:lvl w:ilvl="0">
      <w:lvlJc w:val="left"/>
      <w:lvlText w:val="(%1)"/>
      <w:numFmt w:val="lowerLetter"/>
      <w:start w:val="1"/>
    </w:lvl>
  </w:abstractNum>
  <w:abstractNum w:abstractNumId="277">
    <w:nsid w:val="9815DA3"/>
    <w:multiLevelType w:val="hybridMultilevel"/>
    <w:lvl w:ilvl="0">
      <w:lvlJc w:val="left"/>
      <w:lvlText w:val="(%1)"/>
      <w:numFmt w:val="lowerLetter"/>
      <w:start w:val="2"/>
    </w:lvl>
  </w:abstractNum>
  <w:abstractNum w:abstractNumId="278">
    <w:nsid w:val="5204A191"/>
    <w:multiLevelType w:val="hybridMultilevel"/>
    <w:lvl w:ilvl="0">
      <w:lvlJc w:val="left"/>
      <w:lvlText w:val="(%1)"/>
      <w:numFmt w:val="lowerLetter"/>
      <w:start w:val="1"/>
    </w:lvl>
  </w:abstractNum>
  <w:abstractNum w:abstractNumId="279">
    <w:nsid w:val="4C73A9C6"/>
    <w:multiLevelType w:val="hybridMultilevel"/>
    <w:lvl w:ilvl="0">
      <w:lvlJc w:val="left"/>
      <w:lvlText w:val="(%1)"/>
      <w:numFmt w:val="lowerLetter"/>
      <w:start w:val="2"/>
    </w:lvl>
  </w:abstractNum>
  <w:abstractNum w:abstractNumId="280">
    <w:nsid w:val="1C7E3C01"/>
    <w:multiLevelType w:val="hybridMultilevel"/>
    <w:lvl w:ilvl="0">
      <w:lvlJc w:val="left"/>
      <w:lvlText w:val="(%1)"/>
      <w:numFmt w:val="lowerLetter"/>
      <w:start w:val="1"/>
    </w:lvl>
    <w:lvl w:ilvl="1">
      <w:lvlJc w:val="left"/>
      <w:lvlText w:val="(%2)"/>
      <w:numFmt w:val="lowerRoman"/>
      <w:start w:val="1"/>
    </w:lvl>
  </w:abstractNum>
  <w:abstractNum w:abstractNumId="281">
    <w:nsid w:val="1C2201FF"/>
    <w:multiLevelType w:val="hybridMultilevel"/>
    <w:lvl w:ilvl="0">
      <w:lvlJc w:val="left"/>
      <w:lvlText w:val="(%1)"/>
      <w:numFmt w:val="lowerLetter"/>
      <w:start w:val="1"/>
    </w:lvl>
  </w:abstractNum>
  <w:abstractNum w:abstractNumId="282">
    <w:nsid w:val="50ABCEC9"/>
    <w:multiLevelType w:val="hybridMultilevel"/>
    <w:lvl w:ilvl="0">
      <w:lvlJc w:val="left"/>
      <w:lvlText w:val="(%1)"/>
      <w:numFmt w:val="lowerLetter"/>
      <w:start w:val="2"/>
    </w:lvl>
  </w:abstractNum>
  <w:abstractNum w:abstractNumId="283">
    <w:nsid w:val="7635AA2A"/>
    <w:multiLevelType w:val="hybridMultilevel"/>
    <w:lvl w:ilvl="0">
      <w:lvlJc w:val="left"/>
      <w:lvlText w:val="(%1)"/>
      <w:numFmt w:val="lowerLetter"/>
      <w:start w:val="1"/>
    </w:lvl>
    <w:lvl w:ilvl="1">
      <w:lvlJc w:val="left"/>
      <w:lvlText w:val="(%2)"/>
      <w:numFmt w:val="lowerRoman"/>
      <w:start w:val="1"/>
    </w:lvl>
  </w:abstractNum>
  <w:abstractNum w:abstractNumId="284">
    <w:nsid w:val="5E74C4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85">
    <w:nsid w:val="3B3EBE15"/>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286">
    <w:nsid w:val="3822CB01"/>
    <w:multiLevelType w:val="hybridMultilevel"/>
    <w:lvl w:ilvl="0">
      <w:lvlJc w:val="left"/>
      <w:lvlText w:val="%1"/>
      <w:numFmt w:val="lowerLetter"/>
      <w:start w:val="1"/>
    </w:lvl>
    <w:lvl w:ilvl="1">
      <w:lvlJc w:val="left"/>
      <w:lvlText w:val="(%2)"/>
      <w:numFmt w:val="lowerLetter"/>
      <w:start w:val="1"/>
    </w:lvl>
  </w:abstractNum>
  <w:abstractNum w:abstractNumId="287">
    <w:nsid w:val="6CE00443"/>
    <w:multiLevelType w:val="hybridMultilevel"/>
    <w:lvl w:ilvl="0">
      <w:lvlJc w:val="left"/>
      <w:lvlText w:val="(%1)"/>
      <w:numFmt w:val="lowerLetter"/>
      <w:start w:val="35"/>
    </w:lvl>
    <w:lvl w:ilvl="1">
      <w:lvlJc w:val="left"/>
      <w:lvlText w:val="(%2)"/>
      <w:numFmt w:val="lowerLetter"/>
      <w:start w:val="3"/>
    </w:lvl>
  </w:abstractNum>
  <w:abstractNum w:abstractNumId="288">
    <w:nsid w:val="79F0D62F"/>
    <w:multiLevelType w:val="hybridMultilevel"/>
    <w:lvl w:ilvl="0">
      <w:lvlJc w:val="left"/>
      <w:lvlText w:val="(%1)"/>
      <w:numFmt w:val="lowerLetter"/>
      <w:start w:val="5"/>
    </w:lvl>
  </w:abstractNum>
  <w:abstractNum w:abstractNumId="289">
    <w:nsid w:val="7975E8EE"/>
    <w:multiLevelType w:val="hybridMultilevel"/>
    <w:lvl w:ilvl="0">
      <w:lvlJc w:val="left"/>
      <w:lvlText w:val="(%1)"/>
      <w:numFmt w:val="lowerLetter"/>
      <w:start w:val="1"/>
    </w:lvl>
    <w:lvl w:ilvl="1">
      <w:lvlJc w:val="left"/>
      <w:lvlText w:val="(%2)"/>
      <w:numFmt w:val="lowerRoman"/>
      <w:start w:val="1"/>
    </w:lvl>
  </w:abstractNum>
  <w:abstractNum w:abstractNumId="290">
    <w:nsid w:val="73154115"/>
    <w:multiLevelType w:val="hybridMultilevel"/>
    <w:lvl w:ilvl="0">
      <w:lvlJc w:val="left"/>
      <w:lvlText w:val="(%1)"/>
      <w:numFmt w:val="lowerLetter"/>
      <w:start w:val="7"/>
    </w:lvl>
  </w:abstractNum>
  <w:abstractNum w:abstractNumId="291">
    <w:nsid w:val="622D8102"/>
    <w:multiLevelType w:val="hybridMultilevel"/>
    <w:lvl w:ilvl="0">
      <w:lvlJc w:val="left"/>
      <w:lvlText w:val="%1."/>
      <w:numFmt w:val="decimal"/>
      <w:start w:val="1"/>
    </w:lvl>
    <w:lvl w:ilvl="1">
      <w:lvlJc w:val="left"/>
      <w:lvlText w:val="(%2)"/>
      <w:numFmt w:val="lowerLetter"/>
      <w:start w:val="1"/>
    </w:lvl>
  </w:abstractNum>
  <w:abstractNum w:abstractNumId="292">
    <w:nsid w:val="2AB26587"/>
    <w:multiLevelType w:val="hybridMultilevel"/>
    <w:lvl w:ilvl="0">
      <w:lvlJc w:val="left"/>
      <w:lvlText w:val="%1."/>
      <w:numFmt w:val="decimal"/>
      <w:start w:val="1"/>
    </w:lvl>
    <w:lvl w:ilvl="1">
      <w:lvlJc w:val="left"/>
      <w:lvlText w:val="(%2)"/>
      <w:numFmt w:val="lowerLetter"/>
      <w:start w:val="1"/>
    </w:lvl>
  </w:abstractNum>
  <w:abstractNum w:abstractNumId="293">
    <w:nsid w:val="44B3F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81" Type="http://schemas.openxmlformats.org/officeDocument/2006/relationships/image" Target="media/image437.png"/><Relationship Id="rId482" Type="http://schemas.openxmlformats.org/officeDocument/2006/relationships/image" Target="media/image438.png"/><Relationship Id="rId483" Type="http://schemas.openxmlformats.org/officeDocument/2006/relationships/image" Target="media/image439.png"/><Relationship Id="rId484" Type="http://schemas.openxmlformats.org/officeDocument/2006/relationships/image" Target="media/image440.png"/><Relationship Id="rId485" Type="http://schemas.openxmlformats.org/officeDocument/2006/relationships/image" Target="media/image441.png"/><Relationship Id="rId486" Type="http://schemas.openxmlformats.org/officeDocument/2006/relationships/image" Target="media/image442.png"/><Relationship Id="rId487" Type="http://schemas.openxmlformats.org/officeDocument/2006/relationships/image" Target="media/image443.png"/><Relationship Id="rId488" Type="http://schemas.openxmlformats.org/officeDocument/2006/relationships/image" Target="media/image444.png"/><Relationship Id="rId489" Type="http://schemas.openxmlformats.org/officeDocument/2006/relationships/image" Target="media/image445.png"/><Relationship Id="rId490" Type="http://schemas.openxmlformats.org/officeDocument/2006/relationships/image" Target="media/image446.png"/><Relationship Id="rId491" Type="http://schemas.openxmlformats.org/officeDocument/2006/relationships/image" Target="media/image447.png"/><Relationship Id="rId492" Type="http://schemas.openxmlformats.org/officeDocument/2006/relationships/image" Target="media/image448.png"/><Relationship Id="rId493" Type="http://schemas.openxmlformats.org/officeDocument/2006/relationships/image" Target="media/image449.png"/><Relationship Id="rId494" Type="http://schemas.openxmlformats.org/officeDocument/2006/relationships/image" Target="media/image450.png"/><Relationship Id="rId495" Type="http://schemas.openxmlformats.org/officeDocument/2006/relationships/image" Target="media/image451.png"/><Relationship Id="rId496" Type="http://schemas.openxmlformats.org/officeDocument/2006/relationships/image" Target="media/image452.png"/><Relationship Id="rId497" Type="http://schemas.openxmlformats.org/officeDocument/2006/relationships/image" Target="media/image453.png"/><Relationship Id="rId498" Type="http://schemas.openxmlformats.org/officeDocument/2006/relationships/image" Target="media/image454.png"/><Relationship Id="rId499" Type="http://schemas.openxmlformats.org/officeDocument/2006/relationships/image" Target="media/image455.png"/><Relationship Id="rId500" Type="http://schemas.openxmlformats.org/officeDocument/2006/relationships/image" Target="media/image456.png"/><Relationship Id="rId501" Type="http://schemas.openxmlformats.org/officeDocument/2006/relationships/image" Target="media/image457.png"/><Relationship Id="rId502" Type="http://schemas.openxmlformats.org/officeDocument/2006/relationships/image" Target="media/image458.png"/><Relationship Id="rId503" Type="http://schemas.openxmlformats.org/officeDocument/2006/relationships/image" Target="media/image459.png"/><Relationship Id="rId504" Type="http://schemas.openxmlformats.org/officeDocument/2006/relationships/image" Target="media/image460.png"/><Relationship Id="rId505" Type="http://schemas.openxmlformats.org/officeDocument/2006/relationships/image" Target="media/image461.png"/><Relationship Id="rId506" Type="http://schemas.openxmlformats.org/officeDocument/2006/relationships/image" Target="media/image462.png"/><Relationship Id="rId507" Type="http://schemas.openxmlformats.org/officeDocument/2006/relationships/image" Target="media/image463.png"/><Relationship Id="rId508" Type="http://schemas.openxmlformats.org/officeDocument/2006/relationships/image" Target="media/image464.png"/><Relationship Id="rId509" Type="http://schemas.openxmlformats.org/officeDocument/2006/relationships/image" Target="media/image465.png"/><Relationship Id="rId510" Type="http://schemas.openxmlformats.org/officeDocument/2006/relationships/image" Target="media/image466.png"/><Relationship Id="rId511" Type="http://schemas.openxmlformats.org/officeDocument/2006/relationships/image" Target="media/image467.png"/><Relationship Id="rId512" Type="http://schemas.openxmlformats.org/officeDocument/2006/relationships/image" Target="media/image468.png"/><Relationship Id="rId513" Type="http://schemas.openxmlformats.org/officeDocument/2006/relationships/image" Target="media/image469.png"/><Relationship Id="rId514" Type="http://schemas.openxmlformats.org/officeDocument/2006/relationships/image" Target="media/image470.png"/><Relationship Id="rId515" Type="http://schemas.openxmlformats.org/officeDocument/2006/relationships/image" Target="media/image471.png"/><Relationship Id="rId516" Type="http://schemas.openxmlformats.org/officeDocument/2006/relationships/image" Target="media/image472.png"/><Relationship Id="rId517" Type="http://schemas.openxmlformats.org/officeDocument/2006/relationships/image" Target="media/image473.png"/><Relationship Id="rId518" Type="http://schemas.openxmlformats.org/officeDocument/2006/relationships/image" Target="media/image474.png"/><Relationship Id="rId519" Type="http://schemas.openxmlformats.org/officeDocument/2006/relationships/image" Target="media/image475.png"/><Relationship Id="rId520" Type="http://schemas.openxmlformats.org/officeDocument/2006/relationships/image" Target="media/image476.png"/><Relationship Id="rId521" Type="http://schemas.openxmlformats.org/officeDocument/2006/relationships/image" Target="media/image477.png"/><Relationship Id="rId522" Type="http://schemas.openxmlformats.org/officeDocument/2006/relationships/image" Target="media/image478.png"/><Relationship Id="rId523" Type="http://schemas.openxmlformats.org/officeDocument/2006/relationships/image" Target="media/image479.png"/><Relationship Id="rId524" Type="http://schemas.openxmlformats.org/officeDocument/2006/relationships/image" Target="media/image480.png"/><Relationship Id="rId525" Type="http://schemas.openxmlformats.org/officeDocument/2006/relationships/image" Target="media/image481.png"/><Relationship Id="rId526" Type="http://schemas.openxmlformats.org/officeDocument/2006/relationships/image" Target="media/image482.png"/><Relationship Id="rId527" Type="http://schemas.openxmlformats.org/officeDocument/2006/relationships/image" Target="media/image483.png"/><Relationship Id="rId528" Type="http://schemas.openxmlformats.org/officeDocument/2006/relationships/image" Target="media/image484.png"/><Relationship Id="rId529" Type="http://schemas.openxmlformats.org/officeDocument/2006/relationships/image" Target="media/image485.png"/><Relationship Id="rId530" Type="http://schemas.openxmlformats.org/officeDocument/2006/relationships/image" Target="media/image486.png"/><Relationship Id="rId531" Type="http://schemas.openxmlformats.org/officeDocument/2006/relationships/image" Target="media/image487.png"/><Relationship Id="rId532" Type="http://schemas.openxmlformats.org/officeDocument/2006/relationships/image" Target="media/image488.png"/><Relationship Id="rId533" Type="http://schemas.openxmlformats.org/officeDocument/2006/relationships/image" Target="media/image489.png"/><Relationship Id="rId534" Type="http://schemas.openxmlformats.org/officeDocument/2006/relationships/image" Target="media/image490.png"/><Relationship Id="rId535" Type="http://schemas.openxmlformats.org/officeDocument/2006/relationships/image" Target="media/image491.png"/><Relationship Id="rId536" Type="http://schemas.openxmlformats.org/officeDocument/2006/relationships/image" Target="media/image492.png"/><Relationship Id="rId537" Type="http://schemas.openxmlformats.org/officeDocument/2006/relationships/image" Target="media/image493.png"/><Relationship Id="rId538" Type="http://schemas.openxmlformats.org/officeDocument/2006/relationships/image" Target="media/image494.png"/><Relationship Id="rId539" Type="http://schemas.openxmlformats.org/officeDocument/2006/relationships/image" Target="media/image495.png"/><Relationship Id="rId540" Type="http://schemas.openxmlformats.org/officeDocument/2006/relationships/image" Target="media/image496.png"/><Relationship Id="rId541" Type="http://schemas.openxmlformats.org/officeDocument/2006/relationships/image" Target="media/image497.png"/><Relationship Id="rId542" Type="http://schemas.openxmlformats.org/officeDocument/2006/relationships/image" Target="media/image498.png"/><Relationship Id="rId543" Type="http://schemas.openxmlformats.org/officeDocument/2006/relationships/image" Target="media/image499.png"/><Relationship Id="rId544" Type="http://schemas.openxmlformats.org/officeDocument/2006/relationships/image" Target="media/image500.png"/><Relationship Id="rId545" Type="http://schemas.openxmlformats.org/officeDocument/2006/relationships/image" Target="media/image501.png"/><Relationship Id="rId546" Type="http://schemas.openxmlformats.org/officeDocument/2006/relationships/image" Target="media/image502.png"/><Relationship Id="rId547" Type="http://schemas.openxmlformats.org/officeDocument/2006/relationships/image" Target="media/image503.png"/><Relationship Id="rId548" Type="http://schemas.openxmlformats.org/officeDocument/2006/relationships/image" Target="media/image504.png"/><Relationship Id="rId549" Type="http://schemas.openxmlformats.org/officeDocument/2006/relationships/image" Target="media/image505.png"/><Relationship Id="rId550" Type="http://schemas.openxmlformats.org/officeDocument/2006/relationships/image" Target="media/image506.png"/><Relationship Id="rId551" Type="http://schemas.openxmlformats.org/officeDocument/2006/relationships/image" Target="media/image507.png"/><Relationship Id="rId552" Type="http://schemas.openxmlformats.org/officeDocument/2006/relationships/image" Target="media/image508.png"/><Relationship Id="rId553" Type="http://schemas.openxmlformats.org/officeDocument/2006/relationships/image" Target="media/image509.png"/><Relationship Id="rId554" Type="http://schemas.openxmlformats.org/officeDocument/2006/relationships/image" Target="media/image510.png"/><Relationship Id="rId555" Type="http://schemas.openxmlformats.org/officeDocument/2006/relationships/image" Target="media/image511.png"/><Relationship Id="rId556" Type="http://schemas.openxmlformats.org/officeDocument/2006/relationships/image" Target="media/image512.png"/><Relationship Id="rId557" Type="http://schemas.openxmlformats.org/officeDocument/2006/relationships/image" Target="media/image513.png"/><Relationship Id="rId558" Type="http://schemas.openxmlformats.org/officeDocument/2006/relationships/image" Target="media/image514.png"/><Relationship Id="rId559" Type="http://schemas.openxmlformats.org/officeDocument/2006/relationships/image" Target="media/image515.png"/><Relationship Id="rId560" Type="http://schemas.openxmlformats.org/officeDocument/2006/relationships/image" Target="media/image516.png"/><Relationship Id="rId561" Type="http://schemas.openxmlformats.org/officeDocument/2006/relationships/image" Target="media/image517.png"/><Relationship Id="rId562" Type="http://schemas.openxmlformats.org/officeDocument/2006/relationships/image" Target="media/image518.png"/><Relationship Id="rId563" Type="http://schemas.openxmlformats.org/officeDocument/2006/relationships/image" Target="media/image519.png"/><Relationship Id="rId564" Type="http://schemas.openxmlformats.org/officeDocument/2006/relationships/image" Target="media/image520.png"/><Relationship Id="rId565" Type="http://schemas.openxmlformats.org/officeDocument/2006/relationships/image" Target="media/image521.png"/><Relationship Id="rId566" Type="http://schemas.openxmlformats.org/officeDocument/2006/relationships/image" Target="media/image522.png"/><Relationship Id="rId567" Type="http://schemas.openxmlformats.org/officeDocument/2006/relationships/image" Target="media/image523.png"/><Relationship Id="rId568" Type="http://schemas.openxmlformats.org/officeDocument/2006/relationships/image" Target="media/image524.png"/><Relationship Id="rId569" Type="http://schemas.openxmlformats.org/officeDocument/2006/relationships/image" Target="media/image525.png"/><Relationship Id="rId570" Type="http://schemas.openxmlformats.org/officeDocument/2006/relationships/image" Target="media/image526.png"/><Relationship Id="rId571" Type="http://schemas.openxmlformats.org/officeDocument/2006/relationships/image" Target="media/image527.png"/><Relationship Id="rId572" Type="http://schemas.openxmlformats.org/officeDocument/2006/relationships/image" Target="media/image528.png"/><Relationship Id="rId573" Type="http://schemas.openxmlformats.org/officeDocument/2006/relationships/image" Target="media/image529.png"/><Relationship Id="rId574" Type="http://schemas.openxmlformats.org/officeDocument/2006/relationships/image" Target="media/image530.png"/><Relationship Id="rId575" Type="http://schemas.openxmlformats.org/officeDocument/2006/relationships/image" Target="media/image531.png"/><Relationship Id="rId576" Type="http://schemas.openxmlformats.org/officeDocument/2006/relationships/image" Target="media/image532.png"/><Relationship Id="rId577" Type="http://schemas.openxmlformats.org/officeDocument/2006/relationships/image" Target="media/image533.png"/><Relationship Id="rId578" Type="http://schemas.openxmlformats.org/officeDocument/2006/relationships/image" Target="media/image534.png"/><Relationship Id="rId579" Type="http://schemas.openxmlformats.org/officeDocument/2006/relationships/image" Target="media/image535.png"/><Relationship Id="rId580" Type="http://schemas.openxmlformats.org/officeDocument/2006/relationships/image" Target="media/image536.png"/><Relationship Id="rId581" Type="http://schemas.openxmlformats.org/officeDocument/2006/relationships/image" Target="media/image537.png"/><Relationship Id="rId582" Type="http://schemas.openxmlformats.org/officeDocument/2006/relationships/image" Target="media/image538.png"/><Relationship Id="rId583" Type="http://schemas.openxmlformats.org/officeDocument/2006/relationships/image" Target="media/image539.png"/><Relationship Id="rId584" Type="http://schemas.openxmlformats.org/officeDocument/2006/relationships/image" Target="media/image540.png"/><Relationship Id="rId585" Type="http://schemas.openxmlformats.org/officeDocument/2006/relationships/image" Target="media/image541.png"/><Relationship Id="rId586" Type="http://schemas.openxmlformats.org/officeDocument/2006/relationships/image" Target="media/image542.png"/><Relationship Id="rId587" Type="http://schemas.openxmlformats.org/officeDocument/2006/relationships/image" Target="media/image543.png"/><Relationship Id="rId588" Type="http://schemas.openxmlformats.org/officeDocument/2006/relationships/image" Target="media/image544.png"/><Relationship Id="rId589" Type="http://schemas.openxmlformats.org/officeDocument/2006/relationships/image" Target="media/image545.png"/><Relationship Id="rId590" Type="http://schemas.openxmlformats.org/officeDocument/2006/relationships/image" Target="media/image546.png"/><Relationship Id="rId591" Type="http://schemas.openxmlformats.org/officeDocument/2006/relationships/image" Target="media/image547.png"/><Relationship Id="rId592" Type="http://schemas.openxmlformats.org/officeDocument/2006/relationships/image" Target="media/image548.png"/><Relationship Id="rId593" Type="http://schemas.openxmlformats.org/officeDocument/2006/relationships/image" Target="media/image549.png"/><Relationship Id="rId594" Type="http://schemas.openxmlformats.org/officeDocument/2006/relationships/image" Target="media/image550.png"/><Relationship Id="rId595" Type="http://schemas.openxmlformats.org/officeDocument/2006/relationships/image" Target="media/image551.png"/><Relationship Id="rId596" Type="http://schemas.openxmlformats.org/officeDocument/2006/relationships/image" Target="media/image552.png"/><Relationship Id="rId597" Type="http://schemas.openxmlformats.org/officeDocument/2006/relationships/image" Target="media/image553.png"/><Relationship Id="rId598" Type="http://schemas.openxmlformats.org/officeDocument/2006/relationships/image" Target="media/image554.png"/><Relationship Id="rId599" Type="http://schemas.openxmlformats.org/officeDocument/2006/relationships/image" Target="media/image555.png"/><Relationship Id="rId600" Type="http://schemas.openxmlformats.org/officeDocument/2006/relationships/image" Target="media/image556.png"/><Relationship Id="rId601" Type="http://schemas.openxmlformats.org/officeDocument/2006/relationships/image" Target="media/image557.png"/><Relationship Id="rId602" Type="http://schemas.openxmlformats.org/officeDocument/2006/relationships/image" Target="media/image558.png"/><Relationship Id="rId603" Type="http://schemas.openxmlformats.org/officeDocument/2006/relationships/image" Target="media/image559.png"/><Relationship Id="rId604" Type="http://schemas.openxmlformats.org/officeDocument/2006/relationships/image" Target="media/image560.png"/><Relationship Id="rId605" Type="http://schemas.openxmlformats.org/officeDocument/2006/relationships/image" Target="media/image561.png"/><Relationship Id="rId606" Type="http://schemas.openxmlformats.org/officeDocument/2006/relationships/image" Target="media/image562.png"/><Relationship Id="rId607" Type="http://schemas.openxmlformats.org/officeDocument/2006/relationships/image" Target="media/image563.png"/><Relationship Id="rId608" Type="http://schemas.openxmlformats.org/officeDocument/2006/relationships/image" Target="media/image564.png"/><Relationship Id="rId609" Type="http://schemas.openxmlformats.org/officeDocument/2006/relationships/image" Target="media/image565.png"/><Relationship Id="rId610" Type="http://schemas.openxmlformats.org/officeDocument/2006/relationships/image" Target="media/image566.png"/><Relationship Id="rId611" Type="http://schemas.openxmlformats.org/officeDocument/2006/relationships/image" Target="media/image567.png"/><Relationship Id="rId612" Type="http://schemas.openxmlformats.org/officeDocument/2006/relationships/image" Target="media/image568.png"/><Relationship Id="rId613" Type="http://schemas.openxmlformats.org/officeDocument/2006/relationships/image" Target="media/image569.png"/><Relationship Id="rId614" Type="http://schemas.openxmlformats.org/officeDocument/2006/relationships/image" Target="media/image570.png"/><Relationship Id="rId615" Type="http://schemas.openxmlformats.org/officeDocument/2006/relationships/image" Target="media/image571.png"/><Relationship Id="rId616" Type="http://schemas.openxmlformats.org/officeDocument/2006/relationships/image" Target="media/image572.png"/><Relationship Id="rId617" Type="http://schemas.openxmlformats.org/officeDocument/2006/relationships/image" Target="media/image573.png"/><Relationship Id="rId618" Type="http://schemas.openxmlformats.org/officeDocument/2006/relationships/image" Target="media/image574.png"/><Relationship Id="rId619" Type="http://schemas.openxmlformats.org/officeDocument/2006/relationships/image" Target="media/image575.png"/><Relationship Id="rId620" Type="http://schemas.openxmlformats.org/officeDocument/2006/relationships/image" Target="media/image576.png"/><Relationship Id="rId621" Type="http://schemas.openxmlformats.org/officeDocument/2006/relationships/image" Target="media/image577.png"/><Relationship Id="rId622" Type="http://schemas.openxmlformats.org/officeDocument/2006/relationships/image" Target="media/image578.png"/><Relationship Id="rId623" Type="http://schemas.openxmlformats.org/officeDocument/2006/relationships/image" Target="media/image579.png"/><Relationship Id="rId624" Type="http://schemas.openxmlformats.org/officeDocument/2006/relationships/image" Target="media/image580.png"/><Relationship Id="rId625" Type="http://schemas.openxmlformats.org/officeDocument/2006/relationships/image" Target="media/image581.png"/><Relationship Id="rId626" Type="http://schemas.openxmlformats.org/officeDocument/2006/relationships/image" Target="media/image582.png"/><Relationship Id="rId627" Type="http://schemas.openxmlformats.org/officeDocument/2006/relationships/image" Target="media/image583.png"/><Relationship Id="rId628" Type="http://schemas.openxmlformats.org/officeDocument/2006/relationships/image" Target="media/image584.png"/><Relationship Id="rId629" Type="http://schemas.openxmlformats.org/officeDocument/2006/relationships/image" Target="media/image585.png"/><Relationship Id="rId630" Type="http://schemas.openxmlformats.org/officeDocument/2006/relationships/image" Target="media/image586.png"/><Relationship Id="rId631" Type="http://schemas.openxmlformats.org/officeDocument/2006/relationships/image" Target="media/image587.png"/><Relationship Id="rId632" Type="http://schemas.openxmlformats.org/officeDocument/2006/relationships/image" Target="media/image588.png"/><Relationship Id="rId633" Type="http://schemas.openxmlformats.org/officeDocument/2006/relationships/image" Target="media/image589.png"/><Relationship Id="rId634" Type="http://schemas.openxmlformats.org/officeDocument/2006/relationships/image" Target="media/image590.png"/><Relationship Id="rId635" Type="http://schemas.openxmlformats.org/officeDocument/2006/relationships/image" Target="media/image591.png"/><Relationship Id="rId636" Type="http://schemas.openxmlformats.org/officeDocument/2006/relationships/image" Target="media/image592.png"/><Relationship Id="rId637" Type="http://schemas.openxmlformats.org/officeDocument/2006/relationships/image" Target="media/image593.png"/><Relationship Id="rId638" Type="http://schemas.openxmlformats.org/officeDocument/2006/relationships/image" Target="media/image594.png"/><Relationship Id="rId639" Type="http://schemas.openxmlformats.org/officeDocument/2006/relationships/image" Target="media/image595.png"/><Relationship Id="rId640" Type="http://schemas.openxmlformats.org/officeDocument/2006/relationships/image" Target="media/image596.png"/><Relationship Id="rId641" Type="http://schemas.openxmlformats.org/officeDocument/2006/relationships/image" Target="media/image597.png"/><Relationship Id="rId642" Type="http://schemas.openxmlformats.org/officeDocument/2006/relationships/image" Target="media/image598.png"/><Relationship Id="rId643" Type="http://schemas.openxmlformats.org/officeDocument/2006/relationships/image" Target="media/image599.png"/><Relationship Id="rId644" Type="http://schemas.openxmlformats.org/officeDocument/2006/relationships/image" Target="media/image600.png"/><Relationship Id="rId645" Type="http://schemas.openxmlformats.org/officeDocument/2006/relationships/image" Target="media/image601.png"/><Relationship Id="rId646" Type="http://schemas.openxmlformats.org/officeDocument/2006/relationships/image" Target="media/image602.png"/><Relationship Id="rId647" Type="http://schemas.openxmlformats.org/officeDocument/2006/relationships/image" Target="media/image603.png"/><Relationship Id="rId648" Type="http://schemas.openxmlformats.org/officeDocument/2006/relationships/image" Target="media/image604.png"/><Relationship Id="rId649" Type="http://schemas.openxmlformats.org/officeDocument/2006/relationships/image" Target="media/image605.png"/><Relationship Id="rId650" Type="http://schemas.openxmlformats.org/officeDocument/2006/relationships/image" Target="media/image606.png"/><Relationship Id="rId651" Type="http://schemas.openxmlformats.org/officeDocument/2006/relationships/image" Target="media/image607.png"/><Relationship Id="rId652" Type="http://schemas.openxmlformats.org/officeDocument/2006/relationships/image" Target="media/image608.png"/><Relationship Id="rId653" Type="http://schemas.openxmlformats.org/officeDocument/2006/relationships/image" Target="media/image609.png"/><Relationship Id="rId654" Type="http://schemas.openxmlformats.org/officeDocument/2006/relationships/image" Target="media/image610.png"/><Relationship Id="rId655" Type="http://schemas.openxmlformats.org/officeDocument/2006/relationships/image" Target="media/image611.png"/><Relationship Id="rId656" Type="http://schemas.openxmlformats.org/officeDocument/2006/relationships/image" Target="media/image612.png"/><Relationship Id="rId657" Type="http://schemas.openxmlformats.org/officeDocument/2006/relationships/image" Target="media/image613.png"/><Relationship Id="rId658" Type="http://schemas.openxmlformats.org/officeDocument/2006/relationships/image" Target="media/image614.png"/><Relationship Id="rId659" Type="http://schemas.openxmlformats.org/officeDocument/2006/relationships/image" Target="media/image615.png"/><Relationship Id="rId660" Type="http://schemas.openxmlformats.org/officeDocument/2006/relationships/image" Target="media/image616.png"/><Relationship Id="rId661" Type="http://schemas.openxmlformats.org/officeDocument/2006/relationships/image" Target="media/image617.png"/><Relationship Id="rId662" Type="http://schemas.openxmlformats.org/officeDocument/2006/relationships/image" Target="media/image618.png"/><Relationship Id="rId663" Type="http://schemas.openxmlformats.org/officeDocument/2006/relationships/image" Target="media/image619.png"/><Relationship Id="rId664" Type="http://schemas.openxmlformats.org/officeDocument/2006/relationships/image" Target="media/image620.png"/><Relationship Id="rId665" Type="http://schemas.openxmlformats.org/officeDocument/2006/relationships/image" Target="media/image621.png"/><Relationship Id="rId666" Type="http://schemas.openxmlformats.org/officeDocument/2006/relationships/image" Target="media/image622.png"/><Relationship Id="rId667" Type="http://schemas.openxmlformats.org/officeDocument/2006/relationships/image" Target="media/image623.png"/><Relationship Id="rId668" Type="http://schemas.openxmlformats.org/officeDocument/2006/relationships/image" Target="media/image624.png"/><Relationship Id="rId669" Type="http://schemas.openxmlformats.org/officeDocument/2006/relationships/image" Target="media/image625.png"/><Relationship Id="rId670" Type="http://schemas.openxmlformats.org/officeDocument/2006/relationships/image" Target="media/image626.png"/><Relationship Id="rId671" Type="http://schemas.openxmlformats.org/officeDocument/2006/relationships/image" Target="media/image627.png"/><Relationship Id="rId672" Type="http://schemas.openxmlformats.org/officeDocument/2006/relationships/image" Target="media/image628.png"/><Relationship Id="rId673" Type="http://schemas.openxmlformats.org/officeDocument/2006/relationships/image" Target="media/image629.png"/><Relationship Id="rId674" Type="http://schemas.openxmlformats.org/officeDocument/2006/relationships/image" Target="media/image630.png"/><Relationship Id="rId675" Type="http://schemas.openxmlformats.org/officeDocument/2006/relationships/image" Target="media/image631.png"/><Relationship Id="rId676" Type="http://schemas.openxmlformats.org/officeDocument/2006/relationships/image" Target="media/image632.png"/><Relationship Id="rId677" Type="http://schemas.openxmlformats.org/officeDocument/2006/relationships/image" Target="media/image633.png"/><Relationship Id="rId678" Type="http://schemas.openxmlformats.org/officeDocument/2006/relationships/image" Target="media/image634.png"/><Relationship Id="rId679" Type="http://schemas.openxmlformats.org/officeDocument/2006/relationships/image" Target="media/image635.png"/><Relationship Id="rId680" Type="http://schemas.openxmlformats.org/officeDocument/2006/relationships/image" Target="media/image636.png"/><Relationship Id="rId681" Type="http://schemas.openxmlformats.org/officeDocument/2006/relationships/image" Target="media/image637.png"/><Relationship Id="rId682" Type="http://schemas.openxmlformats.org/officeDocument/2006/relationships/image" Target="media/image638.png"/><Relationship Id="rId683" Type="http://schemas.openxmlformats.org/officeDocument/2006/relationships/image" Target="media/image639.png"/><Relationship Id="rId684" Type="http://schemas.openxmlformats.org/officeDocument/2006/relationships/image" Target="media/image640.png"/><Relationship Id="rId685" Type="http://schemas.openxmlformats.org/officeDocument/2006/relationships/image" Target="media/image641.png"/><Relationship Id="rId686" Type="http://schemas.openxmlformats.org/officeDocument/2006/relationships/image" Target="media/image642.png"/><Relationship Id="rId687" Type="http://schemas.openxmlformats.org/officeDocument/2006/relationships/image" Target="media/image643.png"/><Relationship Id="rId688" Type="http://schemas.openxmlformats.org/officeDocument/2006/relationships/image" Target="media/image644.png"/><Relationship Id="rId689" Type="http://schemas.openxmlformats.org/officeDocument/2006/relationships/image" Target="media/image645.png"/><Relationship Id="rId690" Type="http://schemas.openxmlformats.org/officeDocument/2006/relationships/image" Target="media/image646.png"/><Relationship Id="rId691" Type="http://schemas.openxmlformats.org/officeDocument/2006/relationships/image" Target="media/image647.png"/><Relationship Id="rId692" Type="http://schemas.openxmlformats.org/officeDocument/2006/relationships/image" Target="media/image648.png"/><Relationship Id="rId693" Type="http://schemas.openxmlformats.org/officeDocument/2006/relationships/image" Target="media/image649.png"/><Relationship Id="rId694" Type="http://schemas.openxmlformats.org/officeDocument/2006/relationships/image" Target="media/image650.png"/><Relationship Id="rId695" Type="http://schemas.openxmlformats.org/officeDocument/2006/relationships/image" Target="media/image651.png"/><Relationship Id="rId696" Type="http://schemas.openxmlformats.org/officeDocument/2006/relationships/image" Target="media/image652.png"/><Relationship Id="rId697" Type="http://schemas.openxmlformats.org/officeDocument/2006/relationships/image" Target="media/image653.png"/><Relationship Id="rId698" Type="http://schemas.openxmlformats.org/officeDocument/2006/relationships/image" Target="media/image654.png"/><Relationship Id="rId699" Type="http://schemas.openxmlformats.org/officeDocument/2006/relationships/image" Target="media/image655.png"/><Relationship Id="rId700" Type="http://schemas.openxmlformats.org/officeDocument/2006/relationships/image" Target="media/image656.png"/><Relationship Id="rId701" Type="http://schemas.openxmlformats.org/officeDocument/2006/relationships/image" Target="media/image657.png"/><Relationship Id="rId702" Type="http://schemas.openxmlformats.org/officeDocument/2006/relationships/image" Target="media/image658.png"/><Relationship Id="rId703" Type="http://schemas.openxmlformats.org/officeDocument/2006/relationships/image" Target="media/image659.png"/><Relationship Id="rId704" Type="http://schemas.openxmlformats.org/officeDocument/2006/relationships/image" Target="media/image660.png"/><Relationship Id="rId705" Type="http://schemas.openxmlformats.org/officeDocument/2006/relationships/image" Target="media/image661.png"/><Relationship Id="rId706" Type="http://schemas.openxmlformats.org/officeDocument/2006/relationships/image" Target="media/image662.png"/><Relationship Id="rId707" Type="http://schemas.openxmlformats.org/officeDocument/2006/relationships/image" Target="media/image663.png"/><Relationship Id="rId708" Type="http://schemas.openxmlformats.org/officeDocument/2006/relationships/image" Target="media/image664.png"/><Relationship Id="rId709" Type="http://schemas.openxmlformats.org/officeDocument/2006/relationships/image" Target="media/image665.png"/><Relationship Id="rId710" Type="http://schemas.openxmlformats.org/officeDocument/2006/relationships/image" Target="media/image666.png"/><Relationship Id="rId711" Type="http://schemas.openxmlformats.org/officeDocument/2006/relationships/image" Target="media/image667.png"/><Relationship Id="rId712" Type="http://schemas.openxmlformats.org/officeDocument/2006/relationships/image" Target="media/image668.png"/><Relationship Id="rId713" Type="http://schemas.openxmlformats.org/officeDocument/2006/relationships/image" Target="media/image669.png"/><Relationship Id="rId714" Type="http://schemas.openxmlformats.org/officeDocument/2006/relationships/image" Target="media/image670.png"/><Relationship Id="rId715" Type="http://schemas.openxmlformats.org/officeDocument/2006/relationships/image" Target="media/image671.png"/><Relationship Id="rId716" Type="http://schemas.openxmlformats.org/officeDocument/2006/relationships/image" Target="media/image672.png"/><Relationship Id="rId717" Type="http://schemas.openxmlformats.org/officeDocument/2006/relationships/image" Target="media/image673.png"/><Relationship Id="rId718" Type="http://schemas.openxmlformats.org/officeDocument/2006/relationships/image" Target="media/image674.png"/><Relationship Id="rId719" Type="http://schemas.openxmlformats.org/officeDocument/2006/relationships/image" Target="media/image675.png"/><Relationship Id="rId720" Type="http://schemas.openxmlformats.org/officeDocument/2006/relationships/image" Target="media/image676.png"/><Relationship Id="rId721" Type="http://schemas.openxmlformats.org/officeDocument/2006/relationships/image" Target="media/image677.png"/><Relationship Id="rId722" Type="http://schemas.openxmlformats.org/officeDocument/2006/relationships/image" Target="media/image678.png"/><Relationship Id="rId723" Type="http://schemas.openxmlformats.org/officeDocument/2006/relationships/image" Target="media/image679.png"/><Relationship Id="rId724" Type="http://schemas.openxmlformats.org/officeDocument/2006/relationships/image" Target="media/image680.png"/><Relationship Id="rId725" Type="http://schemas.openxmlformats.org/officeDocument/2006/relationships/image" Target="media/image681.png"/><Relationship Id="rId726" Type="http://schemas.openxmlformats.org/officeDocument/2006/relationships/image" Target="media/image682.png"/><Relationship Id="rId727" Type="http://schemas.openxmlformats.org/officeDocument/2006/relationships/image" Target="media/image683.png"/><Relationship Id="rId728" Type="http://schemas.openxmlformats.org/officeDocument/2006/relationships/image" Target="media/image684.png"/><Relationship Id="rId729" Type="http://schemas.openxmlformats.org/officeDocument/2006/relationships/image" Target="media/image685.png"/><Relationship Id="rId60" Type="http://schemas.openxmlformats.org/officeDocument/2006/relationships/hyperlink" Target="https://www.sec.gov/ix?doc=/Archives/edgar/data/1339605/000095017022001961/hees-20211231.htm#item_7_mgmt_discussion_and_analysis" TargetMode="External"/><Relationship Id="rId359" Type="http://schemas.openxmlformats.org/officeDocument/2006/relationships/hyperlink" Target="https://www.sec.gov/Archives/edgar/data/1339605/000110465906005917/a06-4198_1ex2d1.htm" TargetMode="External"/><Relationship Id="rId362" Type="http://schemas.openxmlformats.org/officeDocument/2006/relationships/hyperlink" Target="https://www.sec.gov/Archives/edgar/data/1339605/000095012907002623/h46849exv2w1.htm" TargetMode="External"/><Relationship Id="rId367" Type="http://schemas.openxmlformats.org/officeDocument/2006/relationships/hyperlink" Target="https://www.sec.gov/Archives/edgar/data/1339605/000095012907004457/h49687exv2w1.htm" TargetMode="External"/><Relationship Id="rId372" Type="http://schemas.openxmlformats.org/officeDocument/2006/relationships/hyperlink" Target="https://www.sec.gov/Archives/edgar/data/1177257/000104746906000171/a2166427zex-2_1.htm" TargetMode="External"/><Relationship Id="rId377" Type="http://schemas.openxmlformats.org/officeDocument/2006/relationships/hyperlink" Target="https://www.sec.gov/Archives/edgar/data/1339605/000104746906000712/a2166708zex-3_4.htm" TargetMode="External"/><Relationship Id="rId380" Type="http://schemas.openxmlformats.org/officeDocument/2006/relationships/hyperlink" Target="https://www.sec.gov/Archives/edgar/data/1339605/000156459019033933/hees-ex31_24.htm" TargetMode="External"/><Relationship Id="rId383" Type="http://schemas.openxmlformats.org/officeDocument/2006/relationships/hyperlink" Target="https://www.sec.gov/Archives/edgar/data/1177257/000091205702035530/a2084965zex-3_2.txt" TargetMode="External"/><Relationship Id="rId386" Type="http://schemas.openxmlformats.org/officeDocument/2006/relationships/hyperlink" Target="https://www.sec.gov/Archives/edgar/data/1177257/000091205702035530/a2084965zex-3_3.txt" TargetMode="External"/><Relationship Id="rId390" Type="http://schemas.openxmlformats.org/officeDocument/2006/relationships/hyperlink" Target="https://www.sec.gov/Archives/edgar/data/1177257/000091205702035530/a2084965zex-3_8.txt" TargetMode="External"/><Relationship Id="rId393" Type="http://schemas.openxmlformats.org/officeDocument/2006/relationships/hyperlink" Target="https://www.sec.gov/Archives/edgar/data/1177257/000091205702035530/a2084965zex-3_4.txt" TargetMode="External"/><Relationship Id="rId396" Type="http://schemas.openxmlformats.org/officeDocument/2006/relationships/hyperlink" Target="https://www.sec.gov/Archives/edgar/data/1177257/000091205702035530/a2084965zex-3_5.txt" TargetMode="External"/><Relationship Id="rId399" Type="http://schemas.openxmlformats.org/officeDocument/2006/relationships/hyperlink" Target="https://www.sec.gov/Archives/edgar/data/1177257/000091205702035530/a2084965zex-3_6.txt" TargetMode="External"/><Relationship Id="rId402" Type="http://schemas.openxmlformats.org/officeDocument/2006/relationships/hyperlink" Target="https://www.sec.gov/Archives/edgar/data/1177257/000091205702035530/a2084965zex-3_7.txt" TargetMode="External"/><Relationship Id="rId406" Type="http://schemas.openxmlformats.org/officeDocument/2006/relationships/hyperlink" Target="https://www.sec.gov/Archives/edgar/data/1177257/000091205702035530/a2084965zex-3_9.txt" TargetMode="External"/><Relationship Id="rId409" Type="http://schemas.openxmlformats.org/officeDocument/2006/relationships/hyperlink" Target="https://www.sec.gov/Archives/edgar/data/1177257/000091205702035530/a2084965zex-3_10.txt" TargetMode="External"/><Relationship Id="rId412" Type="http://schemas.openxmlformats.org/officeDocument/2006/relationships/hyperlink" Target="https://www.sec.gov/Archives/edgar/data/1177257/000091205702035530/a2084965zex-3_11.txt" TargetMode="External"/><Relationship Id="rId415" Type="http://schemas.openxmlformats.org/officeDocument/2006/relationships/hyperlink" Target="https://www.sec.gov/Archives/edgar/data/1177258/000119312512495187/d446404dex313.htm" TargetMode="External"/><Relationship Id="rId419" Type="http://schemas.openxmlformats.org/officeDocument/2006/relationships/hyperlink" Target="https://www.sec.gov/Archives/edgar/data/1177258/000119312512495187/d446404dex314.htm" TargetMode="External"/><Relationship Id="rId422" Type="http://schemas.openxmlformats.org/officeDocument/2006/relationships/hyperlink" Target="https://www.sec.gov/Archives/edgar/data/1177258/000119312512495187/d446404dex315.htm" TargetMode="External"/><Relationship Id="rId425" Type="http://schemas.openxmlformats.org/officeDocument/2006/relationships/hyperlink" Target="https://www.sec.gov/Archives/edgar/data/1177258/000119312512495187/d446404dex316.htm" TargetMode="External"/><Relationship Id="rId428" Type="http://schemas.openxmlformats.org/officeDocument/2006/relationships/hyperlink" Target="https://www.sec.gov/Archives/edgar/data/1177258/000119312512495187/d446404dex317.htm" TargetMode="External"/><Relationship Id="rId431" Type="http://schemas.openxmlformats.org/officeDocument/2006/relationships/hyperlink" Target="https://www.sec.gov/Archives/edgar/data/1177258/000119312512495187/d446404dex318.htm" TargetMode="External"/><Relationship Id="rId436" Type="http://schemas.openxmlformats.org/officeDocument/2006/relationships/hyperlink" Target="https://www.sec.gov/Archives/edgar/data/1339605/000110465906005917/a06-4198_1ex4d1.htm" TargetMode="External"/><Relationship Id="rId440" Type="http://schemas.openxmlformats.org/officeDocument/2006/relationships/hyperlink" Target="https://www.sec.gov/Archives/edgar/data/1339605/000110465906005917/a06-4198_1ex4d2.htm" TargetMode="External"/><Relationship Id="rId444" Type="http://schemas.openxmlformats.org/officeDocument/2006/relationships/hyperlink" Target="https://www.sec.gov/Archives/edgar/data/1339605/000110465906005917/a06-4198_1ex4d3.htm" TargetMode="External"/><Relationship Id="rId448" Type="http://schemas.openxmlformats.org/officeDocument/2006/relationships/hyperlink" Target="https://www.sec.gov/Archives/edgar/data/1339605/000104746906000169/a2166341zex-4_3.htm" TargetMode="External"/><Relationship Id="rId451" Type="http://schemas.openxmlformats.org/officeDocument/2006/relationships/hyperlink" Target="https://www.sec.gov/Archives/edgar/data/1339605/000156459020057276/hees-ex41_88.htm" TargetMode="External"/><Relationship Id="rId456" Type="http://schemas.openxmlformats.org/officeDocument/2006/relationships/hyperlink" Target="https://www.sec.gov/Archives/edgar/data/1339605/000119312517379105/d610462dex101.htm" TargetMode="External"/><Relationship Id="rId462" Type="http://schemas.openxmlformats.org/officeDocument/2006/relationships/hyperlink" Target="https://www.sec.gov/Archives/edgar/data/1339605/000119312519027001/d697696dex101.htm" TargetMode="External"/><Relationship Id="rId468" Type="http://schemas.openxmlformats.org/officeDocument/2006/relationships/hyperlink" Target="https://www.sec.gov/Archives/edgar/data/1339605/000156459021053558/hees-ex101_86.htm" TargetMode="External"/><Relationship Id="rId475" Type="http://schemas.openxmlformats.org/officeDocument/2006/relationships/hyperlink" Target="https://www.sec.gov/Archives/edgar/data/1339605/000119312516526894/d131486ddef14a.htm" TargetMode="External"/><Relationship Id="rId476" Type="http://schemas.openxmlformats.org/officeDocument/2006/relationships/hyperlink" Target="https://www.sec.gov/Archives/edgar/data/1339605/000095012311094835/h85279exv10w1.htm" TargetMode="External"/><Relationship Id="rId477" Type="http://schemas.openxmlformats.org/officeDocument/2006/relationships/hyperlink" Target="https://www.sec.gov/Archives/edgar/data/1339605/000156459015008864/hees-ex101_454.htm" TargetMode="External"/><Relationship Id="rId478" Type="http://schemas.openxmlformats.org/officeDocument/2006/relationships/hyperlink" Target="https://www.sec.gov/Archives/edgar/data/1339605/000156459016013363/hees-ex1012_699.htm" TargetMode="External"/><Relationship Id="rId479" Type="http://schemas.openxmlformats.org/officeDocument/2006/relationships/hyperlink" Target="https://www.sec.gov/Archives/edgar/data/1339605/000095017022006236/hees-ex10_1.htm" TargetMode="External"/><Relationship Id="rId480" Type="http://schemas.openxmlformats.org/officeDocument/2006/relationships/hyperlink" Target="https://www.sec.gov/Archives/edgar/data/1339605/000095012908001573/h54251exv18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2023-02-22T16:20:55Z</dcterms:created>
  <dcterms:modified xsi:type="dcterms:W3CDTF">2023-02-22T16:20:55Z</dcterms:modified>
</cp:coreProperties>
</file>