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Barber Bradley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H&amp;E EQUIPMENT SERVICES,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7500 PECUE LANE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BATON ROUGE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70809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H&amp;E Equipment Services, Inc.</w:t>
              </w:r>
            </w:hyperlink>
            <w:r>
              <w:rPr/>
              <w:t xml:space="preserve"> [ </w:t>
            </w:r>
            <w:r>
              <w:rPr>
                <w:rFonts w:ascii="Times;serif" w:hAnsi="Times;serif"/>
                <w:color w:val="0000FF"/>
                <w:sz w:val="24"/>
                <w:shd w:fill="FFFFFF" w:val="clear"/>
              </w:rPr>
              <w:t>HEES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05/27/2025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1012"/>
        <w:gridCol w:w="448"/>
        <w:gridCol w:w="751"/>
        <w:gridCol w:w="1152"/>
        <w:gridCol w:w="989"/>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05/27/2025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78,306</w:t>
            </w:r>
            <w:r>
              <w:rPr>
                <w:rFonts w:ascii="Times;serif" w:hAnsi="Times;serif"/>
                <w:color w:val="008000"/>
                <w:position w:val="7"/>
                <w:sz w:val="16"/>
                <w:sz w:val="20"/>
                <w:shd w:fill="FFFFFF" w:val="clear"/>
              </w:rPr>
              <w:t>(1)</w:t>
            </w:r>
            <w:r>
              <w:rPr/>
              <w:t xml:space="preserve"> </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320,836</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05/27/2025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63,284</w:t>
            </w:r>
            <w:r>
              <w:rPr>
                <w:rFonts w:ascii="Times;serif" w:hAnsi="Times;serif"/>
                <w:color w:val="008000"/>
                <w:position w:val="7"/>
                <w:sz w:val="16"/>
                <w:sz w:val="20"/>
                <w:shd w:fill="FFFFFF" w:val="clear"/>
              </w:rPr>
              <w:t>(2)</w:t>
            </w:r>
            <w:r>
              <w:rPr/>
              <w:t xml:space="preserve"> </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95.46</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257,552</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257,552</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Issuance of shares in connection with the accelerated vesting of the Reporting Person's 2023 Performance Award and 2024 Performance Award (the "PSUs") previously granted under the Company's Amended and Restated 2016 Stock-Based Incentive Compensation Plan (the "2016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Disposition of securities to the Issuer in satisfaction of the Reporting Person's tax liability in connection with the accelerated vesting of the PSUs and the accelerated vesting of restricted stock awards previously granted to the Reporting Person under the 2016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Pursuant to the Agreement and Plan of Merger (the "Merger Agreement") dated as of February 19, 2025, entered into between the Issuer, Herc Holdings Inc. ("Parent") and Parent's wholly-owned subsidiary, HR Merger Sub Inc., these shares of common stock were disposed of upon consummation of the Merger (as defined in the Merger Agreement), or in the related preceding Offer (as defined in the Merger Agreement), in exchange for, on a per-share basis, (i) $78.75 in cash and (ii) 0.1287 shares of Parent common stock, in each case, without interest and less any applicable withholding taxes. The Acquisition closed on June 2,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Leslie S. Magee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49148" TargetMode="External"/><Relationship Id="rId5" Type="http://schemas.openxmlformats.org/officeDocument/2006/relationships/hyperlink" Target="http://www.sec.gov/cgi-bin/browse-edgar?action=getcompany&amp;CIK=00013396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782</Words>
  <Characters>4211</Characters>
  <CharactersWithSpaces>4917</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