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Magee Leslie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H&amp;E EQUIPMENT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7500 PECUE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BATON ROUGE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70809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H&amp;E Equipment Services, Inc.</w:t>
              </w:r>
            </w:hyperlink>
            <w:r>
              <w:rPr/>
              <w:t xml:space="preserve"> [ </w:t>
            </w:r>
            <w:r>
              <w:rPr>
                <w:rFonts w:ascii="Times;serif" w:hAnsi="Times;serif"/>
                <w:color w:val="0000FF"/>
                <w:sz w:val="24"/>
                <w:shd w:fill="FFFFFF" w:val="clear"/>
              </w:rPr>
              <w:t>HEES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19,378</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167,155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15,436</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95.46</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151,719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151,719</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Issuance of shares in connection with the accelerated vesting of the Reporting Person's 2023 Performance Award and 2024 Performance Award (the "PSUs") previously granted under the Company's Amended and Restated 2016 Stock-Based Incentive Compensation Plan (the "2016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Disposition of securities to the Issuer in satisfaction of the Reporting Person's tax liability in connection with the accelerated vesting of the PSUs and the accelerated vesting of restricted stock awards previously granted to the Reporting Person under the 2016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Agreement and Plan of Merger (the "Merger Agreement") dated as of February 19, 2025, entered into between the Issuer, Herc Holdings Inc. ("Parent") and Parent's wholly-owned subsidiary, HR Merger Sub Inc., these shares of common stock were disposed of upon consummation of the Merger (as defined in the Merger Agreement), or in the related preceding Offer (as defined in the Merger Agreement), in exchange for, on a per-share basis, (i) $78.75 in cash and (ii) 0.1287 shares of Parent common stock, in each case, without interest and less any applicable withholding taxes. The Acquisition closed on June 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S. Magee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9147" TargetMode="External"/><Relationship Id="rId5" Type="http://schemas.openxmlformats.org/officeDocument/2006/relationships/hyperlink" Target="http://www.sec.gov/cgi-bin/browse-edgar?action=getcompany&amp;CIK=00013396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4203</Characters>
  <CharactersWithSpaces>4910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