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1589ds8pos.htm"/>
      <w:bookmarkStart w:id="1" w:name="ksd91589ds8pos"/>
      <w:bookmarkEnd w:id="0"/>
      <w:bookmarkEnd w:id="1"/>
      <w:r>
        <w:rPr>
          <w:rFonts w:ascii="Times New Roman" w:hAnsi="Times New Roman"/>
          <w:b/>
          <w:sz w:val="20"/>
        </w:rPr>
        <w:t xml:space="preserve">As filed with the Securities and Exchange Commission on June 2,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333-212802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333-280149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POST-EFFECTIVE AMENDMENT NO. 1 TO FORM S-8 REGISTRATION STATEMENT NO. 333-212802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333-280149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H&amp;E EQUIPMENT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81-0553291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S. Wade Sheek </w:t>
      </w:r>
    </w:p>
    <w:p>
      <w:pPr>
        <w:pStyle w:val="TextBody"/>
        <w:bidi w:val="0"/>
        <w:spacing w:before="0" w:after="0"/>
        <w:jc w:val="center"/>
        <w:rPr>
          <w:rFonts w:ascii="Times New Roman" w:hAnsi="Times New Roman"/>
          <w:b/>
          <w:sz w:val="20"/>
        </w:rPr>
      </w:pPr>
      <w:r>
        <w:rPr>
          <w:rFonts w:ascii="Times New Roman" w:hAnsi="Times New Roman"/>
          <w:b/>
          <w:sz w:val="20"/>
        </w:rPr>
        <w:t xml:space="preserve">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27500 Riverview Center Blvd. </w:t>
      </w:r>
    </w:p>
    <w:p>
      <w:pPr>
        <w:pStyle w:val="TextBody"/>
        <w:bidi w:val="0"/>
        <w:spacing w:before="0" w:after="0"/>
        <w:jc w:val="center"/>
        <w:rPr>
          <w:rFonts w:ascii="Times New Roman" w:hAnsi="Times New Roman"/>
          <w:b/>
          <w:sz w:val="20"/>
        </w:rPr>
      </w:pPr>
      <w:r>
        <w:rPr>
          <w:rFonts w:ascii="Times New Roman" w:hAnsi="Times New Roman"/>
          <w:b/>
          <w:sz w:val="20"/>
        </w:rPr>
        <w:t xml:space="preserve">Bonita Springs, Florida 34134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(239) 301-1000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i/>
          <w:sz w:val="20"/>
        </w:rPr>
        <w:t>Copies to:</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Joshua Bonnie, Esq. </w:t>
      </w:r>
    </w:p>
    <w:p>
      <w:pPr>
        <w:pStyle w:val="TextBody"/>
        <w:bidi w:val="0"/>
        <w:spacing w:before="0" w:after="0"/>
        <w:jc w:val="center"/>
        <w:rPr>
          <w:rFonts w:ascii="Times New Roman" w:hAnsi="Times New Roman"/>
          <w:b/>
          <w:sz w:val="20"/>
        </w:rPr>
      </w:pPr>
      <w:r>
        <w:rPr>
          <w:rFonts w:ascii="Times New Roman" w:hAnsi="Times New Roman"/>
          <w:b/>
          <w:sz w:val="20"/>
        </w:rPr>
        <w:t xml:space="preserve">Jonathan Corsico, Esq. </w:t>
      </w:r>
    </w:p>
    <w:p>
      <w:pPr>
        <w:pStyle w:val="TextBody"/>
        <w:bidi w:val="0"/>
        <w:spacing w:before="0" w:after="0"/>
        <w:jc w:val="center"/>
        <w:rPr>
          <w:rFonts w:ascii="Times New Roman" w:hAnsi="Times New Roman"/>
          <w:b/>
          <w:sz w:val="20"/>
        </w:rPr>
      </w:pPr>
      <w:r>
        <w:rPr>
          <w:rFonts w:ascii="Times New Roman" w:hAnsi="Times New Roman"/>
          <w:b/>
          <w:sz w:val="20"/>
        </w:rPr>
        <w:t xml:space="preserve">Jonathan Ozner, Esq. </w:t>
      </w:r>
    </w:p>
    <w:p>
      <w:pPr>
        <w:pStyle w:val="TextBody"/>
        <w:bidi w:val="0"/>
        <w:spacing w:before="0" w:after="0"/>
        <w:jc w:val="center"/>
        <w:rPr>
          <w:rFonts w:ascii="Times New Roman" w:hAnsi="Times New Roman"/>
          <w:b/>
          <w:sz w:val="20"/>
        </w:rPr>
      </w:pPr>
      <w:r>
        <w:rPr>
          <w:rFonts w:ascii="Times New Roman" w:hAnsi="Times New Roman"/>
          <w:b/>
          <w:sz w:val="20"/>
        </w:rPr>
        <w:t xml:space="preserve">Katharine Thompson, Esq. </w:t>
      </w:r>
    </w:p>
    <w:p>
      <w:pPr>
        <w:pStyle w:val="TextBody"/>
        <w:bidi w:val="0"/>
        <w:spacing w:before="0" w:after="0"/>
        <w:jc w:val="center"/>
        <w:rPr>
          <w:rFonts w:ascii="Times New Roman" w:hAnsi="Times New Roman"/>
          <w:b/>
          <w:sz w:val="20"/>
        </w:rPr>
      </w:pPr>
      <w:r>
        <w:rPr>
          <w:rFonts w:ascii="Times New Roman" w:hAnsi="Times New Roman"/>
          <w:b/>
          <w:sz w:val="20"/>
        </w:rPr>
        <w:t xml:space="preserve">Benjamin Bodurian, Esq. </w:t>
      </w:r>
    </w:p>
    <w:p>
      <w:pPr>
        <w:pStyle w:val="TextBody"/>
        <w:bidi w:val="0"/>
        <w:spacing w:before="12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900 G Street NW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20001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(202) 636-5500 </w:t>
      </w:r>
    </w:p>
    <w:p>
      <w:pPr>
        <w:pStyle w:val="TextBody"/>
        <w:bidi w:val="0"/>
        <w:spacing w:before="120" w:after="0"/>
        <w:jc w:val="center"/>
        <w:rPr>
          <w:rFonts w:ascii="Times New Roman" w:hAnsi="Times New Roman"/>
          <w:b/>
          <w:sz w:val="20"/>
        </w:rPr>
      </w:pPr>
      <w:r>
        <w:rPr>
          <w:rFonts w:ascii="Times New Roman" w:hAnsi="Times New Roman"/>
          <w:b/>
          <w:sz w:val="20"/>
        </w:rPr>
        <w:t xml:space="preserve">Approximate date of commencement of proposed sale to the public: Not applicable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H&amp;E Equipment Services, Inc. Amended and Restated 2006 Stock-Based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H&amp;E Equipment Services, Inc. Amended and Restated 2016 Stock-Based Incentive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6"/>
        <w:gridCol w:w="103"/>
        <w:gridCol w:w="4661"/>
        <w:gridCol w:w="127"/>
        <w:gridCol w:w="2760"/>
        <w:gridCol w:w="103"/>
        <w:gridCol w:w="255"/>
      </w:tblGrid>
      <w:tr>
        <w:trPr/>
        <w:tc>
          <w:tcPr>
            <w:tcW w:w="219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196"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6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r>
      <w:tr>
        <w:trPr>
          <w:trHeight w:val="120" w:hRule="atLeast"/>
        </w:trPr>
        <w:tc>
          <w:tcPr>
            <w:tcW w:w="2196" w:type="dxa"/>
            <w:tcBorders/>
            <w:vAlign w:val="center"/>
          </w:tcPr>
          <w:p>
            <w:pPr>
              <w:pStyle w:val="TableContents"/>
              <w:bidi w:val="0"/>
              <w:spacing w:before="0" w:after="283"/>
              <w:jc w:val="left"/>
              <w:rPr>
                <w:sz w:val="4"/>
                <w:szCs w:val="4"/>
              </w:rPr>
            </w:pPr>
            <w:r>
              <w:rPr>
                <w:sz w:val="4"/>
                <w:szCs w:val="4"/>
              </w:rPr>
            </w:r>
          </w:p>
        </w:tc>
        <w:tc>
          <w:tcPr>
            <w:tcW w:w="4764" w:type="dxa"/>
            <w:gridSpan w:val="2"/>
            <w:tcBorders/>
            <w:vAlign w:val="center"/>
          </w:tcPr>
          <w:p>
            <w:pPr>
              <w:pStyle w:val="TableContents"/>
              <w:bidi w:val="0"/>
              <w:spacing w:before="0" w:after="283"/>
              <w:jc w:val="left"/>
              <w:rPr>
                <w:sz w:val="4"/>
                <w:szCs w:val="4"/>
              </w:rPr>
            </w:pPr>
            <w:r>
              <w:rPr>
                <w:sz w:val="4"/>
                <w:szCs w:val="4"/>
              </w:rPr>
            </w:r>
          </w:p>
        </w:tc>
        <w:tc>
          <w:tcPr>
            <w:tcW w:w="2887" w:type="dxa"/>
            <w:gridSpan w:val="2"/>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r>
      <w:tr>
        <w:trPr/>
        <w:tc>
          <w:tcPr>
            <w:tcW w:w="2196"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6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r>
      <w:tr>
        <w:trPr>
          <w:trHeight w:val="120" w:hRule="atLeast"/>
        </w:trPr>
        <w:tc>
          <w:tcPr>
            <w:tcW w:w="2196" w:type="dxa"/>
            <w:tcBorders/>
            <w:vAlign w:val="center"/>
          </w:tcPr>
          <w:p>
            <w:pPr>
              <w:pStyle w:val="TableContents"/>
              <w:bidi w:val="0"/>
              <w:spacing w:before="0" w:after="283"/>
              <w:jc w:val="left"/>
              <w:rPr>
                <w:sz w:val="4"/>
                <w:szCs w:val="4"/>
              </w:rPr>
            </w:pPr>
            <w:r>
              <w:rPr>
                <w:sz w:val="4"/>
                <w:szCs w:val="4"/>
              </w:rPr>
            </w:r>
          </w:p>
        </w:tc>
        <w:tc>
          <w:tcPr>
            <w:tcW w:w="4764" w:type="dxa"/>
            <w:gridSpan w:val="2"/>
            <w:tcBorders/>
            <w:vAlign w:val="center"/>
          </w:tcPr>
          <w:p>
            <w:pPr>
              <w:pStyle w:val="TableContents"/>
              <w:bidi w:val="0"/>
              <w:spacing w:before="0" w:after="283"/>
              <w:jc w:val="left"/>
              <w:rPr>
                <w:sz w:val="4"/>
                <w:szCs w:val="4"/>
              </w:rPr>
            </w:pPr>
            <w:r>
              <w:rPr>
                <w:sz w:val="4"/>
                <w:szCs w:val="4"/>
              </w:rPr>
            </w:r>
          </w:p>
        </w:tc>
        <w:tc>
          <w:tcPr>
            <w:tcW w:w="2887" w:type="dxa"/>
            <w:gridSpan w:val="2"/>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r>
      <w:tr>
        <w:trPr/>
        <w:tc>
          <w:tcPr>
            <w:tcW w:w="219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0" w:after="0"/>
        <w:jc w:val="center"/>
        <w:rPr>
          <w:rFonts w:ascii="Times New Roman" w:hAnsi="Times New Roman"/>
          <w:b/>
          <w:sz w:val="20"/>
        </w:rPr>
      </w:pPr>
      <w:r>
        <w:rPr>
          <w:rFonts w:ascii="Times New Roman" w:hAnsi="Times New Roman"/>
          <w:b/>
          <w:sz w:val="20"/>
        </w:rPr>
        <w:t xml:space="preserve">DEREGISTRATION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w:t>
      </w:r>
    </w:p>
    <w:p>
      <w:pPr>
        <w:pStyle w:val="TextBody"/>
        <w:bidi w:val="0"/>
        <w:spacing w:before="240" w:after="0"/>
        <w:jc w:val="left"/>
        <w:rPr>
          <w:rFonts w:ascii="Times New Roman" w:hAnsi="Times New Roman"/>
          <w:sz w:val="20"/>
        </w:rPr>
      </w:pPr>
      <w:r>
        <w:rPr>
          <w:rFonts w:ascii="Times New Roman" w:hAnsi="Times New Roman"/>
          <w:sz w:val="20"/>
        </w:rPr>
        <w:t>These post-effective amendments (the </w:t>
      </w:r>
      <w:r>
        <w:rPr>
          <w:rFonts w:ascii="Times New Roman" w:hAnsi="Times New Roman"/>
          <w:b/>
          <w:sz w:val="20"/>
        </w:rPr>
        <w:t>Post-Effective Amendments</w:t>
      </w:r>
      <w:r>
        <w:rPr>
          <w:rFonts w:ascii="Times New Roman" w:hAnsi="Times New Roman"/>
          <w:sz w:val="20"/>
        </w:rPr>
        <w:t>) relate to the following registration statements on Form S-8 (together, the </w:t>
      </w:r>
      <w:r>
        <w:rPr>
          <w:rFonts w:ascii="Times New Roman" w:hAnsi="Times New Roman"/>
          <w:b/>
          <w:sz w:val="20"/>
        </w:rPr>
        <w:t>Registration Statements</w:t>
      </w:r>
      <w:r>
        <w:rPr>
          <w:rFonts w:ascii="Times New Roman" w:hAnsi="Times New Roman"/>
          <w:sz w:val="20"/>
        </w:rPr>
        <w:t>) filed by H&amp;E Equipment Services, Inc. (the </w:t>
      </w:r>
      <w:r>
        <w:rPr>
          <w:rFonts w:ascii="Times New Roman" w:hAnsi="Times New Roman"/>
          <w:b/>
          <w:sz w:val="20"/>
        </w:rPr>
        <w:t>Company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on Form S-8 (Registration No. 333-212802), filed with the SEC on August 1, 2016, registering 2,485,195 shares (385,195 of which were previously subject to awards under the Companys Amended and Restated 2006 Stock-Based Incentive Compensation Plan) of the Companys Common Stock (the </w:t>
            </w:r>
            <w:r>
              <w:rPr>
                <w:rFonts w:ascii="Times New Roman" w:hAnsi="Times New Roman"/>
                <w:b/>
                <w:sz w:val="20"/>
              </w:rPr>
              <w:t>2016 Plan Shares</w:t>
            </w:r>
            <w:r>
              <w:rPr>
                <w:rFonts w:ascii="Times New Roman" w:hAnsi="Times New Roman"/>
                <w:sz w:val="20"/>
              </w:rPr>
              <w:t>) to be issued to participants under the Companys 2016 Stock-Based Incentive Compensation Plan (the </w:t>
            </w:r>
            <w:r>
              <w:rPr>
                <w:rFonts w:ascii="Times New Roman" w:hAnsi="Times New Roman"/>
                <w:b/>
                <w:sz w:val="20"/>
              </w:rPr>
              <w:t>2016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on Form S-8 (Registration No. 333-280149), filed with the SEC on June 12, 2024, registering an additional 2,631,942 shares of the Companys Common Stock (the </w:t>
            </w:r>
            <w:r>
              <w:rPr>
                <w:rFonts w:ascii="Times New Roman" w:hAnsi="Times New Roman"/>
                <w:b/>
                <w:sz w:val="20"/>
              </w:rPr>
              <w:t>June 2024 Additional 2016 Plan Shares</w:t>
            </w:r>
            <w:r>
              <w:rPr>
                <w:rFonts w:ascii="Times New Roman" w:hAnsi="Times New Roman"/>
                <w:sz w:val="20"/>
              </w:rPr>
              <w:t>) that may be offered and sold pursuant to the Amended and Restated 2016 Stock-Based Incentive Compensation Plan (the </w:t>
            </w:r>
            <w:r>
              <w:rPr>
                <w:rFonts w:ascii="Times New Roman" w:hAnsi="Times New Roman"/>
                <w:b/>
                <w:sz w:val="20"/>
              </w:rPr>
              <w:t>Amended 2016 Plan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2016 Plan Shares, and the June 2024 Additional 2016 Plan Shares are collectively referred to as the </w:t>
      </w:r>
      <w:r>
        <w:rPr>
          <w:rFonts w:ascii="Times New Roman" w:hAnsi="Times New Roman"/>
          <w:b/>
          <w:sz w:val="20"/>
        </w:rPr>
        <w:t>Shares</w:t>
      </w:r>
      <w:r>
        <w:rPr>
          <w:rFonts w:ascii="Times New Roman" w:hAnsi="Times New Roman"/>
          <w:sz w:val="20"/>
        </w:rPr>
        <w:t>. The Shares were to be issued to participants under the 2016 Plan and the Amended 2016 Plan (the </w:t>
      </w:r>
      <w:r>
        <w:rPr>
          <w:rFonts w:ascii="Times New Roman" w:hAnsi="Times New Roman"/>
          <w:b/>
          <w:sz w:val="20"/>
        </w:rPr>
        <w:t>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 longer issuing securities under the Plans. These Post-Effective Amendments to the Registration Statements are being filed in order to deregister all Shares that were registered under the Registration Statements and remain unissued under the Plans. </w:t>
      </w:r>
    </w:p>
    <w:p>
      <w:pPr>
        <w:pStyle w:val="TextBody"/>
        <w:bidi w:val="0"/>
        <w:spacing w:before="240" w:after="0"/>
        <w:jc w:val="left"/>
        <w:rPr>
          <w:rFonts w:ascii="Times New Roman" w:hAnsi="Times New Roman"/>
          <w:sz w:val="20"/>
        </w:rPr>
      </w:pPr>
      <w:r>
        <w:rPr>
          <w:rFonts w:ascii="Times New Roman" w:hAnsi="Times New Roman"/>
          <w:sz w:val="20"/>
        </w:rPr>
        <w:t>As previously disclosed by the Company on a Current Report on Form 8-K filed with the SEC on June 2, 2025, on June 2, 2025 the Company merged with and into HR Merger Sub Inc., a Delaware corporation and a wholly owned subsidiary of Herc Holdings Inc. (the </w:t>
      </w:r>
      <w:r>
        <w:rPr>
          <w:rFonts w:ascii="Times New Roman" w:hAnsi="Times New Roman"/>
          <w:b/>
          <w:sz w:val="20"/>
        </w:rPr>
        <w:t>Merger</w:t>
      </w:r>
      <w:r>
        <w:rPr>
          <w:rFonts w:ascii="Times New Roman" w:hAnsi="Times New Roman"/>
          <w:sz w:val="20"/>
        </w:rPr>
        <w:t>), with the Company surviving the Merger as a subsidiary of Herc Holdings Inc. (the </w:t>
      </w:r>
      <w:r>
        <w:rPr>
          <w:rFonts w:ascii="Times New Roman" w:hAnsi="Times New Roman"/>
          <w:b/>
          <w:sz w:val="20"/>
        </w:rPr>
        <w:t>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 the Company has terminated all offerings of the Companys securities pursuant to the Registration Statements. Accordingly, pursuant to the undertaking contained in the Registration Statements to remove from registration, by means of a post-effective amendment, any of the securities being registered which remain unsold at the termination of the offering, the Company is filing these Post-Effective Amendments to the Registration Statements to deregister all such securities of the Company registered under the Registration Statements that remain unsold as of the effective time of the Transaction, if 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Securities Act), the registrant certifies that it has reasonable grounds to believe that it meets all of the requirements for filing on Form S-8 and has duly caused these Post-Effective Amendments to be signed on its behalf by the undersigned, hereunto duly authorized, in the City of Baton Rouge, State of Louisiana, on the 2nd of June, 2025. The following person is signing these Post-Effective Amendments on behalf of the registrant in reliance upon Rule 478 under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7"/>
        <w:gridCol w:w="60"/>
        <w:gridCol w:w="3365"/>
      </w:tblGrid>
      <w:tr>
        <w:trPr/>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H&amp;E EQUIPMENT SERVICES, INC.</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vAlign w:val="bottom"/>
          </w:tcPr>
          <w:p>
            <w:pPr>
              <w:pStyle w:val="TableContents"/>
              <w:bidi w:val="0"/>
              <w:spacing w:before="0" w:after="283"/>
              <w:jc w:val="left"/>
              <w:rPr/>
            </w:pPr>
            <w:r>
              <w:rPr/>
              <w:t>/s/ S. Wade Sheek</w:t>
            </w:r>
          </w:p>
        </w:tc>
      </w:tr>
      <w:tr>
        <w:trPr/>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5" w:type="dxa"/>
            <w:tcBorders/>
            <w:vAlign w:val="bottom"/>
          </w:tcPr>
          <w:p>
            <w:pPr>
              <w:pStyle w:val="TableContents"/>
              <w:bidi w:val="0"/>
              <w:spacing w:before="0" w:after="283"/>
              <w:jc w:val="left"/>
              <w:rPr/>
            </w:pPr>
            <w:r>
              <w:rPr/>
              <w:t>S. Wade Sheek</w:t>
            </w:r>
          </w:p>
        </w:tc>
      </w:tr>
      <w:tr>
        <w:trPr/>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5" w:type="dxa"/>
            <w:tcBorders/>
            <w:vAlign w:val="bottom"/>
          </w:tcPr>
          <w:p>
            <w:pPr>
              <w:pStyle w:val="TableContents"/>
              <w:bidi w:val="0"/>
              <w:spacing w:before="0" w:after="283"/>
              <w:jc w:val="left"/>
              <w:rPr/>
            </w:pPr>
            <w:r>
              <w:rPr/>
              <w:t>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833</Words>
  <Characters>4452</Characters>
  <CharactersWithSpaces>5256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